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威斯敏斯特准则</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629" w:name="威斯敏斯特信仰宣言"/>
    <w:p>
      <w:pPr>
        <w:pStyle w:val="Heading1"/>
      </w:pPr>
      <w:r>
        <w:t xml:space="preserve">《威斯敏斯特信仰宣言》</w:t>
      </w:r>
    </w:p>
    <w:bookmarkStart w:id="42" w:name="一论圣经"/>
    <w:p>
      <w:pPr>
        <w:pStyle w:val="Heading2"/>
      </w:pPr>
      <w:r>
        <w:t xml:space="preserve">一、论圣经</w:t>
      </w:r>
    </w:p>
    <w:p>
      <w:pPr>
        <w:pStyle w:val="FirstParagraph"/>
      </w:pPr>
      <w:r>
        <w:t xml:space="preserve">虽然自然之光，以及创造与护理的工作，在相当程度上彰显了神的良善、智慧和大能，使人无可推诿；</w:t>
      </w:r>
      <w:r>
        <w:rPr>
          <w:rStyle w:val="FootnoteReference"/>
        </w:rPr>
        <w:footnoteReference w:id="20"/>
      </w:r>
      <w:r>
        <w:t xml:space="preserve"> </w:t>
      </w:r>
      <w:r>
        <w:t xml:space="preserve">然而，它们不足以赐给人得救所必需的对神和他旨意的认识；</w:t>
      </w:r>
      <w:r>
        <w:rPr>
          <w:rStyle w:val="FootnoteReference"/>
        </w:rPr>
        <w:footnoteReference w:id="21"/>
      </w:r>
      <w:r>
        <w:t xml:space="preserve"> </w:t>
      </w:r>
      <w:r>
        <w:t xml:space="preserve">因此主曾在不同的时期、以多样的方式启示他自己，并向他的教会宣明他的旨意；</w:t>
      </w:r>
      <w:r>
        <w:rPr>
          <w:rStyle w:val="FootnoteReference"/>
        </w:rPr>
        <w:footnoteReference w:id="22"/>
      </w:r>
      <w:r>
        <w:t xml:space="preserve"> </w:t>
      </w:r>
      <w:r>
        <w:t xml:space="preserve">此后，为更好地保守和传扬真理，并为更稳固地扶持和安慰教会，使其能抵挡肉体的败坏、撒但的恶毒和世俗的侵害，神将这一切完全记录在文字中；</w:t>
      </w:r>
      <w:r>
        <w:rPr>
          <w:rStyle w:val="FootnoteReference"/>
        </w:rPr>
        <w:footnoteReference w:id="23"/>
      </w:r>
      <w:r>
        <w:t xml:space="preserve"> </w:t>
      </w:r>
      <w:r>
        <w:t xml:space="preserve">这就使得圣经极其必要；</w:t>
      </w:r>
      <w:r>
        <w:rPr>
          <w:rStyle w:val="FootnoteReference"/>
        </w:rPr>
        <w:footnoteReference w:id="24"/>
      </w:r>
      <w:r>
        <w:t xml:space="preserve"> </w:t>
      </w:r>
      <w:r>
        <w:t xml:space="preserve">神从前用来向他子民启示其旨意的方式，如今已经停止。</w:t>
      </w:r>
      <w:r>
        <w:rPr>
          <w:rStyle w:val="FootnoteReference"/>
        </w:rPr>
        <w:footnoteReference w:id="25"/>
      </w:r>
    </w:p>
    <w:p>
      <w:pPr>
        <w:pStyle w:val="BodyText"/>
      </w:pPr>
      <w:r>
        <w:t xml:space="preserve">所谓的圣经，或所写下的神的道，如今包含旧约和新约的所有书卷，如下：</w:t>
      </w:r>
    </w:p>
    <w:p>
      <w:pPr>
        <w:pStyle w:val="BodyText"/>
      </w:pPr>
      <w:r>
        <w:t xml:space="preserve">旧约书卷：创世记、出埃及记、利未记、民数记、申命记、约书亚记、士师记、路得记、撒母耳记上、撒母耳记下、列王纪上、列王纪下、历代志上、历代志下、以斯拉记、尼希米记、以斯帖记、约伯记、诗篇、箴言、传道书、雅歌、以赛亚书、耶利米书、耶利米哀歌、以西结书、但以理书、何西阿书、约珥书、阿摩司书、俄巴底亚书、约拿书、弥迦书、那鸿书、哈巴谷书、西番雅书、哈该书、撒迦利亚书、玛拉基书。</w:t>
      </w:r>
    </w:p>
    <w:p>
      <w:pPr>
        <w:pStyle w:val="BodyText"/>
      </w:pPr>
      <w:r>
        <w:t xml:space="preserve">新约书卷：马太福音、马可福音、路加福音、约翰福音，使徒行传，保罗写给罗马书、哥林多前书、哥林多后书、加拉太书、以弗所书、腓立比书、歌罗西书、帖撒罗尼迦前书、帖撒罗尼迦后书、提摩太前书、提摩太后书、提多书、腓利门书，以及希伯来书、雅各书、彼得前书、彼得后书、约翰壹书、约翰贰书、约翰参书、犹大书、启示录。</w:t>
      </w:r>
    </w:p>
    <w:p>
      <w:pPr>
        <w:pStyle w:val="BodyText"/>
      </w:pPr>
      <w:r>
        <w:t xml:space="preserve">所有这些书卷，都是神所默示，用来作为信仰和生活的准则。</w:t>
      </w:r>
      <w:r>
        <w:rPr>
          <w:rStyle w:val="FootnoteReference"/>
        </w:rPr>
        <w:footnoteReference w:id="26"/>
      </w:r>
    </w:p>
    <w:p>
      <w:pPr>
        <w:pStyle w:val="BodyText"/>
      </w:pPr>
      <w:r>
        <w:t xml:space="preserve">那些通常称为旁经的书卷，因为并非神所默示，不属于圣经的正典；所以在神的教会中并没有权威，也不应受到比其他人类著作更高的认可或使用。</w:t>
      </w:r>
      <w:r>
        <w:rPr>
          <w:rStyle w:val="FootnoteReference"/>
        </w:rPr>
        <w:footnoteReference w:id="27"/>
      </w:r>
    </w:p>
    <w:p>
      <w:pPr>
        <w:pStyle w:val="BodyText"/>
      </w:pPr>
      <w:r>
        <w:t xml:space="preserve">圣经应当被人相信与顺服，其权威并不依赖任何人的见证或教会的见证，而完全在于神自己（他本身就是真理），因为他是圣经的作者。因此，我们当接受它，因为它是神的道。</w:t>
      </w:r>
      <w:r>
        <w:rPr>
          <w:rStyle w:val="FootnoteReference"/>
        </w:rPr>
        <w:footnoteReference w:id="28"/>
      </w:r>
    </w:p>
    <w:p>
      <w:pPr>
        <w:pStyle w:val="BodyText"/>
      </w:pPr>
      <w:r>
        <w:t xml:space="preserve">我们或许会因教会的见证而被感动并引导，对圣经生出崇高而敬畏的心。再者，圣经所论述内容的属天性、教义的功效、文体的庄严、各部分的一致、整体的目标（在于将一切荣耀归与神）、它对人得救唯一之路的充分启示，以及其他无可比拟的卓越与完全，都是证明它确实是神的道的理由。然而，我们对其绝对真理性及神所赋予之权威的完全确信与保证，乃来自圣灵在我们内心借着并同着圣经所作的见证。</w:t>
      </w:r>
      <w:r>
        <w:rPr>
          <w:rStyle w:val="FootnoteReference"/>
        </w:rPr>
        <w:footnoteReference w:id="29"/>
      </w:r>
    </w:p>
    <w:p>
      <w:pPr>
        <w:pStyle w:val="BodyText"/>
      </w:pPr>
      <w:r>
        <w:t xml:space="preserve">神关于他自己荣耀、人得救、信仰与生活所必需的一切旨意，都已经在圣经中明确记载，或是通过必要且正当的推论可从圣经中得出；因此，无论是因圣灵的新启示或人的传统，都不应在任何时候向其中增添内容。</w:t>
      </w:r>
      <w:r>
        <w:rPr>
          <w:rStyle w:val="FootnoteReference"/>
        </w:rPr>
        <w:footnoteReference w:id="30"/>
      </w:r>
      <w:r>
        <w:t xml:space="preserve"> </w:t>
      </w:r>
      <w:r>
        <w:t xml:space="preserve">但我们也承认，神的灵在内心的光照对于得救所需的理解是必不可少的，唯有如此才能明白神的道所启示之事；</w:t>
      </w:r>
      <w:r>
        <w:rPr>
          <w:rStyle w:val="FootnoteReference"/>
        </w:rPr>
        <w:footnoteReference w:id="31"/>
      </w:r>
      <w:r>
        <w:t xml:space="preserve"> </w:t>
      </w:r>
      <w:r>
        <w:t xml:space="preserve">并且，在敬拜神和教会治理上，有一些与人类行为和社群生活相关的情形，需要根据自然之光与基督徒的智慧，按照神的道之普遍准则加以安排，使人常当遵行。</w:t>
      </w:r>
      <w:r>
        <w:rPr>
          <w:rStyle w:val="FootnoteReference"/>
        </w:rPr>
        <w:footnoteReference w:id="32"/>
      </w:r>
    </w:p>
    <w:p>
      <w:pPr>
        <w:pStyle w:val="BodyText"/>
      </w:pPr>
      <w:r>
        <w:t xml:space="preserve">圣经中所有的事并非同样地浅显易懂，对所有人也并非同样清楚；</w:t>
      </w:r>
      <w:r>
        <w:rPr>
          <w:rStyle w:val="FootnoteReference"/>
        </w:rPr>
        <w:footnoteReference w:id="33"/>
      </w:r>
      <w:r>
        <w:t xml:space="preserve"> </w:t>
      </w:r>
      <w:r>
        <w:t xml:space="preserve">然而，与得救相关、必须被人所认识、相信和遵行的事，却在圣经的一些地方得到十分明白的呈示，使无论是有学问的，还是没有学问的，只要正确地使用一般的途径，都能充分明白。</w:t>
      </w:r>
      <w:r>
        <w:rPr>
          <w:rStyle w:val="FootnoteReference"/>
        </w:rPr>
        <w:footnoteReference w:id="34"/>
      </w:r>
    </w:p>
    <w:p>
      <w:pPr>
        <w:pStyle w:val="BodyText"/>
      </w:pPr>
      <w:r>
        <w:t xml:space="preserve">旧约原用希伯来文（这曾是古时神子民的母语），新约原用希腊文（在其写作时期是各国普遍熟知的语言），它们都是神直接默示，并在他奇妙的看顾和护理下于各时代都被保守纯正，因此是权威的；</w:t>
      </w:r>
      <w:r>
        <w:rPr>
          <w:rStyle w:val="FootnoteReference"/>
        </w:rPr>
        <w:footnoteReference w:id="35"/>
      </w:r>
      <w:r>
        <w:t xml:space="preserve"> </w:t>
      </w:r>
      <w:r>
        <w:t xml:space="preserve">在所有教会内关于信仰的争议中，最终应当诉诸这两种原文圣经。</w:t>
      </w:r>
      <w:r>
        <w:rPr>
          <w:rStyle w:val="FootnoteReference"/>
        </w:rPr>
        <w:footnoteReference w:id="36"/>
      </w:r>
      <w:r>
        <w:t xml:space="preserve"> </w:t>
      </w:r>
      <w:r>
        <w:t xml:space="preserve">但因神子民都有权利并应当敬畏神而阅读、查考圣经，</w:t>
      </w:r>
      <w:r>
        <w:rPr>
          <w:rStyle w:val="FootnoteReference"/>
        </w:rPr>
        <w:footnoteReference w:id="37"/>
      </w:r>
      <w:r>
        <w:t xml:space="preserve"> </w:t>
      </w:r>
      <w:r>
        <w:t xml:space="preserve">然而并非所有人都明白原文，所以圣经应当被翻译成各民族的惯用语言，</w:t>
      </w:r>
      <w:r>
        <w:rPr>
          <w:rStyle w:val="FootnoteReference"/>
        </w:rPr>
        <w:footnoteReference w:id="38"/>
      </w:r>
      <w:r>
        <w:t xml:space="preserve"> </w:t>
      </w:r>
      <w:r>
        <w:t xml:space="preserve">好使神的道丰丰富富地存在众人心中，使他们能以合宜的方式敬拜神，并且借着圣经所带来的忍耐与安慰而得着盼望。</w:t>
      </w:r>
      <w:r>
        <w:rPr>
          <w:rStyle w:val="FootnoteReference"/>
        </w:rPr>
        <w:footnoteReference w:id="39"/>
      </w:r>
    </w:p>
    <w:p>
      <w:pPr>
        <w:pStyle w:val="BodyText"/>
      </w:pPr>
      <w:r>
        <w:t xml:space="preserve">解释圣经无误的准则就是圣经本身；因此，当对于某段经文的真正且完整含义存有疑问时（不是多重而是单一的），就必须借着其他论述更清晰的经文来查考并明白。</w:t>
      </w:r>
      <w:r>
        <w:rPr>
          <w:rStyle w:val="FootnoteReference"/>
        </w:rPr>
        <w:footnoteReference w:id="40"/>
      </w:r>
    </w:p>
    <w:p>
      <w:pPr>
        <w:pStyle w:val="BodyText"/>
      </w:pPr>
      <w:r>
        <w:t xml:space="preserve">那用来裁决一切关于信仰的争议，并用来考量各议会的决议、古代作者的见解、人的教导及私人启示，而我们也当服从其定论的最高审断者，只能是通过圣经发声的圣灵。</w:t>
      </w:r>
      <w:r>
        <w:rPr>
          <w:rStyle w:val="FootnoteReference"/>
        </w:rPr>
        <w:footnoteReference w:id="41"/>
      </w:r>
    </w:p>
    <w:bookmarkEnd w:id="42"/>
    <w:bookmarkStart w:id="81" w:name="二论神与三位一体"/>
    <w:p>
      <w:pPr>
        <w:pStyle w:val="Heading2"/>
      </w:pPr>
      <w:r>
        <w:t xml:space="preserve">二、论神与三位一体</w:t>
      </w:r>
    </w:p>
    <w:p>
      <w:pPr>
        <w:pStyle w:val="FirstParagraph"/>
      </w:pPr>
      <w:r>
        <w:t xml:space="preserve">独一、永活且真实的神只有一位，</w:t>
      </w:r>
      <w:r>
        <w:rPr>
          <w:rStyle w:val="FootnoteReference"/>
        </w:rPr>
        <w:footnoteReference w:id="43"/>
      </w:r>
      <w:r>
        <w:t xml:space="preserve"> </w:t>
      </w:r>
      <w:r>
        <w:t xml:space="preserve">他在本质和完全性上是无穷的，</w:t>
      </w:r>
      <w:r>
        <w:rPr>
          <w:rStyle w:val="FootnoteReference"/>
        </w:rPr>
        <w:footnoteReference w:id="44"/>
      </w:r>
      <w:r>
        <w:t xml:space="preserve"> </w:t>
      </w:r>
      <w:r>
        <w:t xml:space="preserve">是至洁的灵，</w:t>
      </w:r>
      <w:r>
        <w:rPr>
          <w:rStyle w:val="FootnoteReference"/>
        </w:rPr>
        <w:footnoteReference w:id="45"/>
      </w:r>
      <w:r>
        <w:t xml:space="preserve"> </w:t>
      </w:r>
      <w:r>
        <w:t xml:space="preserve">是不可见的，</w:t>
      </w:r>
      <w:r>
        <w:rPr>
          <w:rStyle w:val="FootnoteReference"/>
        </w:rPr>
        <w:footnoteReference w:id="46"/>
      </w:r>
      <w:r>
        <w:t xml:space="preserve"> </w:t>
      </w:r>
      <w:r>
        <w:t xml:space="preserve">没有身体、肢体或情绪上的变化；</w:t>
      </w:r>
      <w:r>
        <w:rPr>
          <w:rStyle w:val="FootnoteReference"/>
        </w:rPr>
        <w:footnoteReference w:id="47"/>
      </w:r>
      <w:r>
        <w:t xml:space="preserve"> </w:t>
      </w:r>
      <w:r>
        <w:t xml:space="preserve">他不改变，</w:t>
      </w:r>
      <w:r>
        <w:rPr>
          <w:rStyle w:val="FootnoteReference"/>
        </w:rPr>
        <w:footnoteReference w:id="48"/>
      </w:r>
      <w:r>
        <w:t xml:space="preserve"> </w:t>
      </w:r>
      <w:r>
        <w:t xml:space="preserve">无所不在，</w:t>
      </w:r>
      <w:r>
        <w:rPr>
          <w:rStyle w:val="FootnoteReference"/>
        </w:rPr>
        <w:footnoteReference w:id="49"/>
      </w:r>
      <w:r>
        <w:t xml:space="preserve"> </w:t>
      </w:r>
      <w:r>
        <w:t xml:space="preserve">永恒，</w:t>
      </w:r>
      <w:r>
        <w:rPr>
          <w:rStyle w:val="FootnoteReference"/>
        </w:rPr>
        <w:footnoteReference w:id="50"/>
      </w:r>
      <w:r>
        <w:t xml:space="preserve"> </w:t>
      </w:r>
      <w:r>
        <w:t xml:space="preserve">不可测度，</w:t>
      </w:r>
      <w:r>
        <w:rPr>
          <w:rStyle w:val="FootnoteReference"/>
        </w:rPr>
        <w:footnoteReference w:id="51"/>
      </w:r>
      <w:r>
        <w:t xml:space="preserve"> </w:t>
      </w:r>
      <w:r>
        <w:t xml:space="preserve">全能，</w:t>
      </w:r>
      <w:r>
        <w:rPr>
          <w:rStyle w:val="FootnoteReference"/>
        </w:rPr>
        <w:footnoteReference w:id="52"/>
      </w:r>
      <w:r>
        <w:t xml:space="preserve"> </w:t>
      </w:r>
      <w:r>
        <w:t xml:space="preserve">至智慧，</w:t>
      </w:r>
      <w:r>
        <w:rPr>
          <w:rStyle w:val="FootnoteReference"/>
        </w:rPr>
        <w:footnoteReference w:id="53"/>
      </w:r>
      <w:r>
        <w:t xml:space="preserve"> </w:t>
      </w:r>
      <w:r>
        <w:t xml:space="preserve">至圣洁，</w:t>
      </w:r>
      <w:r>
        <w:rPr>
          <w:rStyle w:val="FootnoteReference"/>
        </w:rPr>
        <w:footnoteReference w:id="54"/>
      </w:r>
      <w:r>
        <w:t xml:space="preserve"> </w:t>
      </w:r>
      <w:r>
        <w:t xml:space="preserve">至自由，</w:t>
      </w:r>
      <w:r>
        <w:rPr>
          <w:rStyle w:val="FootnoteReference"/>
        </w:rPr>
        <w:footnoteReference w:id="55"/>
      </w:r>
      <w:r>
        <w:t xml:space="preserve"> </w:t>
      </w:r>
      <w:r>
        <w:t xml:space="preserve">至独立；</w:t>
      </w:r>
      <w:r>
        <w:rPr>
          <w:rStyle w:val="FootnoteReference"/>
        </w:rPr>
        <w:footnoteReference w:id="56"/>
      </w:r>
      <w:r>
        <w:t xml:space="preserve"> </w:t>
      </w:r>
      <w:r>
        <w:t xml:space="preserve">按照他自己不变且最公义的旨意行万事，</w:t>
      </w:r>
      <w:r>
        <w:rPr>
          <w:rStyle w:val="FootnoteReference"/>
        </w:rPr>
        <w:footnoteReference w:id="57"/>
      </w:r>
      <w:r>
        <w:t xml:space="preserve"> </w:t>
      </w:r>
      <w:r>
        <w:t xml:space="preserve">为的是自己的荣耀；</w:t>
      </w:r>
      <w:r>
        <w:rPr>
          <w:rStyle w:val="FootnoteReference"/>
        </w:rPr>
        <w:footnoteReference w:id="58"/>
      </w:r>
      <w:r>
        <w:t xml:space="preserve"> </w:t>
      </w:r>
      <w:r>
        <w:t xml:space="preserve">他至慈爱，</w:t>
      </w:r>
      <w:r>
        <w:rPr>
          <w:rStyle w:val="FootnoteReference"/>
        </w:rPr>
        <w:footnoteReference w:id="59"/>
      </w:r>
      <w:r>
        <w:t xml:space="preserve"> </w:t>
      </w:r>
      <w:r>
        <w:t xml:space="preserve">有恩典、有怜悯、足能忍耐、丰盛地充满美善与诚实，赦免罪孽、过犯与罪；</w:t>
      </w:r>
      <w:r>
        <w:rPr>
          <w:rStyle w:val="FootnoteReference"/>
        </w:rPr>
        <w:footnoteReference w:id="60"/>
      </w:r>
      <w:r>
        <w:t xml:space="preserve"> </w:t>
      </w:r>
      <w:r>
        <w:t xml:space="preserve">他必赏赐那些殷切寻求他的人；</w:t>
      </w:r>
      <w:r>
        <w:rPr>
          <w:rStyle w:val="FootnoteReference"/>
        </w:rPr>
        <w:footnoteReference w:id="61"/>
      </w:r>
      <w:r>
        <w:t xml:space="preserve"> </w:t>
      </w:r>
      <w:r>
        <w:t xml:space="preserve">同时，他也是最公义、在审判中令人生畏的；</w:t>
      </w:r>
      <w:r>
        <w:rPr>
          <w:rStyle w:val="FootnoteReference"/>
        </w:rPr>
        <w:footnoteReference w:id="62"/>
      </w:r>
      <w:r>
        <w:t xml:space="preserve"> </w:t>
      </w:r>
      <w:r>
        <w:t xml:space="preserve">恨恶一切罪恶，</w:t>
      </w:r>
      <w:r>
        <w:rPr>
          <w:rStyle w:val="FootnoteReference"/>
        </w:rPr>
        <w:footnoteReference w:id="63"/>
      </w:r>
      <w:r>
        <w:t xml:space="preserve"> </w:t>
      </w:r>
      <w:r>
        <w:t xml:space="preserve">绝不以有罪的为无罪。</w:t>
      </w:r>
      <w:r>
        <w:rPr>
          <w:rStyle w:val="FootnoteReference"/>
        </w:rPr>
        <w:footnoteReference w:id="64"/>
      </w:r>
    </w:p>
    <w:p>
      <w:pPr>
        <w:pStyle w:val="BodyText"/>
      </w:pPr>
      <w:r>
        <w:t xml:space="preserve">神在他自己里面，并本于他自己，拥有一切生命，</w:t>
      </w:r>
      <w:r>
        <w:rPr>
          <w:rStyle w:val="FootnoteReference"/>
        </w:rPr>
        <w:footnoteReference w:id="65"/>
      </w:r>
      <w:r>
        <w:t xml:space="preserve"> </w:t>
      </w:r>
      <w:r>
        <w:t xml:space="preserve">荣耀，</w:t>
      </w:r>
      <w:r>
        <w:rPr>
          <w:rStyle w:val="FootnoteReference"/>
        </w:rPr>
        <w:footnoteReference w:id="66"/>
      </w:r>
      <w:r>
        <w:t xml:space="preserve"> </w:t>
      </w:r>
      <w:r>
        <w:t xml:space="preserve">美善，</w:t>
      </w:r>
      <w:r>
        <w:rPr>
          <w:rStyle w:val="FootnoteReference"/>
        </w:rPr>
        <w:footnoteReference w:id="67"/>
      </w:r>
      <w:r>
        <w:t xml:space="preserve"> </w:t>
      </w:r>
      <w:r>
        <w:t xml:space="preserve">和真福；</w:t>
      </w:r>
      <w:r>
        <w:rPr>
          <w:rStyle w:val="FootnoteReference"/>
        </w:rPr>
        <w:footnoteReference w:id="68"/>
      </w:r>
      <w:r>
        <w:t xml:space="preserve"> </w:t>
      </w:r>
      <w:r>
        <w:t xml:space="preserve">他独自全足，不需要他所造的任何受造物，</w:t>
      </w:r>
      <w:r>
        <w:rPr>
          <w:rStyle w:val="FootnoteReference"/>
        </w:rPr>
        <w:footnoteReference w:id="69"/>
      </w:r>
      <w:r>
        <w:t xml:space="preserve"> </w:t>
      </w:r>
      <w:r>
        <w:t xml:space="preserve">也不从他们得荣耀，</w:t>
      </w:r>
      <w:r>
        <w:rPr>
          <w:rStyle w:val="FootnoteReference"/>
        </w:rPr>
        <w:footnoteReference w:id="70"/>
      </w:r>
      <w:r>
        <w:t xml:space="preserve"> </w:t>
      </w:r>
      <w:r>
        <w:t xml:space="preserve">而只是向他们、借他们、对他们，并在他们中显明他自己的荣耀；他是万有的唯一源头，万物都本于他、倚靠他、归于他；</w:t>
      </w:r>
      <w:r>
        <w:rPr>
          <w:rStyle w:val="FootnoteReference"/>
        </w:rPr>
        <w:footnoteReference w:id="71"/>
      </w:r>
      <w:r>
        <w:t xml:space="preserve"> </w:t>
      </w:r>
      <w:r>
        <w:t xml:space="preserve">他对万物拥有至高的主权，可随己意地借着它们、为着它们或在它们身上行事。</w:t>
      </w:r>
      <w:r>
        <w:rPr>
          <w:rStyle w:val="FootnoteReference"/>
        </w:rPr>
        <w:footnoteReference w:id="72"/>
      </w:r>
      <w:r>
        <w:t xml:space="preserve"> </w:t>
      </w:r>
      <w:r>
        <w:t xml:space="preserve">在他眼前，一切都显明无遗；</w:t>
      </w:r>
      <w:r>
        <w:rPr>
          <w:rStyle w:val="FootnoteReference"/>
        </w:rPr>
        <w:footnoteReference w:id="73"/>
      </w:r>
      <w:r>
        <w:t xml:space="preserve"> </w:t>
      </w:r>
      <w:r>
        <w:t xml:space="preserve">他的知识无限、无误、且不依赖任何受造物，</w:t>
      </w:r>
      <w:r>
        <w:rPr>
          <w:rStyle w:val="FootnoteReference"/>
        </w:rPr>
        <w:footnoteReference w:id="74"/>
      </w:r>
      <w:r>
        <w:t xml:space="preserve"> </w:t>
      </w:r>
      <w:r>
        <w:t xml:space="preserve">因此对他没有偶然或不确定之事。</w:t>
      </w:r>
      <w:r>
        <w:rPr>
          <w:rStyle w:val="FootnoteReference"/>
        </w:rPr>
        <w:footnoteReference w:id="75"/>
      </w:r>
      <w:r>
        <w:t xml:space="preserve"> </w:t>
      </w:r>
      <w:r>
        <w:t xml:space="preserve">他在一切计划、工作和诫命上都是至圣的。</w:t>
      </w:r>
      <w:r>
        <w:rPr>
          <w:rStyle w:val="FootnoteReference"/>
        </w:rPr>
        <w:footnoteReference w:id="76"/>
      </w:r>
      <w:r>
        <w:t xml:space="preserve"> </w:t>
      </w:r>
      <w:r>
        <w:t xml:space="preserve">他向天使、人，以及一切受造物要求任何敬拜、事奉或顺服，都是理所当然的。</w:t>
      </w:r>
      <w:r>
        <w:rPr>
          <w:rStyle w:val="FootnoteReference"/>
        </w:rPr>
        <w:footnoteReference w:id="77"/>
      </w:r>
    </w:p>
    <w:p>
      <w:pPr>
        <w:pStyle w:val="BodyText"/>
      </w:pPr>
      <w:r>
        <w:t xml:space="preserve">在独一的神性之中，有三个位格，他们同享一体的本质、权能和永恒性：即圣父、圣子和圣灵。</w:t>
      </w:r>
      <w:r>
        <w:rPr>
          <w:rStyle w:val="FootnoteReference"/>
        </w:rPr>
        <w:footnoteReference w:id="78"/>
      </w:r>
      <w:r>
        <w:t xml:space="preserve"> </w:t>
      </w:r>
      <w:r>
        <w:t xml:space="preserve">圣父无所从出，也并非受生或发出；圣子乃是从圣父永远受生；</w:t>
      </w:r>
      <w:r>
        <w:rPr>
          <w:rStyle w:val="FootnoteReference"/>
        </w:rPr>
        <w:footnoteReference w:id="79"/>
      </w:r>
      <w:r>
        <w:t xml:space="preserve"> </w:t>
      </w:r>
      <w:r>
        <w:t xml:space="preserve">圣灵则是从圣父和圣子永远发出。</w:t>
      </w:r>
      <w:r>
        <w:rPr>
          <w:rStyle w:val="FootnoteReference"/>
        </w:rPr>
        <w:footnoteReference w:id="80"/>
      </w:r>
    </w:p>
    <w:bookmarkEnd w:id="81"/>
    <w:bookmarkStart w:id="101" w:name="三论神的永恒预旨"/>
    <w:p>
      <w:pPr>
        <w:pStyle w:val="Heading2"/>
      </w:pPr>
      <w:r>
        <w:t xml:space="preserve">三、论神的永恒预旨</w:t>
      </w:r>
    </w:p>
    <w:p>
      <w:pPr>
        <w:pStyle w:val="FirstParagraph"/>
      </w:pPr>
      <w:r>
        <w:t xml:space="preserve">自永远以来，神凭着他自己最有智慧和至圣的旨意，随意且不可改变地预定了将要发生的一切；</w:t>
      </w:r>
      <w:r>
        <w:rPr>
          <w:rStyle w:val="FootnoteReference"/>
        </w:rPr>
        <w:footnoteReference w:id="82"/>
      </w:r>
      <w:r>
        <w:t xml:space="preserve"> </w:t>
      </w:r>
      <w:r>
        <w:t xml:space="preserve">但这样并不意味着神是罪的作者，</w:t>
      </w:r>
      <w:r>
        <w:rPr>
          <w:rStyle w:val="FootnoteReference"/>
        </w:rPr>
        <w:footnoteReference w:id="83"/>
      </w:r>
      <w:r>
        <w:t xml:space="preserve"> </w:t>
      </w:r>
      <w:r>
        <w:t xml:space="preserve">也没有强迫受造物的意志，也没有剥夺次要原因的自由或偶然性，反而巩固了它们。</w:t>
      </w:r>
      <w:r>
        <w:rPr>
          <w:rStyle w:val="FootnoteReference"/>
        </w:rPr>
        <w:footnoteReference w:id="84"/>
      </w:r>
    </w:p>
    <w:p>
      <w:pPr>
        <w:pStyle w:val="BodyText"/>
      </w:pPr>
      <w:r>
        <w:t xml:space="preserve">虽然神知道在一切所设想的情形下，任何可能或将要发生的事，</w:t>
      </w:r>
      <w:r>
        <w:rPr>
          <w:rStyle w:val="FootnoteReference"/>
        </w:rPr>
        <w:footnoteReference w:id="85"/>
      </w:r>
      <w:r>
        <w:t xml:space="preserve"> </w:t>
      </w:r>
      <w:r>
        <w:t xml:space="preserve">然而他并非因为预见这些事将会发生，或在此类情形下会发生，就这样预定了它们。</w:t>
      </w:r>
      <w:r>
        <w:rPr>
          <w:rStyle w:val="FootnoteReference"/>
        </w:rPr>
        <w:footnoteReference w:id="86"/>
      </w:r>
    </w:p>
    <w:p>
      <w:pPr>
        <w:pStyle w:val="BodyText"/>
      </w:pPr>
      <w:r>
        <w:t xml:space="preserve">神的预旨是为彰显他的荣耀：有些人和天使被预定得永生，有些则被预定至永死。</w:t>
      </w:r>
      <w:r>
        <w:rPr>
          <w:rStyle w:val="FootnoteReference"/>
        </w:rPr>
        <w:footnoteReference w:id="87"/>
      </w:r>
    </w:p>
    <w:p>
      <w:pPr>
        <w:pStyle w:val="BodyText"/>
      </w:pPr>
      <w:r>
        <w:t xml:space="preserve">如此被预定和命定的天使与人，都是特别且不可改变地被指定的；他们的数目确实且固定，既不增添也不减少。</w:t>
      </w:r>
      <w:r>
        <w:rPr>
          <w:rStyle w:val="FootnoteReference"/>
        </w:rPr>
        <w:footnoteReference w:id="88"/>
      </w:r>
    </w:p>
    <w:p>
      <w:pPr>
        <w:pStyle w:val="BodyText"/>
      </w:pPr>
      <w:r>
        <w:t xml:space="preserve">那些被预定得生命的人类，是在创立世界以前，神照他永恒不变的旨意、以及他隐藏的计划和美意，在基督里拣选他们得享永恒的荣耀，</w:t>
      </w:r>
      <w:r>
        <w:rPr>
          <w:rStyle w:val="FootnoteReference"/>
        </w:rPr>
        <w:footnoteReference w:id="89"/>
      </w:r>
      <w:r>
        <w:t xml:space="preserve"> </w:t>
      </w:r>
      <w:r>
        <w:t xml:space="preserve">这完全是出于他白白的恩典与慈爱，并非由于他预见了他们有信心或善行、或能持守这些，或受造物里任何其他因素，成为他这样拣选的条件或原因；</w:t>
      </w:r>
      <w:r>
        <w:rPr>
          <w:rStyle w:val="FootnoteReference"/>
        </w:rPr>
        <w:footnoteReference w:id="90"/>
      </w:r>
      <w:r>
        <w:t xml:space="preserve"> </w:t>
      </w:r>
      <w:r>
        <w:t xml:space="preserve">这一切都归于他荣耀恩典的赞美。</w:t>
      </w:r>
      <w:r>
        <w:rPr>
          <w:rStyle w:val="FootnoteReference"/>
        </w:rPr>
        <w:footnoteReference w:id="91"/>
      </w:r>
    </w:p>
    <w:p>
      <w:pPr>
        <w:pStyle w:val="BodyText"/>
      </w:pPr>
      <w:r>
        <w:t xml:space="preserve">神既然预定蒙拣选的人得荣耀，他也借着自己永恒且极其自由的旨意，预定了引导他们得荣耀的一切途径。</w:t>
      </w:r>
      <w:r>
        <w:rPr>
          <w:rStyle w:val="FootnoteReference"/>
        </w:rPr>
        <w:footnoteReference w:id="92"/>
      </w:r>
      <w:r>
        <w:t xml:space="preserve"> </w:t>
      </w:r>
      <w:r>
        <w:t xml:space="preserve">因此，那些被拣选的人，虽在亚当里堕落，却借着基督得蒙救赎，</w:t>
      </w:r>
      <w:r>
        <w:rPr>
          <w:rStyle w:val="FootnoteReference"/>
        </w:rPr>
        <w:footnoteReference w:id="93"/>
      </w:r>
      <w:r>
        <w:t xml:space="preserve"> </w:t>
      </w:r>
      <w:r>
        <w:t xml:space="preserve">并在适当的时候由圣灵感动而有功效地归信基督；他们得称义、得儿子名分、被分别为圣，</w:t>
      </w:r>
      <w:r>
        <w:rPr>
          <w:rStyle w:val="FootnoteReference"/>
        </w:rPr>
        <w:footnoteReference w:id="94"/>
      </w:r>
      <w:r>
        <w:t xml:space="preserve"> </w:t>
      </w:r>
      <w:r>
        <w:t xml:space="preserve">并且靠着神的大能，借信心而被保守，直到得救。</w:t>
      </w:r>
      <w:r>
        <w:rPr>
          <w:rStyle w:val="FootnoteReference"/>
        </w:rPr>
        <w:footnoteReference w:id="95"/>
      </w:r>
      <w:r>
        <w:t xml:space="preserve"> </w:t>
      </w:r>
      <w:r>
        <w:t xml:space="preserve">除了那些蒙拣选的人以外，没有任何人能借基督得救赎，也不会有效地被呼召、被称义、领受儿子名分、被分别为圣并得救。</w:t>
      </w:r>
      <w:r>
        <w:rPr>
          <w:rStyle w:val="FootnoteReference"/>
        </w:rPr>
        <w:footnoteReference w:id="96"/>
      </w:r>
    </w:p>
    <w:p>
      <w:pPr>
        <w:pStyle w:val="BodyText"/>
      </w:pPr>
      <w:r>
        <w:t xml:space="preserve">至于其余的人，神按他自己那高深莫测的旨意行事，为彰显他对受造物的至高权能，他或向他们施怜悯，或不施怜悯；他离弃他们，并任凭他们因自己的罪而落在羞辱和忿怒之中，使他荣耀的公义得着称颂。</w:t>
      </w:r>
      <w:r>
        <w:rPr>
          <w:rStyle w:val="FootnoteReference"/>
        </w:rPr>
        <w:footnoteReference w:id="97"/>
      </w:r>
    </w:p>
    <w:p>
      <w:pPr>
        <w:pStyle w:val="BodyText"/>
      </w:pPr>
      <w:r>
        <w:t xml:space="preserve">对这高深的预定教义，要以谨慎和小心的态度来对待，</w:t>
      </w:r>
      <w:r>
        <w:rPr>
          <w:rStyle w:val="FootnoteReference"/>
        </w:rPr>
        <w:footnoteReference w:id="98"/>
      </w:r>
      <w:r>
        <w:t xml:space="preserve"> </w:t>
      </w:r>
      <w:r>
        <w:t xml:space="preserve">好让人专注于神在他的话语中所启示的旨意，并顺服之，从而能够因自己有效蒙召的确据，而得知自己已经蒙了永恒的拣选。</w:t>
      </w:r>
      <w:r>
        <w:rPr>
          <w:rStyle w:val="FootnoteReference"/>
        </w:rPr>
        <w:footnoteReference w:id="99"/>
      </w:r>
      <w:r>
        <w:t xml:space="preserve"> </w:t>
      </w:r>
      <w:r>
        <w:t xml:space="preserve">这样，这教义能使人对神生出赞美、敬畏和惊叹，也能激发谦卑、殷勤，并为真心顺服福音的人带来丰盛的安慰。</w:t>
      </w:r>
      <w:r>
        <w:rPr>
          <w:rStyle w:val="FootnoteReference"/>
        </w:rPr>
        <w:footnoteReference w:id="100"/>
      </w:r>
    </w:p>
    <w:bookmarkEnd w:id="101"/>
    <w:bookmarkStart w:id="121" w:name="三论神的永恒预旨-1"/>
    <w:p>
      <w:pPr>
        <w:pStyle w:val="Heading2"/>
      </w:pPr>
      <w:r>
        <w:t xml:space="preserve">三、论神的永恒预旨</w:t>
      </w:r>
    </w:p>
    <w:p>
      <w:pPr>
        <w:pStyle w:val="FirstParagraph"/>
      </w:pPr>
      <w:r>
        <w:t xml:space="preserve">自永远以来，神凭着他自己最有智慧和至圣的旨意，随意且不可改变地预定了将要发生的一切；</w:t>
      </w:r>
      <w:r>
        <w:rPr>
          <w:rStyle w:val="FootnoteReference"/>
        </w:rPr>
        <w:footnoteReference w:id="102"/>
      </w:r>
      <w:r>
        <w:t xml:space="preserve"> </w:t>
      </w:r>
      <w:r>
        <w:t xml:space="preserve">但这样并不意味着神是罪的作者，</w:t>
      </w:r>
      <w:r>
        <w:rPr>
          <w:rStyle w:val="FootnoteReference"/>
        </w:rPr>
        <w:footnoteReference w:id="103"/>
      </w:r>
      <w:r>
        <w:t xml:space="preserve"> </w:t>
      </w:r>
      <w:r>
        <w:t xml:space="preserve">也没有强迫受造物的意志，也没有剥夺次要原因的自由或偶然性，反而巩固了它们。</w:t>
      </w:r>
      <w:r>
        <w:rPr>
          <w:rStyle w:val="FootnoteReference"/>
        </w:rPr>
        <w:footnoteReference w:id="104"/>
      </w:r>
    </w:p>
    <w:p>
      <w:pPr>
        <w:pStyle w:val="BodyText"/>
      </w:pPr>
      <w:r>
        <w:t xml:space="preserve">虽然神知道在一切所设想的情形下，任何可能或将要发生的事，</w:t>
      </w:r>
      <w:r>
        <w:rPr>
          <w:rStyle w:val="FootnoteReference"/>
        </w:rPr>
        <w:footnoteReference w:id="105"/>
      </w:r>
      <w:r>
        <w:t xml:space="preserve"> </w:t>
      </w:r>
      <w:r>
        <w:t xml:space="preserve">然而他并非因为预见这些事将会发生，或在此类情形下会发生，就这样预定了它们。</w:t>
      </w:r>
      <w:r>
        <w:rPr>
          <w:rStyle w:val="FootnoteReference"/>
        </w:rPr>
        <w:footnoteReference w:id="106"/>
      </w:r>
    </w:p>
    <w:p>
      <w:pPr>
        <w:pStyle w:val="BodyText"/>
      </w:pPr>
      <w:r>
        <w:t xml:space="preserve">神的预旨是为彰显他的荣耀：有些人和天使被预定得永生，有些则被预定至永死。</w:t>
      </w:r>
      <w:r>
        <w:rPr>
          <w:rStyle w:val="FootnoteReference"/>
        </w:rPr>
        <w:footnoteReference w:id="107"/>
      </w:r>
    </w:p>
    <w:p>
      <w:pPr>
        <w:pStyle w:val="BodyText"/>
      </w:pPr>
      <w:r>
        <w:t xml:space="preserve">如此被预定和命定的天使与人，都是特别且不可改变地被指定的；他们的数目确实且固定，既不增添也不减少。</w:t>
      </w:r>
      <w:r>
        <w:rPr>
          <w:rStyle w:val="FootnoteReference"/>
        </w:rPr>
        <w:footnoteReference w:id="108"/>
      </w:r>
    </w:p>
    <w:p>
      <w:pPr>
        <w:pStyle w:val="BodyText"/>
      </w:pPr>
      <w:r>
        <w:t xml:space="preserve">那些被预定得生命的人类，是在创立世界以前，神照他永恒不变的旨意、以及他隐藏的计划和美意，在基督里拣选他们得享永恒的荣耀，</w:t>
      </w:r>
      <w:r>
        <w:rPr>
          <w:rStyle w:val="FootnoteReference"/>
        </w:rPr>
        <w:footnoteReference w:id="109"/>
      </w:r>
      <w:r>
        <w:t xml:space="preserve"> </w:t>
      </w:r>
      <w:r>
        <w:t xml:space="preserve">这完全是出于他白白的恩典与慈爱，并非由于他预见了他们有信心或善行、或能持守这些，或受造物里任何其他因素，成为他这样拣选的条件或原因；</w:t>
      </w:r>
      <w:r>
        <w:rPr>
          <w:rStyle w:val="FootnoteReference"/>
        </w:rPr>
        <w:footnoteReference w:id="110"/>
      </w:r>
      <w:r>
        <w:t xml:space="preserve"> </w:t>
      </w:r>
      <w:r>
        <w:t xml:space="preserve">这一切都归于他荣耀恩典的赞美。</w:t>
      </w:r>
      <w:r>
        <w:rPr>
          <w:rStyle w:val="FootnoteReference"/>
        </w:rPr>
        <w:footnoteReference w:id="111"/>
      </w:r>
    </w:p>
    <w:p>
      <w:pPr>
        <w:pStyle w:val="BodyText"/>
      </w:pPr>
      <w:r>
        <w:t xml:space="preserve">神既然预定蒙拣选的人得荣耀，他也借着自己永恒且极其自由的旨意，预定了引导他们得荣耀的一切途径。</w:t>
      </w:r>
      <w:r>
        <w:rPr>
          <w:rStyle w:val="FootnoteReference"/>
        </w:rPr>
        <w:footnoteReference w:id="112"/>
      </w:r>
      <w:r>
        <w:t xml:space="preserve"> </w:t>
      </w:r>
      <w:r>
        <w:t xml:space="preserve">因此，那些被拣选的人，虽在亚当里堕落，却借着基督得蒙救赎，</w:t>
      </w:r>
      <w:r>
        <w:rPr>
          <w:rStyle w:val="FootnoteReference"/>
        </w:rPr>
        <w:footnoteReference w:id="113"/>
      </w:r>
      <w:r>
        <w:t xml:space="preserve"> </w:t>
      </w:r>
      <w:r>
        <w:t xml:space="preserve">并在适当的时候由圣灵感动而有功效地归信基督；他们得称义、得儿子名分、被分别为圣，</w:t>
      </w:r>
      <w:r>
        <w:rPr>
          <w:rStyle w:val="FootnoteReference"/>
        </w:rPr>
        <w:footnoteReference w:id="114"/>
      </w:r>
      <w:r>
        <w:t xml:space="preserve"> </w:t>
      </w:r>
      <w:r>
        <w:t xml:space="preserve">并且靠着神的大能，借信心而被保守，直到得救。</w:t>
      </w:r>
      <w:r>
        <w:rPr>
          <w:rStyle w:val="FootnoteReference"/>
        </w:rPr>
        <w:footnoteReference w:id="115"/>
      </w:r>
      <w:r>
        <w:t xml:space="preserve"> </w:t>
      </w:r>
      <w:r>
        <w:t xml:space="preserve">除了那些蒙拣选的人以外，没有任何人能借基督得救赎，也不会有效地被呼召、被称义、领受儿子名分、被分别为圣并得救。</w:t>
      </w:r>
      <w:r>
        <w:rPr>
          <w:rStyle w:val="FootnoteReference"/>
        </w:rPr>
        <w:footnoteReference w:id="116"/>
      </w:r>
    </w:p>
    <w:p>
      <w:pPr>
        <w:pStyle w:val="BodyText"/>
      </w:pPr>
      <w:r>
        <w:t xml:space="preserve">至于其余的人，神按他自己那高深莫测的旨意行事，为彰显他对受造物的至高权能，他或向他们施怜悯，或不施怜悯；他离弃他们，并任凭他们因自己的罪而落在羞辱和忿怒之中，使他荣耀的公义得着称颂。</w:t>
      </w:r>
      <w:r>
        <w:rPr>
          <w:rStyle w:val="FootnoteReference"/>
        </w:rPr>
        <w:footnoteReference w:id="117"/>
      </w:r>
    </w:p>
    <w:p>
      <w:pPr>
        <w:pStyle w:val="BodyText"/>
      </w:pPr>
      <w:r>
        <w:t xml:space="preserve">对这高深的预定教义，要以谨慎和小心的态度来对待，</w:t>
      </w:r>
      <w:r>
        <w:rPr>
          <w:rStyle w:val="FootnoteReference"/>
        </w:rPr>
        <w:footnoteReference w:id="118"/>
      </w:r>
      <w:r>
        <w:t xml:space="preserve"> </w:t>
      </w:r>
      <w:r>
        <w:t xml:space="preserve">好让人专注于神在他的话语中所启示的旨意，并顺服之，从而能够因自己有效蒙召的确据，而得知自己已经蒙了永恒的拣选。</w:t>
      </w:r>
      <w:r>
        <w:rPr>
          <w:rStyle w:val="FootnoteReference"/>
        </w:rPr>
        <w:footnoteReference w:id="119"/>
      </w:r>
      <w:r>
        <w:t xml:space="preserve"> </w:t>
      </w:r>
      <w:r>
        <w:t xml:space="preserve">这样，这教义能使人对神生出赞美、敬畏和惊叹，也能激发谦卑、殷勤，并为真心顺服福音的人带来丰盛的安慰。</w:t>
      </w:r>
      <w:r>
        <w:rPr>
          <w:rStyle w:val="FootnoteReference"/>
        </w:rPr>
        <w:footnoteReference w:id="120"/>
      </w:r>
    </w:p>
    <w:bookmarkEnd w:id="121"/>
    <w:bookmarkStart w:id="133" w:name="四论创造"/>
    <w:p>
      <w:pPr>
        <w:pStyle w:val="Heading2"/>
      </w:pPr>
      <w:r>
        <w:t xml:space="preserve">四、论创造</w:t>
      </w:r>
    </w:p>
    <w:p>
      <w:pPr>
        <w:pStyle w:val="FirstParagraph"/>
      </w:pPr>
      <w:r>
        <w:t xml:space="preserve">圣父、圣子与圣灵，</w:t>
      </w:r>
      <w:r>
        <w:rPr>
          <w:rStyle w:val="FootnoteReference"/>
        </w:rPr>
        <w:footnoteReference w:id="122"/>
      </w:r>
      <w:r>
        <w:t xml:space="preserve"> </w:t>
      </w:r>
      <w:r>
        <w:t xml:space="preserve">为了彰显他那永恒大能、智慧与美善的荣耀，</w:t>
      </w:r>
      <w:r>
        <w:rPr>
          <w:rStyle w:val="FootnoteReference"/>
        </w:rPr>
        <w:footnoteReference w:id="123"/>
      </w:r>
      <w:r>
        <w:t xml:space="preserve"> </w:t>
      </w:r>
      <w:r>
        <w:t xml:space="preserve">起初从无创造了世界和其中的一切，无论是可见的还是不可见的，都在六日之内受造，而且样样甚好。</w:t>
      </w:r>
      <w:r>
        <w:rPr>
          <w:rStyle w:val="FootnoteReference"/>
        </w:rPr>
        <w:footnoteReference w:id="124"/>
      </w:r>
    </w:p>
    <w:p>
      <w:pPr>
        <w:pStyle w:val="BodyText"/>
      </w:pPr>
      <w:r>
        <w:t xml:space="preserve">神在造了其余的万物之后，又创造了人，造男造女，</w:t>
      </w:r>
      <w:r>
        <w:rPr>
          <w:rStyle w:val="FootnoteReference"/>
        </w:rPr>
        <w:footnoteReference w:id="125"/>
      </w:r>
      <w:r>
        <w:t xml:space="preserve"> </w:t>
      </w:r>
      <w:r>
        <w:t xml:space="preserve">赋予他们有理性且不朽的灵魂，</w:t>
      </w:r>
      <w:r>
        <w:rPr>
          <w:rStyle w:val="FootnoteReference"/>
        </w:rPr>
        <w:footnoteReference w:id="126"/>
      </w:r>
      <w:r>
        <w:t xml:space="preserve"> </w:t>
      </w:r>
      <w:r>
        <w:t xml:space="preserve">照着他的形象，具有知识、公义与真正的圣洁；</w:t>
      </w:r>
      <w:r>
        <w:rPr>
          <w:rStyle w:val="FootnoteReference"/>
        </w:rPr>
        <w:footnoteReference w:id="127"/>
      </w:r>
      <w:r>
        <w:t xml:space="preserve"> </w:t>
      </w:r>
      <w:r>
        <w:t xml:space="preserve">并且神的律法刻在他们心里，</w:t>
      </w:r>
      <w:r>
        <w:rPr>
          <w:rStyle w:val="FootnoteReference"/>
        </w:rPr>
        <w:footnoteReference w:id="128"/>
      </w:r>
      <w:r>
        <w:t xml:space="preserve"> </w:t>
      </w:r>
      <w:r>
        <w:t xml:space="preserve">他们有能力去遵行，</w:t>
      </w:r>
      <w:r>
        <w:rPr>
          <w:rStyle w:val="FootnoteReference"/>
        </w:rPr>
        <w:footnoteReference w:id="129"/>
      </w:r>
      <w:r>
        <w:t xml:space="preserve"> </w:t>
      </w:r>
      <w:r>
        <w:t xml:space="preserve">但亦有犯罪的可能，因他们拥有可以改变的自由意志。</w:t>
      </w:r>
      <w:r>
        <w:rPr>
          <w:rStyle w:val="FootnoteReference"/>
        </w:rPr>
        <w:footnoteReference w:id="130"/>
      </w:r>
    </w:p>
    <w:p>
      <w:pPr>
        <w:pStyle w:val="BodyText"/>
      </w:pPr>
      <w:r>
        <w:t xml:space="preserve">除了这写在他们心里的律法外，他们还领受了一个命令，不可吃那分辨善恶树上的果子；</w:t>
      </w:r>
      <w:r>
        <w:rPr>
          <w:rStyle w:val="FootnoteReference"/>
        </w:rPr>
        <w:footnoteReference w:id="131"/>
      </w:r>
      <w:r>
        <w:t xml:space="preserve"> </w:t>
      </w:r>
      <w:r>
        <w:t xml:space="preserve">当他们遵守时，就在与神的相交中得享福乐，并且对万物拥有管辖的权柄。</w:t>
      </w:r>
      <w:r>
        <w:rPr>
          <w:rStyle w:val="FootnoteReference"/>
        </w:rPr>
        <w:footnoteReference w:id="132"/>
      </w:r>
    </w:p>
    <w:bookmarkEnd w:id="133"/>
    <w:bookmarkStart w:id="160" w:name="五论护理"/>
    <w:p>
      <w:pPr>
        <w:pStyle w:val="Heading2"/>
      </w:pPr>
      <w:r>
        <w:t xml:space="preserve">五、论护理</w:t>
      </w:r>
    </w:p>
    <w:p>
      <w:pPr>
        <w:pStyle w:val="FirstParagraph"/>
      </w:pPr>
      <w:r>
        <w:t xml:space="preserve">神是万物伟大的创造者，他用自己最有智慧且至圣的护理，托住、引导、安排和管理所有的受造物、作为与万事，</w:t>
      </w:r>
      <w:r>
        <w:rPr>
          <w:rStyle w:val="FootnoteReference"/>
        </w:rPr>
        <w:footnoteReference w:id="134"/>
      </w:r>
      <w:r>
        <w:t xml:space="preserve"> </w:t>
      </w:r>
      <w:r>
        <w:t xml:space="preserve">从最大到最小都在他的手中，</w:t>
      </w:r>
      <w:r>
        <w:rPr>
          <w:rStyle w:val="FootnoteReference"/>
        </w:rPr>
        <w:footnoteReference w:id="135"/>
      </w:r>
      <w:r>
        <w:t xml:space="preserve"> </w:t>
      </w:r>
      <w:r>
        <w:t xml:space="preserve">这都是依照他无误的预知，</w:t>
      </w:r>
      <w:r>
        <w:rPr>
          <w:rStyle w:val="FootnoteReference"/>
        </w:rPr>
        <w:footnoteReference w:id="136"/>
      </w:r>
      <w:r>
        <w:t xml:space="preserve"> </w:t>
      </w:r>
      <w:r>
        <w:t xml:space="preserve">以及他自己自由且不可改变的旨意所定的计划，</w:t>
      </w:r>
      <w:r>
        <w:rPr>
          <w:rStyle w:val="FootnoteReference"/>
        </w:rPr>
        <w:footnoteReference w:id="137"/>
      </w:r>
      <w:r>
        <w:t xml:space="preserve"> </w:t>
      </w:r>
      <w:r>
        <w:t xml:space="preserve">使他的智慧、大能、公义、美善和怜悯的荣耀得着颂赞。</w:t>
      </w:r>
      <w:r>
        <w:rPr>
          <w:rStyle w:val="FootnoteReference"/>
        </w:rPr>
        <w:footnoteReference w:id="138"/>
      </w:r>
    </w:p>
    <w:p>
      <w:pPr>
        <w:pStyle w:val="BodyText"/>
      </w:pPr>
      <w:r>
        <w:t xml:space="preserve">虽然就神这第一因的预知和预旨而言，一切事情都必然且无误地发生；</w:t>
      </w:r>
      <w:r>
        <w:rPr>
          <w:rStyle w:val="FootnoteReference"/>
        </w:rPr>
        <w:footnoteReference w:id="139"/>
      </w:r>
      <w:r>
        <w:t xml:space="preserve"> </w:t>
      </w:r>
      <w:r>
        <w:t xml:space="preserve">但神也借着同样的护理，使事情按次要原因的本性而发生，或必然，或自由，或偶然。</w:t>
      </w:r>
      <w:r>
        <w:rPr>
          <w:rStyle w:val="FootnoteReference"/>
        </w:rPr>
        <w:footnoteReference w:id="140"/>
      </w:r>
    </w:p>
    <w:p>
      <w:pPr>
        <w:pStyle w:val="BodyText"/>
      </w:pPr>
      <w:r>
        <w:t xml:space="preserve">神在他常用的护理中，会使用种种方法；</w:t>
      </w:r>
      <w:r>
        <w:rPr>
          <w:rStyle w:val="FootnoteReference"/>
        </w:rPr>
        <w:footnoteReference w:id="141"/>
      </w:r>
      <w:r>
        <w:t xml:space="preserve"> </w:t>
      </w:r>
      <w:r>
        <w:t xml:space="preserve">然而他也可以不借着这些方法，</w:t>
      </w:r>
      <w:r>
        <w:rPr>
          <w:rStyle w:val="FootnoteReference"/>
        </w:rPr>
        <w:footnoteReference w:id="142"/>
      </w:r>
      <w:r>
        <w:t xml:space="preserve"> </w:t>
      </w:r>
      <w:r>
        <w:t xml:space="preserve">或超越这些方法，</w:t>
      </w:r>
      <w:r>
        <w:rPr>
          <w:rStyle w:val="FootnoteReference"/>
        </w:rPr>
        <w:footnoteReference w:id="143"/>
      </w:r>
      <w:r>
        <w:t xml:space="preserve"> </w:t>
      </w:r>
      <w:r>
        <w:t xml:space="preserve">甚至违背这些方法，随他的旨意行事。</w:t>
      </w:r>
      <w:r>
        <w:rPr>
          <w:rStyle w:val="FootnoteReference"/>
        </w:rPr>
        <w:footnoteReference w:id="144"/>
      </w:r>
    </w:p>
    <w:p>
      <w:pPr>
        <w:pStyle w:val="BodyText"/>
      </w:pPr>
      <w:r>
        <w:t xml:space="preserve">神的大能无限、智慧难测、恩慈无量，在他的护理之中充份展现，以至于他的护理甚至及于天使与人最初的堕落，以及他们所有的罪；</w:t>
      </w:r>
      <w:r>
        <w:rPr>
          <w:rStyle w:val="FootnoteReference"/>
        </w:rPr>
        <w:footnoteReference w:id="145"/>
      </w:r>
      <w:r>
        <w:t xml:space="preserve"> </w:t>
      </w:r>
      <w:r>
        <w:t xml:space="preserve">这并非仅仅是消极的任凭，</w:t>
      </w:r>
      <w:r>
        <w:rPr>
          <w:rStyle w:val="FootnoteReference"/>
        </w:rPr>
        <w:footnoteReference w:id="146"/>
      </w:r>
      <w:r>
        <w:t xml:space="preserve"> </w:t>
      </w:r>
      <w:r>
        <w:t xml:space="preserve">而是伴随着最智慧且大能的限制，</w:t>
      </w:r>
      <w:r>
        <w:rPr>
          <w:rStyle w:val="FootnoteReference"/>
        </w:rPr>
        <w:footnoteReference w:id="147"/>
      </w:r>
      <w:r>
        <w:t xml:space="preserve"> </w:t>
      </w:r>
      <w:r>
        <w:t xml:space="preserve">并且以多样的方式加以安排和管理，使之成就他自己的圣洁旨意；</w:t>
      </w:r>
      <w:r>
        <w:rPr>
          <w:rStyle w:val="FootnoteReference"/>
        </w:rPr>
        <w:footnoteReference w:id="148"/>
      </w:r>
      <w:r>
        <w:t xml:space="preserve"> </w:t>
      </w:r>
      <w:r>
        <w:t xml:space="preserve">然而其中的罪性只来自受造物，与神无关，因为神至圣且公义，不是也不可能成为罪的作者或赞同者。</w:t>
      </w:r>
      <w:r>
        <w:rPr>
          <w:rStyle w:val="FootnoteReference"/>
        </w:rPr>
        <w:footnoteReference w:id="149"/>
      </w:r>
    </w:p>
    <w:p>
      <w:pPr>
        <w:pStyle w:val="BodyText"/>
      </w:pPr>
      <w:r>
        <w:t xml:space="preserve">这位满有智慧、公义并充满恩典的神，常常会在一段时间里，将他自己的儿女交给各样的试探，以及他们内心的败坏，好藉此惩治他们先前的罪，或显明他们心中隐藏的败坏力量与诡诈，使他们谦卑；</w:t>
      </w:r>
      <w:r>
        <w:rPr>
          <w:rStyle w:val="FootnoteReference"/>
        </w:rPr>
        <w:footnoteReference w:id="150"/>
      </w:r>
      <w:r>
        <w:t xml:space="preserve"> </w:t>
      </w:r>
      <w:r>
        <w:t xml:space="preserve">并使他们更紧密且恒久地倚靠神所赐的帮助，也使他们对于将来可能的罪有更谨慎的防备，并完成其他种种公义而圣洁的目的。</w:t>
      </w:r>
      <w:r>
        <w:rPr>
          <w:rStyle w:val="FootnoteReference"/>
        </w:rPr>
        <w:footnoteReference w:id="151"/>
      </w:r>
    </w:p>
    <w:p>
      <w:pPr>
        <w:pStyle w:val="BodyText"/>
      </w:pPr>
      <w:r>
        <w:t xml:space="preserve">至于那些邪恶而不敬虔的人，神作为公义的审判者，因他们以前的罪而使他们心眼昏迷、刚硬，</w:t>
      </w:r>
      <w:r>
        <w:rPr>
          <w:rStyle w:val="FootnoteReference"/>
        </w:rPr>
        <w:footnoteReference w:id="152"/>
      </w:r>
      <w:r>
        <w:t xml:space="preserve"> </w:t>
      </w:r>
      <w:r>
        <w:t xml:space="preserve">他不仅不赐给他们本可照亮其心思、感动其内心的恩典，</w:t>
      </w:r>
      <w:r>
        <w:rPr>
          <w:rStyle w:val="FootnoteReference"/>
        </w:rPr>
        <w:footnoteReference w:id="153"/>
      </w:r>
      <w:r>
        <w:t xml:space="preserve"> </w:t>
      </w:r>
      <w:r>
        <w:t xml:space="preserve">有时甚至收回他们原有的恩赐，</w:t>
      </w:r>
      <w:r>
        <w:rPr>
          <w:rStyle w:val="FootnoteReference"/>
        </w:rPr>
        <w:footnoteReference w:id="154"/>
      </w:r>
      <w:r>
        <w:t xml:space="preserve"> </w:t>
      </w:r>
      <w:r>
        <w:t xml:space="preserve">并使他们面临能因他们的败坏而成为犯罪机会的事物；</w:t>
      </w:r>
      <w:r>
        <w:rPr>
          <w:rStyle w:val="FootnoteReference"/>
        </w:rPr>
        <w:footnoteReference w:id="155"/>
      </w:r>
      <w:r>
        <w:t xml:space="preserve"> </w:t>
      </w:r>
      <w:r>
        <w:t xml:space="preserve">而且把他们交给自己情欲的捆绑、世俗的试探以及撒但的权势之下；</w:t>
      </w:r>
      <w:r>
        <w:rPr>
          <w:rStyle w:val="FootnoteReference"/>
        </w:rPr>
        <w:footnoteReference w:id="156"/>
      </w:r>
      <w:r>
        <w:t xml:space="preserve"> </w:t>
      </w:r>
      <w:r>
        <w:t xml:space="preserve">这样，他们就在神用来柔软别人的方法之下，反倒使自己更为刚硬。</w:t>
      </w:r>
      <w:r>
        <w:rPr>
          <w:rStyle w:val="FootnoteReference"/>
        </w:rPr>
        <w:footnoteReference w:id="157"/>
      </w:r>
    </w:p>
    <w:p>
      <w:pPr>
        <w:pStyle w:val="BodyText"/>
      </w:pPr>
      <w:r>
        <w:t xml:space="preserve">神的护理普遍临到所有受造物；</w:t>
      </w:r>
      <w:r>
        <w:rPr>
          <w:rStyle w:val="FootnoteReference"/>
        </w:rPr>
        <w:footnoteReference w:id="158"/>
      </w:r>
      <w:r>
        <w:t xml:space="preserve"> </w:t>
      </w:r>
      <w:r>
        <w:t xml:space="preserve">但他又以特别的方式看顾他的教会，使万事都为教会得益处。</w:t>
      </w:r>
      <w:r>
        <w:rPr>
          <w:rStyle w:val="FootnoteReference"/>
        </w:rPr>
        <w:footnoteReference w:id="159"/>
      </w:r>
    </w:p>
    <w:bookmarkEnd w:id="160"/>
    <w:bookmarkStart w:id="181" w:name="六论人的堕落罪及其刑罚"/>
    <w:p>
      <w:pPr>
        <w:pStyle w:val="Heading2"/>
      </w:pPr>
      <w:r>
        <w:t xml:space="preserve">六、论人的堕落、罪及其刑罚</w:t>
      </w:r>
    </w:p>
    <w:p>
      <w:pPr>
        <w:pStyle w:val="FirstParagraph"/>
      </w:pPr>
      <w:r>
        <w:t xml:space="preserve">我们的始祖在撒但的诡计和诱惑之下犯罪，吃了那禁果。</w:t>
      </w:r>
      <w:r>
        <w:rPr>
          <w:rStyle w:val="FootnoteReference"/>
        </w:rPr>
        <w:footnoteReference w:id="161"/>
      </w:r>
      <w:r>
        <w:t xml:space="preserve"> </w:t>
      </w:r>
      <w:r>
        <w:t xml:space="preserve">对于他们的这次犯罪，神照着自己智慧而圣洁的计划，许可其发生，并定意使之成就他的荣耀。</w:t>
      </w:r>
      <w:r>
        <w:rPr>
          <w:rStyle w:val="FootnoteReference"/>
        </w:rPr>
        <w:footnoteReference w:id="162"/>
      </w:r>
    </w:p>
    <w:p>
      <w:pPr>
        <w:pStyle w:val="BodyText"/>
      </w:pPr>
      <w:r>
        <w:t xml:space="preserve">因这罪，他们失去了起初的公义，与神的相交也被破坏，</w:t>
      </w:r>
      <w:r>
        <w:rPr>
          <w:rStyle w:val="FootnoteReference"/>
        </w:rPr>
        <w:footnoteReference w:id="163"/>
      </w:r>
      <w:r>
        <w:t xml:space="preserve"> </w:t>
      </w:r>
      <w:r>
        <w:t xml:space="preserve">如此便死在罪中，</w:t>
      </w:r>
      <w:r>
        <w:rPr>
          <w:rStyle w:val="FootnoteReference"/>
        </w:rPr>
        <w:footnoteReference w:id="164"/>
      </w:r>
      <w:r>
        <w:t xml:space="preserve"> </w:t>
      </w:r>
      <w:r>
        <w:t xml:space="preserve">在灵魂和身体的一切机能与部分上都彻底被玷污。</w:t>
      </w:r>
      <w:r>
        <w:rPr>
          <w:rStyle w:val="FootnoteReference"/>
        </w:rPr>
        <w:footnoteReference w:id="165"/>
      </w:r>
    </w:p>
    <w:p>
      <w:pPr>
        <w:pStyle w:val="BodyText"/>
      </w:pPr>
      <w:r>
        <w:t xml:space="preserve">他们作为全人类的根源，这罪的罪责被归算下来，</w:t>
      </w:r>
      <w:r>
        <w:rPr>
          <w:rStyle w:val="FootnoteReference"/>
        </w:rPr>
        <w:footnoteReference w:id="166"/>
      </w:r>
      <w:r>
        <w:t xml:space="preserve"> </w:t>
      </w:r>
      <w:r>
        <w:t xml:space="preserve">同样的罪中之死和被败坏的本性，也经由普通生育的方式传递给从他们而出的所有后裔。</w:t>
      </w:r>
      <w:r>
        <w:rPr>
          <w:rStyle w:val="FootnoteReference"/>
        </w:rPr>
        <w:footnoteReference w:id="167"/>
      </w:r>
    </w:p>
    <w:p>
      <w:pPr>
        <w:pStyle w:val="BodyText"/>
      </w:pPr>
      <w:r>
        <w:t xml:space="preserve">由于这种原罪的败坏，我们对一切善都全然不愿也无能为力，并且与善相对立，</w:t>
      </w:r>
      <w:r>
        <w:rPr>
          <w:rStyle w:val="FootnoteReference"/>
        </w:rPr>
        <w:footnoteReference w:id="168"/>
      </w:r>
      <w:r>
        <w:t xml:space="preserve"> </w:t>
      </w:r>
      <w:r>
        <w:t xml:space="preserve">完全倾向于各样的恶，</w:t>
      </w:r>
      <w:r>
        <w:rPr>
          <w:rStyle w:val="FootnoteReference"/>
        </w:rPr>
        <w:footnoteReference w:id="169"/>
      </w:r>
      <w:r>
        <w:t xml:space="preserve"> </w:t>
      </w:r>
      <w:r>
        <w:t xml:space="preserve">由此就产生了种种实际的过犯。</w:t>
      </w:r>
      <w:r>
        <w:rPr>
          <w:rStyle w:val="FootnoteReference"/>
        </w:rPr>
        <w:footnoteReference w:id="170"/>
      </w:r>
    </w:p>
    <w:p>
      <w:pPr>
        <w:pStyle w:val="BodyText"/>
      </w:pPr>
      <w:r>
        <w:t xml:space="preserve">在今生中，即使那些已经重生的人，这罪性仍旧存留；</w:t>
      </w:r>
      <w:r>
        <w:rPr>
          <w:rStyle w:val="FootnoteReference"/>
        </w:rPr>
        <w:footnoteReference w:id="171"/>
      </w:r>
      <w:r>
        <w:t xml:space="preserve"> </w:t>
      </w:r>
      <w:r>
        <w:t xml:space="preserve">虽然借着基督，这罪性得以赦免并被治死，然而它本身以及所有由此而生的活动，仍然是真正意义上的罪。</w:t>
      </w:r>
      <w:r>
        <w:rPr>
          <w:rStyle w:val="FootnoteReference"/>
        </w:rPr>
        <w:footnoteReference w:id="172"/>
      </w:r>
    </w:p>
    <w:p>
      <w:pPr>
        <w:pStyle w:val="BodyText"/>
      </w:pPr>
      <w:r>
        <w:t xml:space="preserve">一切罪，无论是原罪还是实际犯罪，都是对神公义律法的违背，并与之相对立，</w:t>
      </w:r>
      <w:r>
        <w:rPr>
          <w:rStyle w:val="FootnoteReference"/>
        </w:rPr>
        <w:footnoteReference w:id="173"/>
      </w:r>
      <w:r>
        <w:t xml:space="preserve"> </w:t>
      </w:r>
      <w:r>
        <w:t xml:space="preserve">本质上会令犯罪者有罪责，</w:t>
      </w:r>
      <w:r>
        <w:rPr>
          <w:rStyle w:val="FootnoteReference"/>
        </w:rPr>
        <w:footnoteReference w:id="174"/>
      </w:r>
      <w:r>
        <w:t xml:space="preserve"> </w:t>
      </w:r>
      <w:r>
        <w:t xml:space="preserve">并使他落在神的忿怒之下，</w:t>
      </w:r>
      <w:r>
        <w:rPr>
          <w:rStyle w:val="FootnoteReference"/>
        </w:rPr>
        <w:footnoteReference w:id="175"/>
      </w:r>
      <w:r>
        <w:t xml:space="preserve"> </w:t>
      </w:r>
      <w:r>
        <w:t xml:space="preserve">以及律法的咒诅之下，</w:t>
      </w:r>
      <w:r>
        <w:rPr>
          <w:rStyle w:val="FootnoteReference"/>
        </w:rPr>
        <w:footnoteReference w:id="176"/>
      </w:r>
      <w:r>
        <w:t xml:space="preserve"> </w:t>
      </w:r>
      <w:r>
        <w:t xml:space="preserve">从而受到死亡的辖制，</w:t>
      </w:r>
      <w:r>
        <w:rPr>
          <w:rStyle w:val="FootnoteReference"/>
        </w:rPr>
        <w:footnoteReference w:id="177"/>
      </w:r>
      <w:r>
        <w:t xml:space="preserve"> </w:t>
      </w:r>
      <w:r>
        <w:t xml:space="preserve">包括属灵的苦难，</w:t>
      </w:r>
      <w:r>
        <w:rPr>
          <w:rStyle w:val="FootnoteReference"/>
        </w:rPr>
        <w:footnoteReference w:id="178"/>
      </w:r>
      <w:r>
        <w:t xml:space="preserve"> </w:t>
      </w:r>
      <w:r>
        <w:t xml:space="preserve">今世的苦难，</w:t>
      </w:r>
      <w:r>
        <w:rPr>
          <w:rStyle w:val="FootnoteReference"/>
        </w:rPr>
        <w:footnoteReference w:id="179"/>
      </w:r>
      <w:r>
        <w:t xml:space="preserve"> </w:t>
      </w:r>
      <w:r>
        <w:t xml:space="preserve">和永远的苦难。</w:t>
      </w:r>
      <w:r>
        <w:rPr>
          <w:rStyle w:val="FootnoteReference"/>
        </w:rPr>
        <w:footnoteReference w:id="180"/>
      </w:r>
    </w:p>
    <w:bookmarkEnd w:id="181"/>
    <w:bookmarkStart w:id="200" w:name="七论神与人所立的约"/>
    <w:p>
      <w:pPr>
        <w:pStyle w:val="Heading2"/>
      </w:pPr>
      <w:r>
        <w:t xml:space="preserve">七、论神与人所立的约</w:t>
      </w:r>
    </w:p>
    <w:p>
      <w:pPr>
        <w:pStyle w:val="FirstParagraph"/>
      </w:pPr>
      <w:r>
        <w:t xml:space="preserve">神与受造物之间悬殊如此之大，虽然有理性的受造物本该向造物主尽本分顺服，但若没有神主动的屈尊与恩允，他们就不可能享受他作为真福与赏赐。神乐意藉着立约的方式来表达这种恩允。</w:t>
      </w:r>
      <w:r>
        <w:rPr>
          <w:rStyle w:val="FootnoteReference"/>
        </w:rPr>
        <w:footnoteReference w:id="182"/>
      </w:r>
    </w:p>
    <w:p>
      <w:pPr>
        <w:pStyle w:val="BodyText"/>
      </w:pPr>
      <w:r>
        <w:t xml:space="preserve">神与人所立的第一个约是行为之约，</w:t>
      </w:r>
      <w:r>
        <w:rPr>
          <w:rStyle w:val="FootnoteReference"/>
        </w:rPr>
        <w:footnoteReference w:id="183"/>
      </w:r>
      <w:r>
        <w:t xml:space="preserve"> </w:t>
      </w:r>
      <w:r>
        <w:t xml:space="preserve">其中应许了亚当及其后裔可以得生命，</w:t>
      </w:r>
      <w:r>
        <w:rPr>
          <w:rStyle w:val="FootnoteReference"/>
        </w:rPr>
        <w:footnoteReference w:id="184"/>
      </w:r>
      <w:r>
        <w:t xml:space="preserve"> </w:t>
      </w:r>
      <w:r>
        <w:t xml:space="preserve">条件是完全且个人的顺服。</w:t>
      </w:r>
      <w:r>
        <w:rPr>
          <w:rStyle w:val="FootnoteReference"/>
        </w:rPr>
        <w:footnoteReference w:id="185"/>
      </w:r>
    </w:p>
    <w:p>
      <w:pPr>
        <w:pStyle w:val="BodyText"/>
      </w:pPr>
      <w:r>
        <w:t xml:space="preserve">人因堕落，失去了借着那约得生命的可能。于是主乐意赐下第二个约，通常称为恩典之约：</w:t>
      </w:r>
      <w:r>
        <w:rPr>
          <w:rStyle w:val="FootnoteReference"/>
        </w:rPr>
        <w:footnoteReference w:id="186"/>
      </w:r>
      <w:r>
        <w:t xml:space="preserve"> </w:t>
      </w:r>
      <w:r>
        <w:t xml:space="preserve">在这个约中，他借着耶稣基督，白白地向罪人赐下生命与救恩，并要求他们信靠基督，好得拯救；</w:t>
      </w:r>
      <w:r>
        <w:rPr>
          <w:rStyle w:val="FootnoteReference"/>
        </w:rPr>
        <w:footnoteReference w:id="187"/>
      </w:r>
      <w:r>
        <w:t xml:space="preserve"> </w:t>
      </w:r>
      <w:r>
        <w:t xml:space="preserve">并应许将圣灵赐给所有预定得生命的人，使他们甘心且能够相信。</w:t>
      </w:r>
      <w:r>
        <w:rPr>
          <w:rStyle w:val="FootnoteReference"/>
        </w:rPr>
        <w:footnoteReference w:id="188"/>
      </w:r>
    </w:p>
    <w:p>
      <w:pPr>
        <w:pStyle w:val="BodyText"/>
      </w:pPr>
      <w:r>
        <w:t xml:space="preserve">在圣经中，这恩典之约常被称为遗命，其原因在于提及立遗命的耶稣基督以及他借此为人预备的永远基业与一切相关的赐予，都是基于他的死。</w:t>
      </w:r>
      <w:r>
        <w:rPr>
          <w:rStyle w:val="FootnoteReference"/>
        </w:rPr>
        <w:footnoteReference w:id="189"/>
      </w:r>
    </w:p>
    <w:p>
      <w:pPr>
        <w:pStyle w:val="BodyText"/>
      </w:pPr>
      <w:r>
        <w:t xml:space="preserve">这同一之约在律法时期和福音时期有不同的施行方式：</w:t>
      </w:r>
      <w:r>
        <w:rPr>
          <w:rStyle w:val="FootnoteReference"/>
        </w:rPr>
        <w:footnoteReference w:id="190"/>
      </w:r>
      <w:r>
        <w:t xml:space="preserve"> </w:t>
      </w:r>
      <w:r>
        <w:t xml:space="preserve">在律法时期，藉着应许、预言、祭祀、割礼、逾越节的羔羊，以及其他赐给犹太人的预表和礼仪来施行，这一切都预先表明要来的基督；</w:t>
      </w:r>
      <w:r>
        <w:rPr>
          <w:rStyle w:val="FootnoteReference"/>
        </w:rPr>
        <w:footnoteReference w:id="191"/>
      </w:r>
      <w:r>
        <w:t xml:space="preserve"> </w:t>
      </w:r>
      <w:r>
        <w:t xml:space="preserve">在当时，藉着圣灵的运行，这些方式对教导和建立蒙拣选者在应许的弥赛亚之信上是足够并有效的，</w:t>
      </w:r>
      <w:r>
        <w:rPr>
          <w:rStyle w:val="FootnoteReference"/>
        </w:rPr>
        <w:footnoteReference w:id="192"/>
      </w:r>
      <w:r>
        <w:t xml:space="preserve"> </w:t>
      </w:r>
      <w:r>
        <w:t xml:space="preserve">他们因此在基督里得到罪的完全赦免和永远的救恩；</w:t>
      </w:r>
      <w:r>
        <w:rPr>
          <w:rStyle w:val="FootnoteReference"/>
        </w:rPr>
        <w:footnoteReference w:id="193"/>
      </w:r>
      <w:r>
        <w:t xml:space="preserve"> </w:t>
      </w:r>
      <w:r>
        <w:t xml:space="preserve">这就称为旧约。</w:t>
      </w:r>
      <w:r>
        <w:rPr>
          <w:rStyle w:val="FootnoteReference"/>
        </w:rPr>
        <w:footnoteReference w:id="194"/>
      </w:r>
    </w:p>
    <w:p>
      <w:pPr>
        <w:pStyle w:val="BodyText"/>
      </w:pPr>
      <w:r>
        <w:t xml:space="preserve">在福音时期，当基督（实质）已显现时，这约的施行方式是借着传讲神的道，以及施行洗礼和圣餐的礼仪；</w:t>
      </w:r>
      <w:r>
        <w:rPr>
          <w:rStyle w:val="FootnoteReference"/>
        </w:rPr>
        <w:footnoteReference w:id="195"/>
      </w:r>
      <w:r>
        <w:t xml:space="preserve"> </w:t>
      </w:r>
      <w:r>
        <w:t xml:space="preserve">虽然仪式较少，也更为简单，外在的荣耀更少，但其中所彰显的内容更丰富、见证更明确、属灵功效更大，</w:t>
      </w:r>
      <w:r>
        <w:rPr>
          <w:rStyle w:val="FootnoteReference"/>
        </w:rPr>
        <w:footnoteReference w:id="196"/>
      </w:r>
      <w:r>
        <w:t xml:space="preserve"> </w:t>
      </w:r>
      <w:r>
        <w:t xml:space="preserve">它向万族 ── 包括犹太人和外邦人 ── 开展，</w:t>
      </w:r>
      <w:r>
        <w:rPr>
          <w:rStyle w:val="FootnoteReference"/>
        </w:rPr>
        <w:footnoteReference w:id="197"/>
      </w:r>
      <w:r>
        <w:t xml:space="preserve"> </w:t>
      </w:r>
      <w:r>
        <w:t xml:space="preserve">称为新约。</w:t>
      </w:r>
      <w:r>
        <w:rPr>
          <w:rStyle w:val="FootnoteReference"/>
        </w:rPr>
        <w:footnoteReference w:id="198"/>
      </w:r>
      <w:r>
        <w:t xml:space="preserve"> </w:t>
      </w:r>
      <w:r>
        <w:t xml:space="preserve">因此并没有两个本质不同的恩典之约，而是在不同的施行中仍然是同一个恩典之约。</w:t>
      </w:r>
      <w:r>
        <w:rPr>
          <w:rStyle w:val="FootnoteReference"/>
        </w:rPr>
        <w:footnoteReference w:id="199"/>
      </w:r>
    </w:p>
    <w:bookmarkEnd w:id="200"/>
    <w:bookmarkStart w:id="246" w:name="八论基督作中保"/>
    <w:p>
      <w:pPr>
        <w:pStyle w:val="Heading2"/>
      </w:pPr>
      <w:r>
        <w:t xml:space="preserve">八、论基督作中保</w:t>
      </w:r>
    </w:p>
    <w:p>
      <w:pPr>
        <w:pStyle w:val="FirstParagraph"/>
      </w:pPr>
      <w:r>
        <w:t xml:space="preserve">神按着他永恒的旨意，拣选并设立了主耶稣 ── 他独生的儿子 ── 成为神与人之间的中保；</w:t>
      </w:r>
      <w:r>
        <w:rPr>
          <w:rStyle w:val="FootnoteReference"/>
        </w:rPr>
        <w:footnoteReference w:id="201"/>
      </w:r>
      <w:r>
        <w:t xml:space="preserve"> </w:t>
      </w:r>
      <w:r>
        <w:t xml:space="preserve">他担任先知，</w:t>
      </w:r>
      <w:r>
        <w:rPr>
          <w:rStyle w:val="FootnoteReference"/>
        </w:rPr>
        <w:footnoteReference w:id="202"/>
      </w:r>
      <w:r>
        <w:t xml:space="preserve"> </w:t>
      </w:r>
      <w:r>
        <w:t xml:space="preserve">祭司，</w:t>
      </w:r>
      <w:r>
        <w:rPr>
          <w:rStyle w:val="FootnoteReference"/>
        </w:rPr>
        <w:footnoteReference w:id="203"/>
      </w:r>
      <w:r>
        <w:t xml:space="preserve"> </w:t>
      </w:r>
      <w:r>
        <w:t xml:space="preserve">和君王，</w:t>
      </w:r>
      <w:r>
        <w:rPr>
          <w:rStyle w:val="FootnoteReference"/>
        </w:rPr>
        <w:footnoteReference w:id="204"/>
      </w:r>
      <w:r>
        <w:t xml:space="preserve"> </w:t>
      </w:r>
      <w:r>
        <w:t xml:space="preserve">为教会的元首和救主，</w:t>
      </w:r>
      <w:r>
        <w:rPr>
          <w:rStyle w:val="FootnoteReference"/>
        </w:rPr>
        <w:footnoteReference w:id="205"/>
      </w:r>
      <w:r>
        <w:t xml:space="preserve"> </w:t>
      </w:r>
      <w:r>
        <w:t xml:space="preserve">万物的承受者，</w:t>
      </w:r>
      <w:r>
        <w:rPr>
          <w:rStyle w:val="FootnoteReference"/>
        </w:rPr>
        <w:footnoteReference w:id="206"/>
      </w:r>
      <w:r>
        <w:t xml:space="preserve"> </w:t>
      </w:r>
      <w:r>
        <w:t xml:space="preserve">以及审判世界的审判者；</w:t>
      </w:r>
      <w:r>
        <w:rPr>
          <w:rStyle w:val="FootnoteReference"/>
        </w:rPr>
        <w:footnoteReference w:id="207"/>
      </w:r>
      <w:r>
        <w:t xml:space="preserve"> </w:t>
      </w:r>
      <w:r>
        <w:t xml:space="preserve">神从亘古就在他里面赐给他一群子民作为他的后裔，使他们在适当的时候借他得蒙救赎、蒙召、称义、成圣并得荣耀。</w:t>
      </w:r>
      <w:r>
        <w:rPr>
          <w:rStyle w:val="FootnoteReference"/>
        </w:rPr>
        <w:footnoteReference w:id="208"/>
      </w:r>
    </w:p>
    <w:p>
      <w:pPr>
        <w:pStyle w:val="BodyText"/>
      </w:pPr>
      <w:r>
        <w:t xml:space="preserve">神的儿子乃是三位一体中第二位，是真神并永恒的神，与圣父同一本质、同等威荣。在时间满足时，他取了人的性情，</w:t>
      </w:r>
      <w:r>
        <w:rPr>
          <w:rStyle w:val="FootnoteReference"/>
        </w:rPr>
        <w:footnoteReference w:id="209"/>
      </w:r>
      <w:r>
        <w:t xml:space="preserve"> </w:t>
      </w:r>
      <w:r>
        <w:t xml:space="preserve">具有人性的一切本质属性及普通的软弱，但没有罪；</w:t>
      </w:r>
      <w:r>
        <w:rPr>
          <w:rStyle w:val="FootnoteReference"/>
        </w:rPr>
        <w:footnoteReference w:id="210"/>
      </w:r>
      <w:r>
        <w:t xml:space="preserve"> </w:t>
      </w:r>
      <w:r>
        <w:t xml:space="preserve">他由圣灵的大能感孕于童女马利亚腹中，取了她的实质。</w:t>
      </w:r>
      <w:r>
        <w:rPr>
          <w:rStyle w:val="FootnoteReference"/>
        </w:rPr>
        <w:footnoteReference w:id="211"/>
      </w:r>
      <w:r>
        <w:t xml:space="preserve"> </w:t>
      </w:r>
      <w:r>
        <w:t xml:space="preserve">因此，神性与人性这两个完整、完全且不同的本性，在一位格里不可分离地联合起来，并未互相改变、混合或混淆。</w:t>
      </w:r>
      <w:r>
        <w:rPr>
          <w:rStyle w:val="FootnoteReference"/>
        </w:rPr>
        <w:footnoteReference w:id="212"/>
      </w:r>
      <w:r>
        <w:t xml:space="preserve"> </w:t>
      </w:r>
      <w:r>
        <w:t xml:space="preserve">这位格既是真神，又是真人，却只有一位基督，是神与人之间的唯一中保。</w:t>
      </w:r>
      <w:r>
        <w:rPr>
          <w:rStyle w:val="FootnoteReference"/>
        </w:rPr>
        <w:footnoteReference w:id="213"/>
      </w:r>
    </w:p>
    <w:p>
      <w:pPr>
        <w:pStyle w:val="BodyText"/>
      </w:pPr>
      <w:r>
        <w:t xml:space="preserve">主耶稣以他取了的人性，与神性相联合，被圣灵所分别并受膏超过常量；</w:t>
      </w:r>
      <w:r>
        <w:rPr>
          <w:rStyle w:val="FootnoteReference"/>
        </w:rPr>
        <w:footnoteReference w:id="214"/>
      </w:r>
      <w:r>
        <w:t xml:space="preserve"> </w:t>
      </w:r>
      <w:r>
        <w:t xml:space="preserve">他内里蕴藏了智慧和知识的一切宝藏；</w:t>
      </w:r>
      <w:r>
        <w:rPr>
          <w:rStyle w:val="FootnoteReference"/>
        </w:rPr>
        <w:footnoteReference w:id="215"/>
      </w:r>
      <w:r>
        <w:t xml:space="preserve"> </w:t>
      </w:r>
      <w:r>
        <w:t xml:space="preserve">圣父乐意使一切丰盛都居住在他里面；</w:t>
      </w:r>
      <w:r>
        <w:rPr>
          <w:rStyle w:val="FootnoteReference"/>
        </w:rPr>
        <w:footnoteReference w:id="216"/>
      </w:r>
      <w:r>
        <w:t xml:space="preserve"> </w:t>
      </w:r>
      <w:r>
        <w:t xml:space="preserve">目的是使他成为圣洁、无害、无玷污，且充满恩典与真理，</w:t>
      </w:r>
      <w:r>
        <w:rPr>
          <w:rStyle w:val="FootnoteReference"/>
        </w:rPr>
        <w:footnoteReference w:id="217"/>
      </w:r>
      <w:r>
        <w:t xml:space="preserve"> </w:t>
      </w:r>
      <w:r>
        <w:t xml:space="preserve">好在各方面都完全装备，可以执行中保和作担保者的职分。</w:t>
      </w:r>
      <w:r>
        <w:rPr>
          <w:rStyle w:val="FootnoteReference"/>
        </w:rPr>
        <w:footnoteReference w:id="218"/>
      </w:r>
      <w:r>
        <w:t xml:space="preserve"> </w:t>
      </w:r>
      <w:r>
        <w:t xml:space="preserve">这职分并非他自己擅自取的，而是圣父召他来担当；</w:t>
      </w:r>
      <w:r>
        <w:rPr>
          <w:rStyle w:val="FootnoteReference"/>
        </w:rPr>
        <w:footnoteReference w:id="219"/>
      </w:r>
      <w:r>
        <w:t xml:space="preserve"> </w:t>
      </w:r>
      <w:r>
        <w:t xml:space="preserve">父把一切权柄和审判交在他手中，并吩咐他执行。</w:t>
      </w:r>
      <w:r>
        <w:rPr>
          <w:rStyle w:val="FootnoteReference"/>
        </w:rPr>
        <w:footnoteReference w:id="220"/>
      </w:r>
    </w:p>
    <w:p>
      <w:pPr>
        <w:pStyle w:val="BodyText"/>
      </w:pPr>
      <w:r>
        <w:t xml:space="preserve">主耶稣甘心乐意地承担了这职分；</w:t>
      </w:r>
      <w:r>
        <w:rPr>
          <w:rStyle w:val="FootnoteReference"/>
        </w:rPr>
        <w:footnoteReference w:id="221"/>
      </w:r>
      <w:r>
        <w:t xml:space="preserve"> </w:t>
      </w:r>
      <w:r>
        <w:t xml:space="preserve">为履行此职，他生在律法之下，</w:t>
      </w:r>
      <w:r>
        <w:rPr>
          <w:rStyle w:val="FootnoteReference"/>
        </w:rPr>
        <w:footnoteReference w:id="222"/>
      </w:r>
      <w:r>
        <w:t xml:space="preserve"> </w:t>
      </w:r>
      <w:r>
        <w:t xml:space="preserve">并且完全成全了律法；</w:t>
      </w:r>
      <w:r>
        <w:rPr>
          <w:rStyle w:val="FootnoteReference"/>
        </w:rPr>
        <w:footnoteReference w:id="223"/>
      </w:r>
      <w:r>
        <w:t xml:space="preserve"> </w:t>
      </w:r>
      <w:r>
        <w:t xml:space="preserve">他灵魂经历了极度的痛苦折磨，</w:t>
      </w:r>
      <w:r>
        <w:rPr>
          <w:rStyle w:val="FootnoteReference"/>
        </w:rPr>
        <w:footnoteReference w:id="224"/>
      </w:r>
      <w:r>
        <w:t xml:space="preserve"> </w:t>
      </w:r>
      <w:r>
        <w:t xml:space="preserve">身体遭受极端的痛苦；</w:t>
      </w:r>
      <w:r>
        <w:rPr>
          <w:rStyle w:val="FootnoteReference"/>
        </w:rPr>
        <w:footnoteReference w:id="225"/>
      </w:r>
      <w:r>
        <w:t xml:space="preserve"> </w:t>
      </w:r>
      <w:r>
        <w:t xml:space="preserve">被钉十字架而死，</w:t>
      </w:r>
      <w:r>
        <w:rPr>
          <w:rStyle w:val="FootnoteReference"/>
        </w:rPr>
        <w:footnoteReference w:id="226"/>
      </w:r>
      <w:r>
        <w:t xml:space="preserve"> </w:t>
      </w:r>
      <w:r>
        <w:t xml:space="preserve">被埋葬，在死的权势下存留，却并未见朽坏。</w:t>
      </w:r>
      <w:r>
        <w:rPr>
          <w:rStyle w:val="FootnoteReference"/>
        </w:rPr>
        <w:footnoteReference w:id="227"/>
      </w:r>
      <w:r>
        <w:t xml:space="preserve"> </w:t>
      </w:r>
      <w:r>
        <w:t xml:space="preserve">第三日他从死里复活，</w:t>
      </w:r>
      <w:r>
        <w:rPr>
          <w:rStyle w:val="FootnoteReference"/>
        </w:rPr>
        <w:footnoteReference w:id="228"/>
      </w:r>
      <w:r>
        <w:t xml:space="preserve"> </w:t>
      </w:r>
      <w:r>
        <w:t xml:space="preserve">正是他曾受苦的那同一个身体；</w:t>
      </w:r>
      <w:r>
        <w:rPr>
          <w:rStyle w:val="FootnoteReference"/>
        </w:rPr>
        <w:footnoteReference w:id="229"/>
      </w:r>
      <w:r>
        <w:t xml:space="preserve"> </w:t>
      </w:r>
      <w:r>
        <w:t xml:space="preserve">之后他带着这身体升天，如今坐在圣父的右边，</w:t>
      </w:r>
      <w:r>
        <w:rPr>
          <w:rStyle w:val="FootnoteReference"/>
        </w:rPr>
        <w:footnoteReference w:id="230"/>
      </w:r>
      <w:r>
        <w:t xml:space="preserve"> </w:t>
      </w:r>
      <w:r>
        <w:t xml:space="preserve">为人代求；</w:t>
      </w:r>
      <w:r>
        <w:rPr>
          <w:rStyle w:val="FootnoteReference"/>
        </w:rPr>
        <w:footnoteReference w:id="231"/>
      </w:r>
      <w:r>
        <w:t xml:space="preserve"> </w:t>
      </w:r>
      <w:r>
        <w:t xml:space="preserve">他将于世界末了再来，审判人和天使。</w:t>
      </w:r>
      <w:r>
        <w:rPr>
          <w:rStyle w:val="FootnoteReference"/>
        </w:rPr>
        <w:footnoteReference w:id="232"/>
      </w:r>
    </w:p>
    <w:p>
      <w:pPr>
        <w:pStyle w:val="BodyText"/>
      </w:pPr>
      <w:r>
        <w:t xml:space="preserve">主耶稣借着他完全的顺服，以及他藉着永远的灵将自己一次献给神的祭，完全满足了圣父的公义；</w:t>
      </w:r>
      <w:r>
        <w:rPr>
          <w:rStyle w:val="FootnoteReference"/>
        </w:rPr>
        <w:footnoteReference w:id="233"/>
      </w:r>
      <w:r>
        <w:t xml:space="preserve"> </w:t>
      </w:r>
      <w:r>
        <w:t xml:space="preserve">他不仅为父所赐给他的人成就了和好，并且在天国里为他们买下了永远的产业。</w:t>
      </w:r>
      <w:r>
        <w:rPr>
          <w:rStyle w:val="FootnoteReference"/>
        </w:rPr>
        <w:footnoteReference w:id="234"/>
      </w:r>
    </w:p>
    <w:p>
      <w:pPr>
        <w:pStyle w:val="BodyText"/>
      </w:pPr>
      <w:r>
        <w:t xml:space="preserve">虽然基督直到道成肉身之后才实际完成救赎之工，但从世界起始以来，在各时代里，选民都已借着那些预表、应许和祭献而领受了这救赎的功效、效力和益处。在其中基督被启示为「女人的后裔」，要伤蛇的头；</w:t>
      </w:r>
      <w:r>
        <w:rPr>
          <w:rStyle w:val="FootnoteReference"/>
        </w:rPr>
        <w:footnoteReference w:id="235"/>
      </w:r>
      <w:r>
        <w:t xml:space="preserve"> </w:t>
      </w:r>
      <w:r>
        <w:t xml:space="preserve">他亦是从创世以来被杀的羔羊；</w:t>
      </w:r>
      <w:r>
        <w:rPr>
          <w:rStyle w:val="FootnoteReference"/>
        </w:rPr>
        <w:footnoteReference w:id="236"/>
      </w:r>
      <w:r>
        <w:t xml:space="preserve"> </w:t>
      </w:r>
      <w:r>
        <w:t xml:space="preserve">他昨日今日一直到永远都是一样的。</w:t>
      </w:r>
      <w:r>
        <w:rPr>
          <w:rStyle w:val="FootnoteReference"/>
        </w:rPr>
        <w:footnoteReference w:id="237"/>
      </w:r>
    </w:p>
    <w:p>
      <w:pPr>
        <w:pStyle w:val="BodyText"/>
      </w:pPr>
      <w:r>
        <w:t xml:space="preserve">基督在执行中保之工时，是按着他所具有的两种本性行事；每种本性各自完成本性所固有的作为；</w:t>
      </w:r>
      <w:r>
        <w:rPr>
          <w:rStyle w:val="FootnoteReference"/>
        </w:rPr>
        <w:footnoteReference w:id="238"/>
      </w:r>
      <w:r>
        <w:t xml:space="preserve"> </w:t>
      </w:r>
      <w:r>
        <w:t xml:space="preserve">然而，由于他是一位格，圣经有时会将属于这一本性的特征，归于在另一本性名义下所指的位格。</w:t>
      </w:r>
      <w:r>
        <w:rPr>
          <w:rStyle w:val="FootnoteReference"/>
        </w:rPr>
        <w:footnoteReference w:id="239"/>
      </w:r>
    </w:p>
    <w:p>
      <w:pPr>
        <w:pStyle w:val="BodyText"/>
      </w:pPr>
      <w:r>
        <w:t xml:space="preserve">对于基督所买赎的人，他确实且有效地将救赎应用并赐给他们；</w:t>
      </w:r>
      <w:r>
        <w:rPr>
          <w:rStyle w:val="FootnoteReference"/>
        </w:rPr>
        <w:footnoteReference w:id="240"/>
      </w:r>
      <w:r>
        <w:t xml:space="preserve"> </w:t>
      </w:r>
      <w:r>
        <w:t xml:space="preserve">为他们代求，</w:t>
      </w:r>
      <w:r>
        <w:rPr>
          <w:rStyle w:val="FootnoteReference"/>
        </w:rPr>
        <w:footnoteReference w:id="241"/>
      </w:r>
      <w:r>
        <w:t xml:space="preserve"> </w:t>
      </w:r>
      <w:r>
        <w:t xml:space="preserve">并藉着神的道向他们启示救恩的奥秘；</w:t>
      </w:r>
      <w:r>
        <w:rPr>
          <w:rStyle w:val="FootnoteReference"/>
        </w:rPr>
        <w:footnoteReference w:id="242"/>
      </w:r>
      <w:r>
        <w:t xml:space="preserve"> </w:t>
      </w:r>
      <w:r>
        <w:t xml:space="preserve">倚靠他的灵有效地感动他们相信并顺服，又以他的话语和圣灵治理他们的心；</w:t>
      </w:r>
      <w:r>
        <w:rPr>
          <w:rStyle w:val="FootnoteReference"/>
        </w:rPr>
        <w:footnoteReference w:id="243"/>
      </w:r>
      <w:r>
        <w:t xml:space="preserve"> </w:t>
      </w:r>
      <w:r>
        <w:t xml:space="preserve">并以他无限的大能与智慧胜过他们的一切仇敌，</w:t>
      </w:r>
      <w:r>
        <w:rPr>
          <w:rStyle w:val="FootnoteReference"/>
        </w:rPr>
        <w:footnoteReference w:id="244"/>
      </w:r>
      <w:r>
        <w:t xml:space="preserve"> </w:t>
      </w:r>
      <w:r>
        <w:t xml:space="preserve">方式和途径都极其符合他那奇妙而难测的施行。</w:t>
      </w:r>
      <w:r>
        <w:rPr>
          <w:rStyle w:val="FootnoteReference"/>
        </w:rPr>
        <w:footnoteReference w:id="245"/>
      </w:r>
    </w:p>
    <w:bookmarkEnd w:id="246"/>
    <w:bookmarkStart w:id="258" w:name="九论自由意志"/>
    <w:p>
      <w:pPr>
        <w:pStyle w:val="Heading2"/>
      </w:pPr>
      <w:r>
        <w:t xml:space="preserve">九、论自由意志</w:t>
      </w:r>
    </w:p>
    <w:p>
      <w:pPr>
        <w:pStyle w:val="FirstParagraph"/>
      </w:pPr>
      <w:r>
        <w:t xml:space="preserve">神赋予人的意志以天然的自由，使之既不受强迫，也不因任何绝对的本性之必然而被定向善或恶。</w:t>
      </w:r>
      <w:r>
        <w:rPr>
          <w:rStyle w:val="FootnoteReference"/>
        </w:rPr>
        <w:footnoteReference w:id="247"/>
      </w:r>
    </w:p>
    <w:p>
      <w:pPr>
        <w:pStyle w:val="BodyText"/>
      </w:pPr>
      <w:r>
        <w:t xml:space="preserve">人在其无罪的状态下，拥有意志与能力去行善、行神所悦纳之事；</w:t>
      </w:r>
      <w:r>
        <w:rPr>
          <w:rStyle w:val="FootnoteReference"/>
        </w:rPr>
        <w:footnoteReference w:id="248"/>
      </w:r>
      <w:r>
        <w:t xml:space="preserve"> </w:t>
      </w:r>
      <w:r>
        <w:t xml:space="preserve">但这却是可变的，使他有可能堕落离弃这状态。</w:t>
      </w:r>
      <w:r>
        <w:rPr>
          <w:rStyle w:val="FootnoteReference"/>
        </w:rPr>
        <w:footnoteReference w:id="249"/>
      </w:r>
    </w:p>
    <w:p>
      <w:pPr>
        <w:pStyle w:val="BodyText"/>
      </w:pPr>
      <w:r>
        <w:t xml:space="preserve">人因堕落进入罪的状态后，完全失去了意志去做与得救相伴之属灵善的能力；</w:t>
      </w:r>
      <w:r>
        <w:rPr>
          <w:rStyle w:val="FootnoteReference"/>
        </w:rPr>
        <w:footnoteReference w:id="250"/>
      </w:r>
      <w:r>
        <w:t xml:space="preserve"> </w:t>
      </w:r>
      <w:r>
        <w:t xml:space="preserve">因此，属血气的人完全厌弃那善，</w:t>
      </w:r>
      <w:r>
        <w:rPr>
          <w:rStyle w:val="FootnoteReference"/>
        </w:rPr>
        <w:footnoteReference w:id="251"/>
      </w:r>
      <w:r>
        <w:t xml:space="preserve"> </w:t>
      </w:r>
      <w:r>
        <w:t xml:space="preserve">死在罪中，</w:t>
      </w:r>
      <w:r>
        <w:rPr>
          <w:rStyle w:val="FootnoteReference"/>
        </w:rPr>
        <w:footnoteReference w:id="252"/>
      </w:r>
      <w:r>
        <w:t xml:space="preserve"> </w:t>
      </w:r>
      <w:r>
        <w:t xml:space="preserve">无法靠自己力量改变自己，或为此进行预备。</w:t>
      </w:r>
      <w:r>
        <w:rPr>
          <w:rStyle w:val="FootnoteReference"/>
        </w:rPr>
        <w:footnoteReference w:id="253"/>
      </w:r>
    </w:p>
    <w:p>
      <w:pPr>
        <w:pStyle w:val="BodyText"/>
      </w:pPr>
      <w:r>
        <w:t xml:space="preserve">当神转化一个罪人，使他进入恩典的状态时，神就把他从罪的天然捆绑中释放出来，</w:t>
      </w:r>
      <w:r>
        <w:rPr>
          <w:rStyle w:val="FootnoteReference"/>
        </w:rPr>
        <w:footnoteReference w:id="254"/>
      </w:r>
      <w:r>
        <w:t xml:space="preserve"> </w:t>
      </w:r>
      <w:r>
        <w:t xml:space="preserve">并单靠神的恩典，使他能自由地行属灵之善；</w:t>
      </w:r>
      <w:r>
        <w:rPr>
          <w:rStyle w:val="FootnoteReference"/>
        </w:rPr>
        <w:footnoteReference w:id="255"/>
      </w:r>
      <w:r>
        <w:t xml:space="preserve"> </w:t>
      </w:r>
      <w:r>
        <w:t xml:space="preserve">然而，由于余存的败坏，他并不完全或单单只想行善，也会想行恶。</w:t>
      </w:r>
      <w:r>
        <w:rPr>
          <w:rStyle w:val="FootnoteReference"/>
        </w:rPr>
        <w:footnoteReference w:id="256"/>
      </w:r>
    </w:p>
    <w:p>
      <w:pPr>
        <w:pStyle w:val="BodyText"/>
      </w:pPr>
      <w:r>
        <w:t xml:space="preserve">唯有在荣耀的状态中，人意志才能被完全且不可改变地自由于行善。</w:t>
      </w:r>
      <w:r>
        <w:rPr>
          <w:rStyle w:val="FootnoteReference"/>
        </w:rPr>
        <w:footnoteReference w:id="257"/>
      </w:r>
    </w:p>
    <w:bookmarkEnd w:id="258"/>
    <w:bookmarkStart w:id="277" w:name="十论有效蒙召"/>
    <w:p>
      <w:pPr>
        <w:pStyle w:val="Heading2"/>
      </w:pPr>
      <w:r>
        <w:t xml:space="preserve">十、论有效蒙召</w:t>
      </w:r>
    </w:p>
    <w:p>
      <w:pPr>
        <w:pStyle w:val="FirstParagraph"/>
      </w:pPr>
      <w:r>
        <w:t xml:space="preserve">凡是神预定得生命的人，而且只有这一群人，他就在自己所定准并悦纳的时机里，用他的道和圣灵，</w:t>
      </w:r>
      <w:r>
        <w:rPr>
          <w:rStyle w:val="FootnoteReference"/>
        </w:rPr>
        <w:footnoteReference w:id="259"/>
      </w:r>
      <w:r>
        <w:t xml:space="preserve"> </w:t>
      </w:r>
      <w:r>
        <w:t xml:space="preserve">将他们从本性所处的罪与死状态中，有效地召出来，借着耶稣基督得恩典和救恩；</w:t>
      </w:r>
      <w:r>
        <w:rPr>
          <w:rStyle w:val="FootnoteReference"/>
        </w:rPr>
        <w:footnoteReference w:id="260"/>
      </w:r>
      <w:r>
        <w:t xml:space="preserve"> </w:t>
      </w:r>
      <w:r>
        <w:t xml:space="preserve">光照他们的心灵，使他们得以在属灵和救赎的层面上明白神的事；</w:t>
      </w:r>
      <w:r>
        <w:rPr>
          <w:rStyle w:val="FootnoteReference"/>
        </w:rPr>
        <w:footnoteReference w:id="261"/>
      </w:r>
      <w:r>
        <w:t xml:space="preserve"> </w:t>
      </w:r>
      <w:r>
        <w:t xml:space="preserve">除去他们石头般的心，赐给他们肉心；</w:t>
      </w:r>
      <w:r>
        <w:rPr>
          <w:rStyle w:val="FootnoteReference"/>
        </w:rPr>
        <w:footnoteReference w:id="262"/>
      </w:r>
      <w:r>
        <w:t xml:space="preserve"> </w:t>
      </w:r>
      <w:r>
        <w:t xml:space="preserve">更新他们的意志，并藉着他的大能使他们立定心志行善；</w:t>
      </w:r>
      <w:r>
        <w:rPr>
          <w:rStyle w:val="FootnoteReference"/>
        </w:rPr>
        <w:footnoteReference w:id="263"/>
      </w:r>
      <w:r>
        <w:t xml:space="preserve"> </w:t>
      </w:r>
      <w:r>
        <w:t xml:space="preserve">有效地将他们带到耶稣基督面前；</w:t>
      </w:r>
      <w:r>
        <w:rPr>
          <w:rStyle w:val="FootnoteReference"/>
        </w:rPr>
        <w:footnoteReference w:id="264"/>
      </w:r>
      <w:r>
        <w:t xml:space="preserve"> </w:t>
      </w:r>
      <w:r>
        <w:t xml:space="preserve">而他们就这样在神的恩典感动下，最自由地来就基督。</w:t>
      </w:r>
      <w:r>
        <w:rPr>
          <w:rStyle w:val="FootnoteReference"/>
        </w:rPr>
        <w:footnoteReference w:id="265"/>
      </w:r>
    </w:p>
    <w:p>
      <w:pPr>
        <w:pStyle w:val="BodyText"/>
      </w:pPr>
      <w:r>
        <w:t xml:space="preserve">这有效的呼召全然出于神白白且特殊的恩典，并非源于神在人的身上预见了什么，</w:t>
      </w:r>
      <w:r>
        <w:rPr>
          <w:rStyle w:val="FootnoteReference"/>
        </w:rPr>
        <w:footnoteReference w:id="266"/>
      </w:r>
      <w:r>
        <w:t xml:space="preserve"> </w:t>
      </w:r>
      <w:r>
        <w:t xml:space="preserve">因为人在这事上是全然被动的，直到他被圣灵所赐的生命并更新后，</w:t>
      </w:r>
      <w:r>
        <w:rPr>
          <w:rStyle w:val="FootnoteReference"/>
        </w:rPr>
        <w:footnoteReference w:id="267"/>
      </w:r>
      <w:r>
        <w:t xml:space="preserve"> </w:t>
      </w:r>
      <w:r>
        <w:t xml:space="preserve">才能响应这呼召，并领受其中所赐下的恩典。</w:t>
      </w:r>
      <w:r>
        <w:rPr>
          <w:rStyle w:val="FootnoteReference"/>
        </w:rPr>
        <w:footnoteReference w:id="268"/>
      </w:r>
    </w:p>
    <w:p>
      <w:pPr>
        <w:pStyle w:val="BodyText"/>
      </w:pPr>
      <w:r>
        <w:t xml:space="preserve">那些蒙拣选而在婴儿期夭折的婴孩，借着基督以及圣灵的工作而重生并得救；</w:t>
      </w:r>
      <w:r>
        <w:rPr>
          <w:rStyle w:val="FootnoteReference"/>
        </w:rPr>
        <w:footnoteReference w:id="269"/>
      </w:r>
      <w:r>
        <w:t xml:space="preserve"> </w:t>
      </w:r>
      <w:r>
        <w:t xml:space="preserve">圣灵随己意在何时、何处、如何工作；</w:t>
      </w:r>
      <w:r>
        <w:rPr>
          <w:rStyle w:val="FootnoteReference"/>
        </w:rPr>
        <w:footnoteReference w:id="270"/>
      </w:r>
      <w:r>
        <w:t xml:space="preserve"> </w:t>
      </w:r>
      <w:r>
        <w:t xml:space="preserve">同样，那些无法借由传讲神的道而得到外在呼召的其他蒙拣选人，也必如此得救。</w:t>
      </w:r>
      <w:r>
        <w:rPr>
          <w:rStyle w:val="FootnoteReference"/>
        </w:rPr>
        <w:footnoteReference w:id="271"/>
      </w:r>
    </w:p>
    <w:p>
      <w:pPr>
        <w:pStyle w:val="BodyText"/>
      </w:pPr>
      <w:r>
        <w:t xml:space="preserve">至于其他未被拣选的人，虽然他们或许能藉讲道得呼召，</w:t>
      </w:r>
      <w:r>
        <w:rPr>
          <w:rStyle w:val="FootnoteReference"/>
        </w:rPr>
        <w:footnoteReference w:id="272"/>
      </w:r>
      <w:r>
        <w:t xml:space="preserve"> </w:t>
      </w:r>
      <w:r>
        <w:t xml:space="preserve">并有些圣灵一般恩典的工作，</w:t>
      </w:r>
      <w:r>
        <w:rPr>
          <w:rStyle w:val="FootnoteReference"/>
        </w:rPr>
        <w:footnoteReference w:id="273"/>
      </w:r>
      <w:r>
        <w:t xml:space="preserve"> </w:t>
      </w:r>
      <w:r>
        <w:t xml:space="preserve">但他们从未真正归向基督，因此也无法得救；</w:t>
      </w:r>
      <w:r>
        <w:rPr>
          <w:rStyle w:val="FootnoteReference"/>
        </w:rPr>
        <w:footnoteReference w:id="274"/>
      </w:r>
      <w:r>
        <w:t xml:space="preserve"> </w:t>
      </w:r>
      <w:r>
        <w:t xml:space="preserve">更何况，那些并不宣称基督信仰的人，即使他们极力按照自然之光和自己信仰的要求来约束生活，也无论如何无法借此获得救恩。</w:t>
      </w:r>
      <w:r>
        <w:rPr>
          <w:rStyle w:val="FootnoteReference"/>
        </w:rPr>
        <w:footnoteReference w:id="275"/>
      </w:r>
      <w:r>
        <w:t xml:space="preserve"> </w:t>
      </w:r>
      <w:r>
        <w:t xml:space="preserve">主张并坚持他们可以得救，是极其有害且应当予以痛斥的。</w:t>
      </w:r>
      <w:r>
        <w:rPr>
          <w:rStyle w:val="FootnoteReference"/>
        </w:rPr>
        <w:footnoteReference w:id="276"/>
      </w:r>
    </w:p>
    <w:bookmarkEnd w:id="277"/>
    <w:bookmarkStart w:id="298" w:name="十一论称义"/>
    <w:p>
      <w:pPr>
        <w:pStyle w:val="Heading2"/>
      </w:pPr>
      <w:r>
        <w:t xml:space="preserve">十一、论称义</w:t>
      </w:r>
    </w:p>
    <w:p>
      <w:pPr>
        <w:pStyle w:val="FirstParagraph"/>
      </w:pPr>
      <w:r>
        <w:t xml:space="preserve">神有效召了谁，就白白地称谁为义；</w:t>
      </w:r>
      <w:r>
        <w:rPr>
          <w:rStyle w:val="FootnoteReference"/>
        </w:rPr>
        <w:footnoteReference w:id="278"/>
      </w:r>
      <w:r>
        <w:t xml:space="preserve"> </w:t>
      </w:r>
      <w:r>
        <w:t xml:space="preserve">这不是将公义灌注到他们里面，而是赦免他们的罪恶，并看待并接纳他们为义；</w:t>
      </w:r>
      <w:r>
        <w:rPr>
          <w:rStyle w:val="FootnoteReference"/>
        </w:rPr>
        <w:footnoteReference w:id="279"/>
      </w:r>
      <w:r>
        <w:t xml:space="preserve"> </w:t>
      </w:r>
      <w:r>
        <w:t xml:space="preserve">这并不是因为他们本身有任何善行或成就，而是单为基督的缘故；</w:t>
      </w:r>
      <w:r>
        <w:rPr>
          <w:rStyle w:val="FootnoteReference"/>
        </w:rPr>
        <w:footnoteReference w:id="280"/>
      </w:r>
      <w:r>
        <w:t xml:space="preserve"> </w:t>
      </w:r>
      <w:r>
        <w:t xml:space="preserve">也不是将信心本身，或信的行为，或任何其他福音式的顺服算为他们的义，而是将基督的顺服和满足归于他们，</w:t>
      </w:r>
      <w:r>
        <w:rPr>
          <w:rStyle w:val="FootnoteReference"/>
        </w:rPr>
        <w:footnoteReference w:id="281"/>
      </w:r>
      <w:r>
        <w:t xml:space="preserve"> </w:t>
      </w:r>
      <w:r>
        <w:t xml:space="preserve">他们藉着信心领受并安息在基督及其义中；而这信心并非出于他们自己，乃是神的恩赐。</w:t>
      </w:r>
      <w:r>
        <w:rPr>
          <w:rStyle w:val="FootnoteReference"/>
        </w:rPr>
        <w:footnoteReference w:id="282"/>
      </w:r>
    </w:p>
    <w:p>
      <w:pPr>
        <w:pStyle w:val="BodyText"/>
      </w:pPr>
      <w:r>
        <w:t xml:space="preserve">如此领受并倚靠基督和他公义的信心，是称义的唯一工具；</w:t>
      </w:r>
      <w:r>
        <w:rPr>
          <w:rStyle w:val="FootnoteReference"/>
        </w:rPr>
        <w:footnoteReference w:id="283"/>
      </w:r>
      <w:r>
        <w:t xml:space="preserve"> </w:t>
      </w:r>
      <w:r>
        <w:t xml:space="preserve">然而在那得称义的人身上，这信心并非孤立存在，而是与其他一切救赎性的恩典相伴，并非死的信心，而是借爱心而运行。</w:t>
      </w:r>
      <w:r>
        <w:rPr>
          <w:rStyle w:val="FootnoteReference"/>
        </w:rPr>
        <w:footnoteReference w:id="284"/>
      </w:r>
    </w:p>
    <w:p>
      <w:pPr>
        <w:pStyle w:val="BodyText"/>
      </w:pPr>
      <w:r>
        <w:t xml:space="preserve">基督凭着他的顺服与舍命之死，完全还清了所有得称义之人的债务，为他们在圣父的公义面前献上了恰当、真实且完全的满足。</w:t>
      </w:r>
      <w:r>
        <w:rPr>
          <w:rStyle w:val="FootnoteReference"/>
        </w:rPr>
        <w:footnoteReference w:id="285"/>
      </w:r>
      <w:r>
        <w:t xml:space="preserve"> </w:t>
      </w:r>
      <w:r>
        <w:t xml:space="preserve">此外，因为他是圣父为他们而赐下的，</w:t>
      </w:r>
      <w:r>
        <w:rPr>
          <w:rStyle w:val="FootnoteReference"/>
        </w:rPr>
        <w:footnoteReference w:id="286"/>
      </w:r>
      <w:r>
        <w:t xml:space="preserve"> </w:t>
      </w:r>
      <w:r>
        <w:t xml:space="preserve">并且他的顺服和满足是替代他们而被悦纳，</w:t>
      </w:r>
      <w:r>
        <w:rPr>
          <w:rStyle w:val="FootnoteReference"/>
        </w:rPr>
        <w:footnoteReference w:id="287"/>
      </w:r>
      <w:r>
        <w:t xml:space="preserve"> </w:t>
      </w:r>
      <w:r>
        <w:t xml:space="preserve">而这两者都是白白赐予，并非因他们自身有什么；</w:t>
      </w:r>
      <w:r>
        <w:rPr>
          <w:rStyle w:val="FootnoteReference"/>
        </w:rPr>
        <w:footnoteReference w:id="288"/>
      </w:r>
      <w:r>
        <w:t xml:space="preserve"> </w:t>
      </w:r>
      <w:r>
        <w:t xml:space="preserve">所以他们的称义全然出于白白的恩典；</w:t>
      </w:r>
      <w:r>
        <w:rPr>
          <w:rStyle w:val="FootnoteReference"/>
        </w:rPr>
        <w:footnoteReference w:id="289"/>
      </w:r>
      <w:r>
        <w:t xml:space="preserve"> </w:t>
      </w:r>
      <w:r>
        <w:t xml:space="preserve">使神对罪的严格公义和他丰盛的恩典，都因罪人的称义而得荣耀。</w:t>
      </w:r>
      <w:r>
        <w:rPr>
          <w:rStyle w:val="FootnoteReference"/>
        </w:rPr>
        <w:footnoteReference w:id="290"/>
      </w:r>
    </w:p>
    <w:p>
      <w:pPr>
        <w:pStyle w:val="BodyText"/>
      </w:pPr>
      <w:r>
        <w:t xml:space="preserve">神自永远就定意要称所有蒙拣选的人为义，</w:t>
      </w:r>
      <w:r>
        <w:rPr>
          <w:rStyle w:val="FootnoteReference"/>
        </w:rPr>
        <w:footnoteReference w:id="291"/>
      </w:r>
      <w:r>
        <w:t xml:space="preserve"> </w:t>
      </w:r>
      <w:r>
        <w:t xml:space="preserve">基督也在日期满足时，为他们的罪而死，并因他们的称义而复活；</w:t>
      </w:r>
      <w:r>
        <w:rPr>
          <w:rStyle w:val="FootnoteReference"/>
        </w:rPr>
        <w:footnoteReference w:id="292"/>
      </w:r>
      <w:r>
        <w:t xml:space="preserve"> </w:t>
      </w:r>
      <w:r>
        <w:t xml:space="preserve">然而，唯有当圣灵在适当的时候实际把基督施予他们时，他们才真正得称义。</w:t>
      </w:r>
      <w:r>
        <w:rPr>
          <w:rStyle w:val="FootnoteReference"/>
        </w:rPr>
        <w:footnoteReference w:id="293"/>
      </w:r>
    </w:p>
    <w:p>
      <w:pPr>
        <w:pStyle w:val="BodyText"/>
      </w:pPr>
      <w:r>
        <w:t xml:space="preserve">神确实继续赦免那些已被称义之人的罪；</w:t>
      </w:r>
      <w:r>
        <w:rPr>
          <w:rStyle w:val="FootnoteReference"/>
        </w:rPr>
        <w:footnoteReference w:id="294"/>
      </w:r>
      <w:r>
        <w:t xml:space="preserve"> </w:t>
      </w:r>
      <w:r>
        <w:t xml:space="preserve">虽然他们永不能从称义的地位上堕落，</w:t>
      </w:r>
      <w:r>
        <w:rPr>
          <w:rStyle w:val="FootnoteReference"/>
        </w:rPr>
        <w:footnoteReference w:id="295"/>
      </w:r>
      <w:r>
        <w:t xml:space="preserve"> </w:t>
      </w:r>
      <w:r>
        <w:t xml:space="preserve">但他们可能因自己的罪而落在神为父的忿怒之下，并且在他们谦卑自己、承认罪过、恳求饶恕并更新信心与悔改之前，不得重享他面光的照耀。</w:t>
      </w:r>
      <w:r>
        <w:rPr>
          <w:rStyle w:val="FootnoteReference"/>
        </w:rPr>
        <w:footnoteReference w:id="296"/>
      </w:r>
    </w:p>
    <w:p>
      <w:pPr>
        <w:pStyle w:val="BodyText"/>
      </w:pPr>
      <w:r>
        <w:t xml:space="preserve">在这一切方面，旧约信徒的称义与新约信徒的称义完全相同。</w:t>
      </w:r>
      <w:r>
        <w:rPr>
          <w:rStyle w:val="FootnoteReference"/>
        </w:rPr>
        <w:footnoteReference w:id="297"/>
      </w:r>
    </w:p>
    <w:bookmarkEnd w:id="298"/>
    <w:bookmarkStart w:id="313" w:name="十二论得儿子名分"/>
    <w:p>
      <w:pPr>
        <w:pStyle w:val="Heading2"/>
      </w:pPr>
      <w:r>
        <w:t xml:space="preserve">十二、论得儿子名分</w:t>
      </w:r>
    </w:p>
    <w:p>
      <w:pPr>
        <w:pStyle w:val="FirstParagraph"/>
      </w:pPr>
      <w:r>
        <w:t xml:space="preserve">神因着并借着他的独生子耶稣基督，使一切已被称义的人有分于领受得儿子名分的恩典；</w:t>
      </w:r>
      <w:r>
        <w:rPr>
          <w:rStyle w:val="FootnoteReference"/>
        </w:rPr>
        <w:footnoteReference w:id="299"/>
      </w:r>
      <w:r>
        <w:t xml:space="preserve"> </w:t>
      </w:r>
      <w:r>
        <w:t xml:space="preserve">借此，他们被归入神儿女的行列，享有神儿女的自由与特权，</w:t>
      </w:r>
      <w:r>
        <w:rPr>
          <w:rStyle w:val="FootnoteReference"/>
        </w:rPr>
        <w:footnoteReference w:id="300"/>
      </w:r>
      <w:r>
        <w:t xml:space="preserve"> </w:t>
      </w:r>
      <w:r>
        <w:t xml:space="preserve">且被加上他的名号，</w:t>
      </w:r>
      <w:r>
        <w:rPr>
          <w:rStyle w:val="FootnoteReference"/>
        </w:rPr>
        <w:footnoteReference w:id="301"/>
      </w:r>
      <w:r>
        <w:t xml:space="preserve"> </w:t>
      </w:r>
      <w:r>
        <w:t xml:space="preserve">领受得儿子名分的灵，</w:t>
      </w:r>
      <w:r>
        <w:rPr>
          <w:rStyle w:val="FootnoteReference"/>
        </w:rPr>
        <w:footnoteReference w:id="302"/>
      </w:r>
      <w:r>
        <w:t xml:space="preserve"> </w:t>
      </w:r>
      <w:r>
        <w:t xml:space="preserve">能坦然无惧地来到施恩宝座前，</w:t>
      </w:r>
      <w:r>
        <w:rPr>
          <w:rStyle w:val="FootnoteReference"/>
        </w:rPr>
        <w:footnoteReference w:id="303"/>
      </w:r>
      <w:r>
        <w:t xml:space="preserve"> </w:t>
      </w:r>
      <w:r>
        <w:t xml:space="preserve">可以向神呼喊「阿爸！父！」，</w:t>
      </w:r>
      <w:r>
        <w:rPr>
          <w:rStyle w:val="FootnoteReference"/>
        </w:rPr>
        <w:footnoteReference w:id="304"/>
      </w:r>
      <w:r>
        <w:t xml:space="preserve"> </w:t>
      </w:r>
      <w:r>
        <w:t xml:space="preserve">得到神的怜悯，</w:t>
      </w:r>
      <w:r>
        <w:rPr>
          <w:rStyle w:val="FootnoteReference"/>
        </w:rPr>
        <w:footnoteReference w:id="305"/>
      </w:r>
      <w:r>
        <w:t xml:space="preserve"> </w:t>
      </w:r>
      <w:r>
        <w:t xml:space="preserve">保守，</w:t>
      </w:r>
      <w:r>
        <w:rPr>
          <w:rStyle w:val="FootnoteReference"/>
        </w:rPr>
        <w:footnoteReference w:id="306"/>
      </w:r>
      <w:r>
        <w:t xml:space="preserve"> </w:t>
      </w:r>
      <w:r>
        <w:t xml:space="preserve">供养，</w:t>
      </w:r>
      <w:r>
        <w:rPr>
          <w:rStyle w:val="FootnoteReference"/>
        </w:rPr>
        <w:footnoteReference w:id="307"/>
      </w:r>
      <w:r>
        <w:t xml:space="preserve"> </w:t>
      </w:r>
      <w:r>
        <w:t xml:space="preserve">并如父亲一般管教他们；</w:t>
      </w:r>
      <w:r>
        <w:rPr>
          <w:rStyle w:val="FootnoteReference"/>
        </w:rPr>
        <w:footnoteReference w:id="308"/>
      </w:r>
      <w:r>
        <w:t xml:space="preserve"> </w:t>
      </w:r>
      <w:r>
        <w:t xml:space="preserve">但绝不被永远弃绝，</w:t>
      </w:r>
      <w:r>
        <w:rPr>
          <w:rStyle w:val="FootnoteReference"/>
        </w:rPr>
        <w:footnoteReference w:id="309"/>
      </w:r>
      <w:r>
        <w:t xml:space="preserve"> </w:t>
      </w:r>
      <w:r>
        <w:t xml:space="preserve">反而被封印直到得赎的日子；</w:t>
      </w:r>
      <w:r>
        <w:rPr>
          <w:rStyle w:val="FootnoteReference"/>
        </w:rPr>
        <w:footnoteReference w:id="310"/>
      </w:r>
      <w:r>
        <w:t xml:space="preserve"> </w:t>
      </w:r>
      <w:r>
        <w:t xml:space="preserve">并承受应许，</w:t>
      </w:r>
      <w:r>
        <w:rPr>
          <w:rStyle w:val="FootnoteReference"/>
        </w:rPr>
        <w:footnoteReference w:id="311"/>
      </w:r>
      <w:r>
        <w:t xml:space="preserve"> </w:t>
      </w:r>
      <w:r>
        <w:t xml:space="preserve">成为得享永远救恩的后嗣。</w:t>
      </w:r>
      <w:r>
        <w:rPr>
          <w:rStyle w:val="FootnoteReference"/>
        </w:rPr>
        <w:footnoteReference w:id="312"/>
      </w:r>
    </w:p>
    <w:bookmarkEnd w:id="313"/>
    <w:bookmarkStart w:id="326" w:name="十四论得救的信心"/>
    <w:p>
      <w:pPr>
        <w:pStyle w:val="Heading2"/>
      </w:pPr>
      <w:r>
        <w:t xml:space="preserve">十四、论得救的信心</w:t>
      </w:r>
    </w:p>
    <w:p>
      <w:pPr>
        <w:pStyle w:val="FirstParagraph"/>
      </w:pPr>
      <w:r>
        <w:t xml:space="preserve">那能使蒙拣选者相信而得拯救的信心之恩，乃是基督之灵在他们心中所成就的工作，</w:t>
      </w:r>
      <w:r>
        <w:rPr>
          <w:rStyle w:val="FootnoteReference"/>
        </w:rPr>
        <w:footnoteReference w:id="314"/>
      </w:r>
      <w:r>
        <w:t xml:space="preserve"> </w:t>
      </w:r>
      <w:r>
        <w:t xml:space="preserve">通常借着神的道的传讲而产生；</w:t>
      </w:r>
      <w:r>
        <w:rPr>
          <w:rStyle w:val="FootnoteReference"/>
        </w:rPr>
        <w:footnoteReference w:id="315"/>
      </w:r>
      <w:r>
        <w:t xml:space="preserve"> </w:t>
      </w:r>
      <w:r>
        <w:t xml:space="preserve">并且也借着施行圣事以及祈祷而使信心得以增进与坚固。</w:t>
      </w:r>
      <w:r>
        <w:rPr>
          <w:rStyle w:val="FootnoteReference"/>
        </w:rPr>
        <w:footnoteReference w:id="316"/>
      </w:r>
    </w:p>
    <w:p>
      <w:pPr>
        <w:pStyle w:val="BodyText"/>
      </w:pPr>
      <w:r>
        <w:t xml:space="preserve">借着这信心，基督徒相信凡在神的道中所启示的都是真实的，因为这是神亲自借此发声之权威；</w:t>
      </w:r>
      <w:r>
        <w:rPr>
          <w:rStyle w:val="FootnoteReference"/>
        </w:rPr>
        <w:footnoteReference w:id="317"/>
      </w:r>
      <w:r>
        <w:t xml:space="preserve"> </w:t>
      </w:r>
      <w:r>
        <w:t xml:space="preserve">并且对其中所含的各样内容有所不同的回应：顺服其中的命令，</w:t>
      </w:r>
      <w:r>
        <w:rPr>
          <w:rStyle w:val="FootnoteReference"/>
        </w:rPr>
        <w:footnoteReference w:id="318"/>
      </w:r>
      <w:r>
        <w:t xml:space="preserve"> </w:t>
      </w:r>
      <w:r>
        <w:t xml:space="preserve">在警戒面前战兢，</w:t>
      </w:r>
      <w:r>
        <w:rPr>
          <w:rStyle w:val="FootnoteReference"/>
        </w:rPr>
        <w:footnoteReference w:id="319"/>
      </w:r>
      <w:r>
        <w:t xml:space="preserve"> </w:t>
      </w:r>
      <w:r>
        <w:t xml:space="preserve">并接受神为今生和来世所应许的恩惠。</w:t>
      </w:r>
      <w:r>
        <w:rPr>
          <w:rStyle w:val="FootnoteReference"/>
        </w:rPr>
        <w:footnoteReference w:id="320"/>
      </w:r>
      <w:r>
        <w:t xml:space="preserve"> </w:t>
      </w:r>
      <w:r>
        <w:t xml:space="preserve">然而，得救信心的主要行为，是凭借恩典之约而单单接受、领受并倚靠基督，来得着称义、成圣与永生。</w:t>
      </w:r>
      <w:r>
        <w:rPr>
          <w:rStyle w:val="FootnoteReference"/>
        </w:rPr>
        <w:footnoteReference w:id="321"/>
      </w:r>
    </w:p>
    <w:p>
      <w:pPr>
        <w:pStyle w:val="BodyText"/>
      </w:pPr>
      <w:r>
        <w:t xml:space="preserve">这信心在程度上有强弱之分；</w:t>
      </w:r>
      <w:r>
        <w:rPr>
          <w:rStyle w:val="FootnoteReference"/>
        </w:rPr>
        <w:footnoteReference w:id="322"/>
      </w:r>
      <w:r>
        <w:t xml:space="preserve"> </w:t>
      </w:r>
      <w:r>
        <w:t xml:space="preserve">经常会受到各种攻击与削弱，但终能得胜；</w:t>
      </w:r>
      <w:r>
        <w:rPr>
          <w:rStyle w:val="FootnoteReference"/>
        </w:rPr>
        <w:footnoteReference w:id="323"/>
      </w:r>
      <w:r>
        <w:t xml:space="preserve"> </w:t>
      </w:r>
      <w:r>
        <w:t xml:space="preserve">并在许多人身上不断成长，借着基督得到充分的确据，</w:t>
      </w:r>
      <w:r>
        <w:rPr>
          <w:rStyle w:val="FootnoteReference"/>
        </w:rPr>
        <w:footnoteReference w:id="324"/>
      </w:r>
      <w:r>
        <w:t xml:space="preserve"> </w:t>
      </w:r>
      <w:r>
        <w:t xml:space="preserve">他就是我们信心的创始成终者。</w:t>
      </w:r>
      <w:r>
        <w:rPr>
          <w:rStyle w:val="FootnoteReference"/>
        </w:rPr>
        <w:footnoteReference w:id="325"/>
      </w:r>
    </w:p>
    <w:bookmarkEnd w:id="326"/>
    <w:bookmarkStart w:id="342" w:name="十五论得生命的悔改"/>
    <w:p>
      <w:pPr>
        <w:pStyle w:val="Heading2"/>
      </w:pPr>
      <w:r>
        <w:t xml:space="preserve">十五、论得生命的悔改</w:t>
      </w:r>
    </w:p>
    <w:p>
      <w:pPr>
        <w:pStyle w:val="FirstParagraph"/>
      </w:pPr>
      <w:r>
        <w:t xml:space="preserve">得生命的悔改是一种福音的恩典，</w:t>
      </w:r>
      <w:r>
        <w:rPr>
          <w:rStyle w:val="FootnoteReference"/>
        </w:rPr>
        <w:footnoteReference w:id="327"/>
      </w:r>
      <w:r>
        <w:t xml:space="preserve"> </w:t>
      </w:r>
      <w:r>
        <w:t xml:space="preserve">它的教义应当与对基督的信心一同由每一位福音的传道者传讲。</w:t>
      </w:r>
      <w:r>
        <w:rPr>
          <w:rStyle w:val="FootnoteReference"/>
        </w:rPr>
        <w:footnoteReference w:id="328"/>
      </w:r>
    </w:p>
    <w:p>
      <w:pPr>
        <w:pStyle w:val="BodyText"/>
      </w:pPr>
      <w:r>
        <w:t xml:space="preserve">借此悔改，罪人不只看见并感受到罪的危险，也知道罪的污秽与可憎，因为罪与神的圣洁本性及他公义的律法相对立；并且因知道神在基督里对悔改之人的怜悯；</w:t>
      </w:r>
      <w:r>
        <w:rPr>
          <w:rStyle w:val="FootnoteReference"/>
        </w:rPr>
        <w:footnoteReference w:id="329"/>
      </w:r>
      <w:r>
        <w:t xml:space="preserve"> </w:t>
      </w:r>
      <w:r>
        <w:t xml:space="preserve">因此为罪忧伤、厌恶罪，并转离一切罪归向神，</w:t>
      </w:r>
      <w:r>
        <w:rPr>
          <w:rStyle w:val="FootnoteReference"/>
        </w:rPr>
        <w:footnoteReference w:id="330"/>
      </w:r>
      <w:r>
        <w:t xml:space="preserve"> </w:t>
      </w:r>
      <w:r>
        <w:t xml:space="preserve">立志并努力在他的一切诫命之道上与神同行。</w:t>
      </w:r>
      <w:r>
        <w:rPr>
          <w:rStyle w:val="FootnoteReference"/>
        </w:rPr>
        <w:footnoteReference w:id="331"/>
      </w:r>
    </w:p>
    <w:p>
      <w:pPr>
        <w:pStyle w:val="BodyText"/>
      </w:pPr>
      <w:r>
        <w:t xml:space="preserve">虽然悔改并不是人所能倚靠的好行为，以弥补罪或成为罪得赦免的原因，</w:t>
      </w:r>
      <w:r>
        <w:rPr>
          <w:rStyle w:val="FootnoteReference"/>
        </w:rPr>
        <w:footnoteReference w:id="332"/>
      </w:r>
      <w:r>
        <w:t xml:space="preserve"> </w:t>
      </w:r>
      <w:r>
        <w:t xml:space="preserve">因为赦罪乃是神在基督里白白的恩典之作为；</w:t>
      </w:r>
      <w:r>
        <w:rPr>
          <w:rStyle w:val="FootnoteReference"/>
        </w:rPr>
        <w:footnoteReference w:id="333"/>
      </w:r>
      <w:r>
        <w:t xml:space="preserve"> </w:t>
      </w:r>
      <w:r>
        <w:t xml:space="preserve">然而，对一切罪人来说，悔改却是如此必不可少，以至于没有它就无人能盼望得到赦免。</w:t>
      </w:r>
      <w:r>
        <w:rPr>
          <w:rStyle w:val="FootnoteReference"/>
        </w:rPr>
        <w:footnoteReference w:id="334"/>
      </w:r>
    </w:p>
    <w:p>
      <w:pPr>
        <w:pStyle w:val="BodyText"/>
      </w:pPr>
      <w:r>
        <w:t xml:space="preserve">没有任何罪是小到不该受到定罪的；</w:t>
      </w:r>
      <w:r>
        <w:rPr>
          <w:rStyle w:val="FootnoteReference"/>
        </w:rPr>
        <w:footnoteReference w:id="335"/>
      </w:r>
      <w:r>
        <w:t xml:space="preserve"> </w:t>
      </w:r>
      <w:r>
        <w:t xml:space="preserve">同样，也没有任何罪大到能够让真心悔改之人被定罪。</w:t>
      </w:r>
      <w:r>
        <w:rPr>
          <w:rStyle w:val="FootnoteReference"/>
        </w:rPr>
        <w:footnoteReference w:id="336"/>
      </w:r>
    </w:p>
    <w:p>
      <w:pPr>
        <w:pStyle w:val="BodyText"/>
      </w:pPr>
      <w:r>
        <w:t xml:space="preserve">人不应只满足于笼统的悔改，而是每个人都当为自己各样的罪特别地努力悔改。</w:t>
      </w:r>
      <w:r>
        <w:rPr>
          <w:rStyle w:val="FootnoteReference"/>
        </w:rPr>
        <w:footnoteReference w:id="337"/>
      </w:r>
    </w:p>
    <w:p>
      <w:pPr>
        <w:pStyle w:val="BodyText"/>
      </w:pPr>
      <w:r>
        <w:t xml:space="preserve">既然每个人都有责任在私下向神承认自己的罪，并祈求赦罪，</w:t>
      </w:r>
      <w:r>
        <w:rPr>
          <w:rStyle w:val="FootnoteReference"/>
        </w:rPr>
        <w:footnoteReference w:id="338"/>
      </w:r>
      <w:r>
        <w:t xml:space="preserve"> </w:t>
      </w:r>
      <w:r>
        <w:t xml:space="preserve">在他弃绝罪恶之后，就必蒙怜悯；</w:t>
      </w:r>
      <w:r>
        <w:rPr>
          <w:rStyle w:val="FootnoteReference"/>
        </w:rPr>
        <w:footnoteReference w:id="339"/>
      </w:r>
      <w:r>
        <w:t xml:space="preserve"> </w:t>
      </w:r>
      <w:r>
        <w:t xml:space="preserve">那么，若有人使弟兄或基督的教会受亏损，就应该乐意通过个人或公开的认罪，并为自己的罪忧伤，向受侵犯者表明他的悔改；</w:t>
      </w:r>
      <w:r>
        <w:rPr>
          <w:rStyle w:val="FootnoteReference"/>
        </w:rPr>
        <w:footnoteReference w:id="340"/>
      </w:r>
      <w:r>
        <w:t xml:space="preserve"> </w:t>
      </w:r>
      <w:r>
        <w:t xml:space="preserve">而那些受伤者就应当与他和好，并以爱心接纳他。</w:t>
      </w:r>
      <w:r>
        <w:rPr>
          <w:rStyle w:val="FootnoteReference"/>
        </w:rPr>
        <w:footnoteReference w:id="341"/>
      </w:r>
    </w:p>
    <w:bookmarkEnd w:id="342"/>
    <w:bookmarkStart w:id="372" w:name="十六论善行"/>
    <w:p>
      <w:pPr>
        <w:pStyle w:val="Heading2"/>
      </w:pPr>
      <w:r>
        <w:t xml:space="preserve">十六、论善行</w:t>
      </w:r>
    </w:p>
    <w:p>
      <w:pPr>
        <w:pStyle w:val="FirstParagraph"/>
      </w:pPr>
      <w:r>
        <w:t xml:space="preserve">所谓善行，仅指神在他圣言中所吩咐的事，</w:t>
      </w:r>
      <w:r>
        <w:rPr>
          <w:rStyle w:val="FootnoteReference"/>
        </w:rPr>
        <w:footnoteReference w:id="343"/>
      </w:r>
      <w:r>
        <w:t xml:space="preserve"> </w:t>
      </w:r>
      <w:r>
        <w:t xml:space="preserve">而不是那些人凭着盲目的热心或出于某些自称善意的动机，而没有神话语根据所发明的事。</w:t>
      </w:r>
      <w:r>
        <w:rPr>
          <w:rStyle w:val="FootnoteReference"/>
        </w:rPr>
        <w:footnoteReference w:id="344"/>
      </w:r>
    </w:p>
    <w:p>
      <w:pPr>
        <w:pStyle w:val="BodyText"/>
      </w:pPr>
      <w:r>
        <w:t xml:space="preserve">这些按照神诫命而行的善行，是真实活泼信心的果子与明证；</w:t>
      </w:r>
      <w:r>
        <w:rPr>
          <w:rStyle w:val="FootnoteReference"/>
        </w:rPr>
        <w:footnoteReference w:id="345"/>
      </w:r>
      <w:r>
        <w:t xml:space="preserve"> </w:t>
      </w:r>
      <w:r>
        <w:t xml:space="preserve">信徒借此表现对神的感恩，</w:t>
      </w:r>
      <w:r>
        <w:rPr>
          <w:rStyle w:val="FootnoteReference"/>
        </w:rPr>
        <w:footnoteReference w:id="346"/>
      </w:r>
      <w:r>
        <w:t xml:space="preserve"> </w:t>
      </w:r>
      <w:r>
        <w:t xml:space="preserve">坚固自己的确据，</w:t>
      </w:r>
      <w:r>
        <w:rPr>
          <w:rStyle w:val="FootnoteReference"/>
        </w:rPr>
        <w:footnoteReference w:id="347"/>
      </w:r>
      <w:r>
        <w:t xml:space="preserve"> </w:t>
      </w:r>
      <w:r>
        <w:t xml:space="preserve">建立弟兄，</w:t>
      </w:r>
      <w:r>
        <w:rPr>
          <w:rStyle w:val="FootnoteReference"/>
        </w:rPr>
        <w:footnoteReference w:id="348"/>
      </w:r>
      <w:r>
        <w:t xml:space="preserve"> </w:t>
      </w:r>
      <w:r>
        <w:t xml:space="preserve">使所宣称的福音更加荣美，</w:t>
      </w:r>
      <w:r>
        <w:rPr>
          <w:rStyle w:val="FootnoteReference"/>
        </w:rPr>
        <w:footnoteReference w:id="349"/>
      </w:r>
      <w:r>
        <w:t xml:space="preserve"> </w:t>
      </w:r>
      <w:r>
        <w:t xml:space="preserve">让对立者无话可说，</w:t>
      </w:r>
      <w:r>
        <w:rPr>
          <w:rStyle w:val="FootnoteReference"/>
        </w:rPr>
        <w:footnoteReference w:id="350"/>
      </w:r>
      <w:r>
        <w:t xml:space="preserve"> </w:t>
      </w:r>
      <w:r>
        <w:t xml:space="preserve">并荣耀神，</w:t>
      </w:r>
      <w:r>
        <w:rPr>
          <w:rStyle w:val="FootnoteReference"/>
        </w:rPr>
        <w:footnoteReference w:id="351"/>
      </w:r>
      <w:r>
        <w:t xml:space="preserve"> </w:t>
      </w:r>
      <w:r>
        <w:t xml:space="preserve">因为我们原是他的工作，在基督耶稣里创造出来为要行善；</w:t>
      </w:r>
      <w:r>
        <w:rPr>
          <w:rStyle w:val="FootnoteReference"/>
        </w:rPr>
        <w:footnoteReference w:id="352"/>
      </w:r>
      <w:r>
        <w:t xml:space="preserve"> </w:t>
      </w:r>
      <w:r>
        <w:t xml:space="preserve">这样，我们结出成圣的果子，就能得着结局——永生。</w:t>
      </w:r>
      <w:r>
        <w:rPr>
          <w:rStyle w:val="FootnoteReference"/>
        </w:rPr>
        <w:footnoteReference w:id="353"/>
      </w:r>
    </w:p>
    <w:p>
      <w:pPr>
        <w:pStyle w:val="BodyText"/>
      </w:pPr>
      <w:r>
        <w:t xml:space="preserve">他们行善的能力丝毫不出于自己，而完全来自基督的灵；</w:t>
      </w:r>
      <w:r>
        <w:rPr>
          <w:rStyle w:val="FootnoteReference"/>
        </w:rPr>
        <w:footnoteReference w:id="354"/>
      </w:r>
      <w:r>
        <w:t xml:space="preserve"> </w:t>
      </w:r>
      <w:r>
        <w:t xml:space="preserve">为使他们能行善，除已领受的恩典外，还需同一位圣灵实际地在他们里面运行，使他们立志并行神所喜悦的事；</w:t>
      </w:r>
      <w:r>
        <w:rPr>
          <w:rStyle w:val="FootnoteReference"/>
        </w:rPr>
        <w:footnoteReference w:id="355"/>
      </w:r>
      <w:r>
        <w:t xml:space="preserve"> </w:t>
      </w:r>
      <w:r>
        <w:t xml:space="preserve">然而，他们不可因此就懈怠，好像除非圣灵有特别感动，否则他们就无须尽本分；他们反倒应当殷勤不懈地激发自己里面神的恩典。</w:t>
      </w:r>
      <w:r>
        <w:rPr>
          <w:rStyle w:val="FootnoteReference"/>
        </w:rPr>
        <w:footnoteReference w:id="356"/>
      </w:r>
    </w:p>
    <w:p>
      <w:pPr>
        <w:pStyle w:val="BodyText"/>
      </w:pPr>
      <w:r>
        <w:t xml:space="preserve">人在今生所能达到的最高顺服境地，也远不能超越本分之所需、做出神要求以外的事；事实上，他们甚至没有达成许多本该尽的义务。</w:t>
      </w:r>
      <w:r>
        <w:rPr>
          <w:rStyle w:val="FootnoteReference"/>
        </w:rPr>
        <w:footnoteReference w:id="357"/>
      </w:r>
    </w:p>
    <w:p>
      <w:pPr>
        <w:pStyle w:val="BodyText"/>
      </w:pPr>
      <w:r>
        <w:t xml:space="preserve">我们即使将自己最好的善行献上，也不能在神面前赚得赦罪或永生，因为这些善行与将来的荣耀极不相称；</w:t>
      </w:r>
      <w:r>
        <w:rPr>
          <w:rStyle w:val="FootnoteReference"/>
        </w:rPr>
        <w:footnoteReference w:id="358"/>
      </w:r>
      <w:r>
        <w:t xml:space="preserve"> </w:t>
      </w:r>
      <w:r>
        <w:t xml:space="preserve">再加上我们与神之间无限的差距，这些善行既无法使神得益，也不能偿还我们先前所欠之罪债；</w:t>
      </w:r>
      <w:r>
        <w:rPr>
          <w:rStyle w:val="FootnoteReference"/>
        </w:rPr>
        <w:footnoteReference w:id="359"/>
      </w:r>
      <w:r>
        <w:t xml:space="preserve"> </w:t>
      </w:r>
      <w:r>
        <w:t xml:space="preserve">而且当我们竭尽所能时，也不过是尽了本分，仍是无用的仆人；</w:t>
      </w:r>
      <w:r>
        <w:rPr>
          <w:rStyle w:val="FootnoteReference"/>
        </w:rPr>
        <w:footnoteReference w:id="360"/>
      </w:r>
      <w:r>
        <w:t xml:space="preserve"> </w:t>
      </w:r>
      <w:r>
        <w:t xml:space="preserve">并且因为这些善行要么正面来说是出自神的灵，</w:t>
      </w:r>
      <w:r>
        <w:rPr>
          <w:rStyle w:val="FootnoteReference"/>
        </w:rPr>
        <w:footnoteReference w:id="361"/>
      </w:r>
      <w:r>
        <w:t xml:space="preserve"> </w:t>
      </w:r>
      <w:r>
        <w:t xml:space="preserve">要么就因为由我们而行，包括太多的软弱与不完全，以致无法在神公义的严格审判下站立得住。</w:t>
      </w:r>
      <w:r>
        <w:rPr>
          <w:rStyle w:val="FootnoteReference"/>
        </w:rPr>
        <w:footnoteReference w:id="362"/>
      </w:r>
    </w:p>
    <w:p>
      <w:pPr>
        <w:pStyle w:val="BodyText"/>
      </w:pPr>
      <w:r>
        <w:t xml:space="preserve">然而，信徒因基督而被神悦纳，他们的善行也因此在基督里蒙悦纳；</w:t>
      </w:r>
      <w:r>
        <w:rPr>
          <w:rStyle w:val="FootnoteReference"/>
        </w:rPr>
        <w:footnoteReference w:id="363"/>
      </w:r>
      <w:r>
        <w:t xml:space="preserve"> </w:t>
      </w:r>
      <w:r>
        <w:t xml:space="preserve">并非表示他们在今生于神面前完全无可指摘；</w:t>
      </w:r>
      <w:r>
        <w:rPr>
          <w:rStyle w:val="FootnoteReference"/>
        </w:rPr>
        <w:footnoteReference w:id="364"/>
      </w:r>
      <w:r>
        <w:t xml:space="preserve"> </w:t>
      </w:r>
      <w:r>
        <w:t xml:space="preserve">而是神因他们在圣子里显出的真实诚意而喜悦，愿意接纳并赏赐，纵然他们的善行里仍有许多软弱与不完全。</w:t>
      </w:r>
      <w:r>
        <w:rPr>
          <w:rStyle w:val="FootnoteReference"/>
        </w:rPr>
        <w:footnoteReference w:id="365"/>
      </w:r>
    </w:p>
    <w:p>
      <w:pPr>
        <w:pStyle w:val="BodyText"/>
      </w:pPr>
      <w:r>
        <w:t xml:space="preserve">未重生之人所行的事，虽然在本质上可能是神所吩咐之事，对自己或他人也有益处；</w:t>
      </w:r>
      <w:r>
        <w:rPr>
          <w:rStyle w:val="FootnoteReference"/>
        </w:rPr>
        <w:footnoteReference w:id="366"/>
      </w:r>
      <w:r>
        <w:t xml:space="preserve"> </w:t>
      </w:r>
      <w:r>
        <w:t xml:space="preserve">但由于不是出自因信而得洁净的心，</w:t>
      </w:r>
      <w:r>
        <w:rPr>
          <w:rStyle w:val="FootnoteReference"/>
        </w:rPr>
        <w:footnoteReference w:id="367"/>
      </w:r>
      <w:r>
        <w:t xml:space="preserve"> </w:t>
      </w:r>
      <w:r>
        <w:t xml:space="preserve">也不是按照神的道的正当方式所行，</w:t>
      </w:r>
      <w:r>
        <w:rPr>
          <w:rStyle w:val="FootnoteReference"/>
        </w:rPr>
        <w:footnoteReference w:id="368"/>
      </w:r>
      <w:r>
        <w:t xml:space="preserve"> </w:t>
      </w:r>
      <w:r>
        <w:t xml:space="preserve">更不是以荣耀神为目标，</w:t>
      </w:r>
      <w:r>
        <w:rPr>
          <w:rStyle w:val="FootnoteReference"/>
        </w:rPr>
        <w:footnoteReference w:id="369"/>
      </w:r>
      <w:r>
        <w:t xml:space="preserve"> </w:t>
      </w:r>
      <w:r>
        <w:t xml:space="preserve">故而在神面前仍属有罪，无法取悦神，也不能使人配得神的恩典。</w:t>
      </w:r>
      <w:r>
        <w:rPr>
          <w:rStyle w:val="FootnoteReference"/>
        </w:rPr>
        <w:footnoteReference w:id="370"/>
      </w:r>
      <w:r>
        <w:t xml:space="preserve"> </w:t>
      </w:r>
      <w:r>
        <w:t xml:space="preserve">然而，忽视行善更是罪恶更深、令神不喜悦。</w:t>
      </w:r>
      <w:r>
        <w:rPr>
          <w:rStyle w:val="FootnoteReference"/>
        </w:rPr>
        <w:footnoteReference w:id="371"/>
      </w:r>
    </w:p>
    <w:bookmarkEnd w:id="372"/>
    <w:bookmarkStart w:id="388" w:name="十七论圣徒的坚忍"/>
    <w:p>
      <w:pPr>
        <w:pStyle w:val="Heading2"/>
      </w:pPr>
      <w:r>
        <w:t xml:space="preserve">十七、论圣徒的坚忍</w:t>
      </w:r>
    </w:p>
    <w:p>
      <w:pPr>
        <w:pStyle w:val="FirstParagraph"/>
      </w:pPr>
      <w:r>
        <w:t xml:space="preserve">凡被神在爱子里悦纳，并有效蒙召，借着圣灵成圣的人，既不可能完全也不可能最终从恩典的地位上堕落，必定会在其间坚忍到底，并得永远的救恩。</w:t>
      </w:r>
      <w:r>
        <w:rPr>
          <w:rStyle w:val="FootnoteReference"/>
        </w:rPr>
        <w:footnoteReference w:id="373"/>
      </w:r>
    </w:p>
    <w:p>
      <w:pPr>
        <w:pStyle w:val="BodyText"/>
      </w:pPr>
      <w:r>
        <w:t xml:space="preserve">圣徒的坚忍并不依赖他们自己的自由意志，而是基于神拣选之预旨的不变性，出于圣父白白且不变的爱；</w:t>
      </w:r>
      <w:r>
        <w:rPr>
          <w:rStyle w:val="FootnoteReference"/>
        </w:rPr>
        <w:footnoteReference w:id="374"/>
      </w:r>
      <w:r>
        <w:t xml:space="preserve"> </w:t>
      </w:r>
      <w:r>
        <w:t xml:space="preserve">基于耶稣基督功德与代求的有效性；</w:t>
      </w:r>
      <w:r>
        <w:rPr>
          <w:rStyle w:val="FootnoteReference"/>
        </w:rPr>
        <w:footnoteReference w:id="375"/>
      </w:r>
      <w:r>
        <w:t xml:space="preserve"> </w:t>
      </w:r>
      <w:r>
        <w:t xml:space="preserve">基于圣灵和神的种子在他们里面的常住；</w:t>
      </w:r>
      <w:r>
        <w:rPr>
          <w:rStyle w:val="FootnoteReference"/>
        </w:rPr>
        <w:footnoteReference w:id="376"/>
      </w:r>
      <w:r>
        <w:t xml:space="preserve"> </w:t>
      </w:r>
      <w:r>
        <w:t xml:space="preserve">以及恩典之约的性质；</w:t>
      </w:r>
      <w:r>
        <w:rPr>
          <w:rStyle w:val="FootnoteReference"/>
        </w:rPr>
        <w:footnoteReference w:id="377"/>
      </w:r>
      <w:r>
        <w:t xml:space="preserve"> </w:t>
      </w:r>
      <w:r>
        <w:t xml:space="preserve">因此，这坚忍才得以确实且无误。</w:t>
      </w:r>
      <w:r>
        <w:rPr>
          <w:rStyle w:val="FootnoteReference"/>
        </w:rPr>
        <w:footnoteReference w:id="378"/>
      </w:r>
    </w:p>
    <w:p>
      <w:pPr>
        <w:pStyle w:val="BodyText"/>
      </w:pPr>
      <w:r>
        <w:t xml:space="preserve">然而，他们可能因撒但与世俗的诱惑、内里余存败坏之势的盛行，以及忽略保守自己的方法，以致陷于重大罪恶，</w:t>
      </w:r>
      <w:r>
        <w:rPr>
          <w:rStyle w:val="FootnoteReference"/>
        </w:rPr>
        <w:footnoteReference w:id="379"/>
      </w:r>
      <w:r>
        <w:t xml:space="preserve"> </w:t>
      </w:r>
      <w:r>
        <w:t xml:space="preserve">并在其中持续一段时间；</w:t>
      </w:r>
      <w:r>
        <w:rPr>
          <w:rStyle w:val="FootnoteReference"/>
        </w:rPr>
        <w:footnoteReference w:id="380"/>
      </w:r>
      <w:r>
        <w:t xml:space="preserve"> </w:t>
      </w:r>
      <w:r>
        <w:t xml:space="preserve">因而使神不悦，</w:t>
      </w:r>
      <w:r>
        <w:rPr>
          <w:rStyle w:val="FootnoteReference"/>
        </w:rPr>
        <w:footnoteReference w:id="381"/>
      </w:r>
      <w:r>
        <w:t xml:space="preserve"> </w:t>
      </w:r>
      <w:r>
        <w:t xml:space="preserve">并让他的圣灵担忧，</w:t>
      </w:r>
      <w:r>
        <w:rPr>
          <w:rStyle w:val="FootnoteReference"/>
        </w:rPr>
        <w:footnoteReference w:id="382"/>
      </w:r>
      <w:r>
        <w:t xml:space="preserve"> </w:t>
      </w:r>
      <w:r>
        <w:t xml:space="preserve">甚至在某种程度上失去所享有的恩典与安慰，</w:t>
      </w:r>
      <w:r>
        <w:rPr>
          <w:rStyle w:val="FootnoteReference"/>
        </w:rPr>
        <w:footnoteReference w:id="383"/>
      </w:r>
      <w:r>
        <w:t xml:space="preserve"> </w:t>
      </w:r>
      <w:r>
        <w:t xml:space="preserve">使心刚硬，</w:t>
      </w:r>
      <w:r>
        <w:rPr>
          <w:rStyle w:val="FootnoteReference"/>
        </w:rPr>
        <w:footnoteReference w:id="384"/>
      </w:r>
      <w:r>
        <w:t xml:space="preserve"> </w:t>
      </w:r>
      <w:r>
        <w:t xml:space="preserve">良心受创；</w:t>
      </w:r>
      <w:r>
        <w:rPr>
          <w:rStyle w:val="FootnoteReference"/>
        </w:rPr>
        <w:footnoteReference w:id="385"/>
      </w:r>
      <w:r>
        <w:t xml:space="preserve"> </w:t>
      </w:r>
      <w:r>
        <w:t xml:space="preserve">損害并令人跌倒，</w:t>
      </w:r>
      <w:r>
        <w:rPr>
          <w:rStyle w:val="FootnoteReference"/>
        </w:rPr>
        <w:footnoteReference w:id="386"/>
      </w:r>
      <w:r>
        <w:t xml:space="preserve"> </w:t>
      </w:r>
      <w:r>
        <w:t xml:space="preserve">并为自己招来今生的惩罚。</w:t>
      </w:r>
      <w:r>
        <w:rPr>
          <w:rStyle w:val="FootnoteReference"/>
        </w:rPr>
        <w:footnoteReference w:id="387"/>
      </w:r>
    </w:p>
    <w:bookmarkEnd w:id="388"/>
    <w:bookmarkStart w:id="407" w:name="十八论恩典与救恩的确据"/>
    <w:p>
      <w:pPr>
        <w:pStyle w:val="Heading2"/>
      </w:pPr>
      <w:r>
        <w:t xml:space="preserve">十八、论恩典与救恩的确据</w:t>
      </w:r>
    </w:p>
    <w:p>
      <w:pPr>
        <w:pStyle w:val="FirstParagraph"/>
      </w:pPr>
      <w:r>
        <w:t xml:space="preserve">假冒为善者以及其他未重生之人，可能会徒然地以虚假的盼望和属肉体的自信，欺骗自己认为他们在神恩典之下、得救恩的地位中；</w:t>
      </w:r>
      <w:r>
        <w:rPr>
          <w:rStyle w:val="FootnoteReference"/>
        </w:rPr>
        <w:footnoteReference w:id="389"/>
      </w:r>
      <w:r>
        <w:t xml:space="preserve"> </w:t>
      </w:r>
      <w:r>
        <w:t xml:space="preserve">但这样的自信终将灭亡；</w:t>
      </w:r>
      <w:r>
        <w:rPr>
          <w:rStyle w:val="FootnoteReference"/>
        </w:rPr>
        <w:footnoteReference w:id="390"/>
      </w:r>
      <w:r>
        <w:t xml:space="preserve"> </w:t>
      </w:r>
      <w:r>
        <w:t xml:space="preserve">然而，那些真心相信主耶稣，并诚挚地爱他、立志在他面前怀着清洁良心生活的人，在今生就能得确实的保证，知道自己处于恩典之中，</w:t>
      </w:r>
      <w:r>
        <w:rPr>
          <w:rStyle w:val="FootnoteReference"/>
        </w:rPr>
        <w:footnoteReference w:id="391"/>
      </w:r>
      <w:r>
        <w:t xml:space="preserve"> </w:t>
      </w:r>
      <w:r>
        <w:t xml:space="preserve">并可以因盼望神的荣耀而喜乐，而这盼望永不叫他们羞愧。</w:t>
      </w:r>
      <w:r>
        <w:rPr>
          <w:rStyle w:val="FootnoteReference"/>
        </w:rPr>
        <w:footnoteReference w:id="392"/>
      </w:r>
    </w:p>
    <w:p>
      <w:pPr>
        <w:pStyle w:val="BodyText"/>
      </w:pPr>
      <w:r>
        <w:t xml:space="preserve">这确据并非仅仅是基于不可靠盼望的一种猜测或可能性大的信念；</w:t>
      </w:r>
      <w:r>
        <w:rPr>
          <w:rStyle w:val="FootnoteReference"/>
        </w:rPr>
        <w:footnoteReference w:id="393"/>
      </w:r>
      <w:r>
        <w:t xml:space="preserve"> </w:t>
      </w:r>
      <w:r>
        <w:t xml:space="preserve">而是建立在救恩应许的神圣真理之上的笃定，也是基于这些应许所针对的内在恩典的证据，</w:t>
      </w:r>
      <w:r>
        <w:rPr>
          <w:rStyle w:val="FootnoteReference"/>
        </w:rPr>
        <w:footnoteReference w:id="394"/>
      </w:r>
      <w:r>
        <w:t xml:space="preserve"> </w:t>
      </w:r>
      <w:r>
        <w:t xml:space="preserve">并且也有那使我们得儿子名分的圣灵与我们的心同作见证，证明我们是神的儿女；</w:t>
      </w:r>
      <w:r>
        <w:rPr>
          <w:rStyle w:val="FootnoteReference"/>
        </w:rPr>
        <w:footnoteReference w:id="395"/>
      </w:r>
      <w:r>
        <w:t xml:space="preserve"> </w:t>
      </w:r>
      <w:r>
        <w:t xml:space="preserve">这位圣灵就是我们基业的凭据，借此我们被封印直到得赎的日子。</w:t>
      </w:r>
      <w:r>
        <w:rPr>
          <w:rStyle w:val="FootnoteReference"/>
        </w:rPr>
        <w:footnoteReference w:id="396"/>
      </w:r>
    </w:p>
    <w:p>
      <w:pPr>
        <w:pStyle w:val="BodyText"/>
      </w:pPr>
      <w:r>
        <w:t xml:space="preserve">这种绝对可靠的确据并非在信心的本质中就自然拥有；真实的信徒可能要等待许久，也要面对许多难题，才能获得这种确据；</w:t>
      </w:r>
      <w:r>
        <w:rPr>
          <w:rStyle w:val="FootnoteReference"/>
        </w:rPr>
        <w:footnoteReference w:id="397"/>
      </w:r>
      <w:r>
        <w:t xml:space="preserve"> </w:t>
      </w:r>
      <w:r>
        <w:t xml:space="preserve">然而，他们若借着圣灵的能力去明白神白白所赐的恩典，就能在正确使用一般途径的情况下，而无需特别启示也能获得这种确据。</w:t>
      </w:r>
      <w:r>
        <w:rPr>
          <w:rStyle w:val="FootnoteReference"/>
        </w:rPr>
        <w:footnoteReference w:id="398"/>
      </w:r>
      <w:r>
        <w:t xml:space="preserve"> </w:t>
      </w:r>
      <w:r>
        <w:t xml:space="preserve">因此，每个人都有责任格外殷勤，使自己的蒙召与拣选得以确定，</w:t>
      </w:r>
      <w:r>
        <w:rPr>
          <w:rStyle w:val="FootnoteReference"/>
        </w:rPr>
        <w:footnoteReference w:id="399"/>
      </w:r>
      <w:r>
        <w:t xml:space="preserve"> </w:t>
      </w:r>
      <w:r>
        <w:t xml:space="preserve">由此，他的心在圣灵里得平安与喜乐，并对神充满爱与感恩，也在顺服的本分上更得力量与喜乐——这些都是这确据的正当果子；</w:t>
      </w:r>
      <w:r>
        <w:rPr>
          <w:rStyle w:val="FootnoteReference"/>
        </w:rPr>
        <w:footnoteReference w:id="400"/>
      </w:r>
      <w:r>
        <w:t xml:space="preserve"> </w:t>
      </w:r>
      <w:r>
        <w:t xml:space="preserve">绝不会因此将人引向放荡。</w:t>
      </w:r>
      <w:r>
        <w:rPr>
          <w:rStyle w:val="FootnoteReference"/>
        </w:rPr>
        <w:footnoteReference w:id="401"/>
      </w:r>
    </w:p>
    <w:p>
      <w:pPr>
        <w:pStyle w:val="BodyText"/>
      </w:pPr>
      <w:r>
        <w:t xml:space="preserve">真正的信徒对于自己得救的确据，可能在各种方式下受到动摇、削弱或暂时中断，如：疏于保守这确据，陷入某些严重的罪，损伤良心并使圣灵忧伤；</w:t>
      </w:r>
      <w:r>
        <w:rPr>
          <w:rStyle w:val="FootnoteReference"/>
        </w:rPr>
        <w:footnoteReference w:id="402"/>
      </w:r>
      <w:r>
        <w:t xml:space="preserve"> </w:t>
      </w:r>
      <w:r>
        <w:t xml:space="preserve">或遭遇突然或剧烈的试探；</w:t>
      </w:r>
      <w:r>
        <w:rPr>
          <w:rStyle w:val="FootnoteReference"/>
        </w:rPr>
        <w:footnoteReference w:id="403"/>
      </w:r>
      <w:r>
        <w:t xml:space="preserve"> </w:t>
      </w:r>
      <w:r>
        <w:t xml:space="preserve">或因神收回他面光的照耀，使敬畏他的人也行在黑暗而不见亮光；</w:t>
      </w:r>
      <w:r>
        <w:rPr>
          <w:rStyle w:val="FootnoteReference"/>
        </w:rPr>
        <w:footnoteReference w:id="404"/>
      </w:r>
      <w:r>
        <w:t xml:space="preserve"> </w:t>
      </w:r>
      <w:r>
        <w:t xml:space="preserve">然而，他们从不会全然失去神的种子、信心的生命、对基督及弟兄的爱、内心的诚实以及对责任的自觉；这些在圣灵的运行下，必会在适时重新唤起这种确据，</w:t>
      </w:r>
      <w:r>
        <w:rPr>
          <w:rStyle w:val="FootnoteReference"/>
        </w:rPr>
        <w:footnoteReference w:id="405"/>
      </w:r>
      <w:r>
        <w:t xml:space="preserve"> </w:t>
      </w:r>
      <w:r>
        <w:t xml:space="preserve">并在此期间保守他们不至于陷于绝望。</w:t>
      </w:r>
      <w:r>
        <w:rPr>
          <w:rStyle w:val="FootnoteReference"/>
        </w:rPr>
        <w:footnoteReference w:id="406"/>
      </w:r>
    </w:p>
    <w:bookmarkEnd w:id="407"/>
    <w:bookmarkStart w:id="430" w:name="十九论神的律法"/>
    <w:p>
      <w:pPr>
        <w:pStyle w:val="Heading2"/>
      </w:pPr>
      <w:r>
        <w:t xml:space="preserve">十九、论神的律法</w:t>
      </w:r>
    </w:p>
    <w:p>
      <w:pPr>
        <w:pStyle w:val="FirstParagraph"/>
      </w:pPr>
      <w:r>
        <w:t xml:space="preserve">神赐给亚当一条律法，作为一项行为之约，将他和他所有的后裔都束缚于必须亲身、完全、准确并持续地顺服；应许他若遵守就得生命，若违背就遭死亡；并赐给他守此律法的力量与能力。</w:t>
      </w:r>
      <w:r>
        <w:rPr>
          <w:rStyle w:val="FootnoteReference"/>
        </w:rPr>
        <w:footnoteReference w:id="408"/>
      </w:r>
    </w:p>
    <w:p>
      <w:pPr>
        <w:pStyle w:val="BodyText"/>
      </w:pPr>
      <w:r>
        <w:t xml:space="preserve">人在堕落之后，这律法仍然是完美的公义准则；因此，神在西乃山颁布了十条诫命，并写在两块法版上；</w:t>
      </w:r>
      <w:r>
        <w:rPr>
          <w:rStyle w:val="FootnoteReference"/>
        </w:rPr>
        <w:footnoteReference w:id="409"/>
      </w:r>
      <w:r>
        <w:t xml:space="preserve"> </w:t>
      </w:r>
      <w:r>
        <w:t xml:space="preserve">前四条诫命讲述我们对神的本分，其余六条讲述我们对人的本分。</w:t>
      </w:r>
      <w:r>
        <w:rPr>
          <w:rStyle w:val="FootnoteReference"/>
        </w:rPr>
        <w:footnoteReference w:id="410"/>
      </w:r>
    </w:p>
    <w:p>
      <w:pPr>
        <w:pStyle w:val="BodyText"/>
      </w:pPr>
      <w:r>
        <w:t xml:space="preserve">除了这通常称为道德律的律法之外，神也乐意赐给以色列百姓——当时如同未成年之教会——一些礼仪性的律法，其中包含多项预表性的礼仪，一方面与敬拜相关，预表基督以及他的恩典、作为、受苦与恩惠；</w:t>
      </w:r>
      <w:r>
        <w:rPr>
          <w:rStyle w:val="FootnoteReference"/>
        </w:rPr>
        <w:footnoteReference w:id="411"/>
      </w:r>
      <w:r>
        <w:t xml:space="preserve"> </w:t>
      </w:r>
      <w:r>
        <w:t xml:space="preserve">另一方面也指明各种道德义务的教训。</w:t>
      </w:r>
      <w:r>
        <w:rPr>
          <w:rStyle w:val="FootnoteReference"/>
        </w:rPr>
        <w:footnoteReference w:id="412"/>
      </w:r>
      <w:r>
        <w:t xml:space="preserve"> </w:t>
      </w:r>
      <w:r>
        <w:t xml:space="preserve">这些礼仪律在新约之下已全部废止。</w:t>
      </w:r>
      <w:r>
        <w:rPr>
          <w:rStyle w:val="FootnoteReference"/>
        </w:rPr>
        <w:footnoteReference w:id="413"/>
      </w:r>
    </w:p>
    <w:p>
      <w:pPr>
        <w:pStyle w:val="BodyText"/>
      </w:pPr>
      <w:r>
        <w:t xml:space="preserve">神也赐给他们，作为一个政体，种种司法律法；这些律法随该民族的政体终结而废止，如今除通用的公义原则外，并不再约束任何人。</w:t>
      </w:r>
      <w:r>
        <w:rPr>
          <w:rStyle w:val="FootnoteReference"/>
        </w:rPr>
        <w:footnoteReference w:id="414"/>
      </w:r>
    </w:p>
    <w:p>
      <w:pPr>
        <w:pStyle w:val="BodyText"/>
      </w:pPr>
      <w:r>
        <w:t xml:space="preserve">道德律永远约束所有人，包括已被称义的人和其他人，使他们顺服；</w:t>
      </w:r>
      <w:r>
        <w:rPr>
          <w:rStyle w:val="FootnoteReference"/>
        </w:rPr>
        <w:footnoteReference w:id="415"/>
      </w:r>
      <w:r>
        <w:t xml:space="preserve"> </w:t>
      </w:r>
      <w:r>
        <w:t xml:space="preserve">这不仅因为其中所含事项的正当性，也是因为颁布此律的乃是造物主神的权威。</w:t>
      </w:r>
      <w:r>
        <w:rPr>
          <w:rStyle w:val="FootnoteReference"/>
        </w:rPr>
        <w:footnoteReference w:id="416"/>
      </w:r>
      <w:r>
        <w:t xml:space="preserve"> </w:t>
      </w:r>
      <w:r>
        <w:t xml:space="preserve">基督在福音中并未废除，而是更加坚固了这一要求。</w:t>
      </w:r>
      <w:r>
        <w:rPr>
          <w:rStyle w:val="FootnoteReference"/>
        </w:rPr>
        <w:footnoteReference w:id="417"/>
      </w:r>
    </w:p>
    <w:p>
      <w:pPr>
        <w:pStyle w:val="BodyText"/>
      </w:pPr>
      <w:r>
        <w:t xml:space="preserve">虽然真实的信徒不在律法的范畴下视之为行为之约，以此为称义或定罪的标准，</w:t>
      </w:r>
      <w:r>
        <w:rPr>
          <w:rStyle w:val="FootnoteReference"/>
        </w:rPr>
        <w:footnoteReference w:id="418"/>
      </w:r>
      <w:r>
        <w:t xml:space="preserve"> </w:t>
      </w:r>
      <w:r>
        <w:t xml:space="preserve">然而这律法对他们和其他人仍然大有益处；因为它作为生活的规范，使人得知神的旨意以及自己的责任，进而指引且约束他们按此而行；</w:t>
      </w:r>
      <w:r>
        <w:rPr>
          <w:rStyle w:val="FootnoteReference"/>
        </w:rPr>
        <w:footnoteReference w:id="419"/>
      </w:r>
      <w:r>
        <w:t xml:space="preserve"> </w:t>
      </w:r>
      <w:r>
        <w:t xml:space="preserve">并揭露他们本性、内心及生活中的罪性污染；</w:t>
      </w:r>
      <w:r>
        <w:rPr>
          <w:rStyle w:val="FootnoteReference"/>
        </w:rPr>
        <w:footnoteReference w:id="420"/>
      </w:r>
      <w:r>
        <w:t xml:space="preserve"> </w:t>
      </w:r>
      <w:r>
        <w:t xml:space="preserve">这样，当他们借此省察自己，就会更深地意识到罪、为罪谦卑并厌恶罪；</w:t>
      </w:r>
      <w:r>
        <w:rPr>
          <w:rStyle w:val="FootnoteReference"/>
        </w:rPr>
        <w:footnoteReference w:id="421"/>
      </w:r>
      <w:r>
        <w:t xml:space="preserve"> </w:t>
      </w:r>
      <w:r>
        <w:t xml:space="preserve">并更清晰地看见自己对基督的需要，以及他顺服的完美性。</w:t>
      </w:r>
      <w:r>
        <w:rPr>
          <w:rStyle w:val="FootnoteReference"/>
        </w:rPr>
        <w:footnoteReference w:id="422"/>
      </w:r>
      <w:r>
        <w:t xml:space="preserve"> </w:t>
      </w:r>
      <w:r>
        <w:t xml:space="preserve">同时，这律法对重生之人也有抑制旧性的作用，因为它禁止罪恶；</w:t>
      </w:r>
      <w:r>
        <w:rPr>
          <w:rStyle w:val="FootnoteReference"/>
        </w:rPr>
        <w:footnoteReference w:id="423"/>
      </w:r>
      <w:r>
        <w:t xml:space="preserve"> </w:t>
      </w:r>
      <w:r>
        <w:t xml:space="preserve">它的警戒也显示了即便是信徒的罪该当的后果，以及在今生他们可能为罪所受的苦难，尽管他们已经脱离了律法中所宣告的咒诅。</w:t>
      </w:r>
      <w:r>
        <w:rPr>
          <w:rStyle w:val="FootnoteReference"/>
        </w:rPr>
        <w:footnoteReference w:id="424"/>
      </w:r>
      <w:r>
        <w:t xml:space="preserve"> </w:t>
      </w:r>
      <w:r>
        <w:t xml:space="preserve">此律法中的应许同样向他们显示神对顺服的认可，以及当他们遵行时可期望的祝福；</w:t>
      </w:r>
      <w:r>
        <w:rPr>
          <w:rStyle w:val="FootnoteReference"/>
        </w:rPr>
        <w:footnoteReference w:id="425"/>
      </w:r>
      <w:r>
        <w:t xml:space="preserve"> </w:t>
      </w:r>
      <w:r>
        <w:t xml:space="preserve">但这并不表示他们是凭此行为之约而理所当然地得这些福分。</w:t>
      </w:r>
      <w:r>
        <w:rPr>
          <w:rStyle w:val="FootnoteReference"/>
        </w:rPr>
        <w:footnoteReference w:id="426"/>
      </w:r>
      <w:r>
        <w:t xml:space="preserve"> </w:t>
      </w:r>
      <w:r>
        <w:t xml:space="preserve">因此，一个人若因为律法鼓励行善并阻止作恶而行善、远离恶，这并不能证明他在律法之下而不在恩典之中。</w:t>
      </w:r>
      <w:r>
        <w:rPr>
          <w:rStyle w:val="FootnoteReference"/>
        </w:rPr>
        <w:footnoteReference w:id="427"/>
      </w:r>
    </w:p>
    <w:p>
      <w:pPr>
        <w:pStyle w:val="BodyText"/>
      </w:pPr>
      <w:r>
        <w:t xml:space="preserve">上述这些律法的功用并不与福音之恩相抵触，反而与之美妙相合；</w:t>
      </w:r>
      <w:r>
        <w:rPr>
          <w:rStyle w:val="FootnoteReference"/>
        </w:rPr>
        <w:footnoteReference w:id="428"/>
      </w:r>
      <w:r>
        <w:t xml:space="preserve"> </w:t>
      </w:r>
      <w:r>
        <w:t xml:space="preserve">因为基督的灵制服并坚固人的意志，使之甘心乐意地去遵行神在律法中所启示的旨意。</w:t>
      </w:r>
      <w:r>
        <w:rPr>
          <w:rStyle w:val="FootnoteReference"/>
        </w:rPr>
        <w:footnoteReference w:id="429"/>
      </w:r>
    </w:p>
    <w:bookmarkEnd w:id="430"/>
    <w:bookmarkStart w:id="446" w:name="二十论基督徒的自由与良心的自由"/>
    <w:p>
      <w:pPr>
        <w:pStyle w:val="Heading2"/>
      </w:pPr>
      <w:r>
        <w:t xml:space="preserve">二十、论基督徒的自由与良心的自由</w:t>
      </w:r>
    </w:p>
    <w:p>
      <w:pPr>
        <w:pStyle w:val="FirstParagraph"/>
      </w:pPr>
      <w:r>
        <w:t xml:space="preserve">基督在福音之下为信徒所买赎的自由包括：使他们脱离罪的罪责、神定罪的忿怒、以及道德律的咒诅；</w:t>
      </w:r>
      <w:r>
        <w:rPr>
          <w:rStyle w:val="FootnoteReference"/>
        </w:rPr>
        <w:footnoteReference w:id="431"/>
      </w:r>
      <w:r>
        <w:t xml:space="preserve"> </w:t>
      </w:r>
      <w:r>
        <w:t xml:space="preserve">并从现今邪恶的世界、对撒但的奴役和罪的权势中得释放；</w:t>
      </w:r>
      <w:r>
        <w:rPr>
          <w:rStyle w:val="FootnoteReference"/>
        </w:rPr>
        <w:footnoteReference w:id="432"/>
      </w:r>
      <w:r>
        <w:t xml:space="preserve"> </w:t>
      </w:r>
      <w:r>
        <w:t xml:space="preserve">从苦难之恶、死亡的毒钩、坟墓的得胜以及永远的定罪中得释放；</w:t>
      </w:r>
      <w:r>
        <w:rPr>
          <w:rStyle w:val="FootnoteReference"/>
        </w:rPr>
        <w:footnoteReference w:id="433"/>
      </w:r>
      <w:r>
        <w:t xml:space="preserve"> </w:t>
      </w:r>
      <w:r>
        <w:t xml:space="preserve">同时，他们可以自由地到神面前，并非出于奴仆般的惧怕，而是带着儿女般的爱与甘心顺服来事奉他。</w:t>
      </w:r>
      <w:r>
        <w:rPr>
          <w:rStyle w:val="FootnoteReference"/>
        </w:rPr>
        <w:footnoteReference w:id="434"/>
      </w:r>
      <w:r>
        <w:t xml:space="preserve"> </w:t>
      </w:r>
      <w:r>
        <w:t xml:space="preserve">这些也是旧约信徒所共有的；</w:t>
      </w:r>
      <w:r>
        <w:rPr>
          <w:rStyle w:val="FootnoteReference"/>
        </w:rPr>
        <w:footnoteReference w:id="435"/>
      </w:r>
      <w:r>
        <w:t xml:space="preserve"> </w:t>
      </w:r>
      <w:r>
        <w:t xml:space="preserve">但在新约之下，基督徒的自由更为扩展了：他们脱离了犹太教会所承担的礼仪律法的轭；</w:t>
      </w:r>
      <w:r>
        <w:rPr>
          <w:rStyle w:val="FootnoteReference"/>
        </w:rPr>
        <w:footnoteReference w:id="436"/>
      </w:r>
      <w:r>
        <w:t xml:space="preserve"> </w:t>
      </w:r>
      <w:r>
        <w:t xml:space="preserve">并在来到施恩宝座前更放胆，</w:t>
      </w:r>
      <w:r>
        <w:rPr>
          <w:rStyle w:val="FootnoteReference"/>
        </w:rPr>
        <w:footnoteReference w:id="437"/>
      </w:r>
      <w:r>
        <w:t xml:space="preserve"> </w:t>
      </w:r>
      <w:r>
        <w:t xml:space="preserve">同时也比旧约信徒更丰沛地领受神自由的圣灵。</w:t>
      </w:r>
      <w:r>
        <w:rPr>
          <w:rStyle w:val="FootnoteReference"/>
        </w:rPr>
        <w:footnoteReference w:id="438"/>
      </w:r>
    </w:p>
    <w:p>
      <w:pPr>
        <w:pStyle w:val="BodyText"/>
      </w:pPr>
      <w:r>
        <w:t xml:space="preserve">唯有神是良心的主宰，</w:t>
      </w:r>
      <w:r>
        <w:rPr>
          <w:rStyle w:val="FootnoteReference"/>
        </w:rPr>
        <w:footnoteReference w:id="439"/>
      </w:r>
      <w:r>
        <w:t xml:space="preserve"> </w:t>
      </w:r>
      <w:r>
        <w:t xml:space="preserve">他使人的良心在信仰或敬拜事项上，不受任何与他的话语相抵触或超出的教训和命令之束缚；</w:t>
      </w:r>
      <w:r>
        <w:rPr>
          <w:rStyle w:val="FootnoteReference"/>
        </w:rPr>
        <w:footnoteReference w:id="440"/>
      </w:r>
      <w:r>
        <w:t xml:space="preserve"> </w:t>
      </w:r>
      <w:r>
        <w:t xml:space="preserve">因此，若有人出于良心而相信这些教训或顺服这些命令，就等同背弃了真正的良心自由；</w:t>
      </w:r>
      <w:r>
        <w:rPr>
          <w:rStyle w:val="FootnoteReference"/>
        </w:rPr>
        <w:footnoteReference w:id="441"/>
      </w:r>
      <w:r>
        <w:t xml:space="preserve"> </w:t>
      </w:r>
      <w:r>
        <w:t xml:space="preserve">而要求人有一种盲目的信仰或绝对的顺从，则是摧毁良心的自由，也摧毁理性。</w:t>
      </w:r>
      <w:r>
        <w:rPr>
          <w:rStyle w:val="FootnoteReference"/>
        </w:rPr>
        <w:footnoteReference w:id="442"/>
      </w:r>
    </w:p>
    <w:p>
      <w:pPr>
        <w:pStyle w:val="BodyText"/>
      </w:pPr>
      <w:r>
        <w:t xml:space="preserve">那些以基督徒自由为幌子而行罪或纵容私欲的人，其实破坏了基督徒自由的目的；这自由的目的乃是要我们既已从仇敌手中得释放，就可以终身在他面前，圣洁公义地无所惧怕地事奉主。</w:t>
      </w:r>
      <w:r>
        <w:rPr>
          <w:rStyle w:val="FootnoteReference"/>
        </w:rPr>
        <w:footnoteReference w:id="443"/>
      </w:r>
    </w:p>
    <w:p>
      <w:pPr>
        <w:pStyle w:val="BodyText"/>
      </w:pPr>
      <w:r>
        <w:t xml:space="preserve">并且，因为神所设立的权柄，以及基督所赎买的自由，并不是为了互相毁灭，而是要彼此扶持、保全；凡借口基督徒自由而反对任何合法权柄，或其合法行使，不论是世俗的或教会的，都是抵挡神的命令。</w:t>
      </w:r>
      <w:r>
        <w:rPr>
          <w:rStyle w:val="FootnoteReference"/>
        </w:rPr>
        <w:footnoteReference w:id="444"/>
      </w:r>
      <w:r>
        <w:t xml:space="preserve"> </w:t>
      </w:r>
      <w:r>
        <w:t xml:space="preserve">又对于那些发表或坚持与自然之光、或基督信仰已知的原则（无论在信仰、敬拜或生活上），或与敬虔之力相抵触的见解或做法，或是那些本质上或在宣扬与坚持方式上，会破坏基督在教会中所设立的外在平安与秩序的错误见解或做法，也可以按教会的规条来质询并加以处置。</w:t>
      </w:r>
      <w:r>
        <w:rPr>
          <w:rStyle w:val="FootnoteReference"/>
        </w:rPr>
        <w:footnoteReference w:id="445"/>
      </w:r>
    </w:p>
    <w:bookmarkEnd w:id="446"/>
    <w:bookmarkStart w:id="485" w:name="二十一论敬拜神与安息日"/>
    <w:p>
      <w:pPr>
        <w:pStyle w:val="Heading2"/>
      </w:pPr>
      <w:r>
        <w:t xml:space="preserve">二十一、论敬拜神与安息日</w:t>
      </w:r>
    </w:p>
    <w:p>
      <w:pPr>
        <w:pStyle w:val="FirstParagraph"/>
      </w:pPr>
      <w:r>
        <w:t xml:space="preserve">自然之光显示有一位神，他对万有拥有王权与主权，他本为善，也施恩于众，因此人当全心、全魂并全力敬畏他、爱他、赞美他、呼求他、信靠他并事奉他。</w:t>
      </w:r>
      <w:r>
        <w:rPr>
          <w:rStyle w:val="FootnoteReference"/>
        </w:rPr>
        <w:footnoteReference w:id="447"/>
      </w:r>
      <w:r>
        <w:t xml:space="preserve"> </w:t>
      </w:r>
      <w:r>
        <w:t xml:space="preserve">然而敬拜真神的可蒙悦纳之法，乃是他亲自所制定，以其所启示的旨意加以限定，使人不可借人的想象或计谋，或撒但的暗示，借着任何能看见的形象，或圣经未明载的其他方式来敬拜他。</w:t>
      </w:r>
      <w:r>
        <w:rPr>
          <w:rStyle w:val="FootnoteReference"/>
        </w:rPr>
        <w:footnoteReference w:id="448"/>
      </w:r>
    </w:p>
    <w:p>
      <w:pPr>
        <w:pStyle w:val="BodyText"/>
      </w:pPr>
      <w:r>
        <w:t xml:space="preserve">敬拜的对象应当是神 ── 圣父、圣子、圣灵 ── 并且唯独敬拜他；</w:t>
      </w:r>
      <w:r>
        <w:rPr>
          <w:rStyle w:val="FootnoteReference"/>
        </w:rPr>
        <w:footnoteReference w:id="449"/>
      </w:r>
      <w:r>
        <w:t xml:space="preserve"> </w:t>
      </w:r>
      <w:r>
        <w:t xml:space="preserve">不可敬拜天使、圣徒或任何受造之物；</w:t>
      </w:r>
      <w:r>
        <w:rPr>
          <w:rStyle w:val="FootnoteReference"/>
        </w:rPr>
        <w:footnoteReference w:id="450"/>
      </w:r>
      <w:r>
        <w:t xml:space="preserve"> </w:t>
      </w:r>
      <w:r>
        <w:t xml:space="preserve">而且，自人堕落以来，敬拜不可无中保，也不可藉他人做中保，唯独借着基督而敬拜。</w:t>
      </w:r>
      <w:r>
        <w:rPr>
          <w:rStyle w:val="FootnoteReference"/>
        </w:rPr>
        <w:footnoteReference w:id="451"/>
      </w:r>
    </w:p>
    <w:p>
      <w:pPr>
        <w:pStyle w:val="BodyText"/>
      </w:pPr>
      <w:r>
        <w:t xml:space="preserve">祈祷并感谢是敬拜神的重要组成部分之一，</w:t>
      </w:r>
      <w:r>
        <w:rPr>
          <w:rStyle w:val="FootnoteReference"/>
        </w:rPr>
        <w:footnoteReference w:id="452"/>
      </w:r>
      <w:r>
        <w:t xml:space="preserve"> </w:t>
      </w:r>
      <w:r>
        <w:t xml:space="preserve">神也要求所有人都当这样行；</w:t>
      </w:r>
      <w:r>
        <w:rPr>
          <w:rStyle w:val="FootnoteReference"/>
        </w:rPr>
        <w:footnoteReference w:id="453"/>
      </w:r>
      <w:r>
        <w:t xml:space="preserve"> </w:t>
      </w:r>
      <w:r>
        <w:t xml:space="preserve">且为使祷告蒙悦纳，当奉子之名，</w:t>
      </w:r>
      <w:r>
        <w:rPr>
          <w:rStyle w:val="FootnoteReference"/>
        </w:rPr>
        <w:footnoteReference w:id="454"/>
      </w:r>
      <w:r>
        <w:t xml:space="preserve"> </w:t>
      </w:r>
      <w:r>
        <w:t xml:space="preserve">倚靠他灵之助，</w:t>
      </w:r>
      <w:r>
        <w:rPr>
          <w:rStyle w:val="FootnoteReference"/>
        </w:rPr>
        <w:footnoteReference w:id="455"/>
      </w:r>
      <w:r>
        <w:t xml:space="preserve"> </w:t>
      </w:r>
      <w:r>
        <w:t xml:space="preserve">按他的旨意，</w:t>
      </w:r>
      <w:r>
        <w:rPr>
          <w:rStyle w:val="FootnoteReference"/>
        </w:rPr>
        <w:footnoteReference w:id="456"/>
      </w:r>
      <w:r>
        <w:t xml:space="preserve"> </w:t>
      </w:r>
      <w:r>
        <w:t xml:space="preserve">以明悟、敬畏、谦卑、热诚、信心、爱心并恒心来行；</w:t>
      </w:r>
      <w:r>
        <w:rPr>
          <w:rStyle w:val="FootnoteReference"/>
        </w:rPr>
        <w:footnoteReference w:id="457"/>
      </w:r>
      <w:r>
        <w:t xml:space="preserve"> </w:t>
      </w:r>
      <w:r>
        <w:t xml:space="preserve">若是出声，须用所明白的语言。</w:t>
      </w:r>
      <w:r>
        <w:rPr>
          <w:rStyle w:val="FootnoteReference"/>
        </w:rPr>
        <w:footnoteReference w:id="458"/>
      </w:r>
    </w:p>
    <w:p>
      <w:pPr>
        <w:pStyle w:val="BodyText"/>
      </w:pPr>
      <w:r>
        <w:t xml:space="preserve">祷告应当为合法的事，</w:t>
      </w:r>
      <w:r>
        <w:rPr>
          <w:rStyle w:val="FootnoteReference"/>
        </w:rPr>
        <w:footnoteReference w:id="459"/>
      </w:r>
      <w:r>
        <w:t xml:space="preserve"> </w:t>
      </w:r>
      <w:r>
        <w:t xml:space="preserve">也为现今众人及将来要活的人祈求；</w:t>
      </w:r>
      <w:r>
        <w:rPr>
          <w:rStyle w:val="FootnoteReference"/>
        </w:rPr>
        <w:footnoteReference w:id="460"/>
      </w:r>
      <w:r>
        <w:t xml:space="preserve"> </w:t>
      </w:r>
      <w:r>
        <w:t xml:space="preserve">却不为死去的人祷告，</w:t>
      </w:r>
      <w:r>
        <w:rPr>
          <w:rStyle w:val="FootnoteReference"/>
        </w:rPr>
        <w:footnoteReference w:id="461"/>
      </w:r>
      <w:r>
        <w:t xml:space="preserve"> </w:t>
      </w:r>
      <w:r>
        <w:t xml:space="preserve">也不为那些已知犯了至死之罪的人祷告。</w:t>
      </w:r>
      <w:r>
        <w:rPr>
          <w:rStyle w:val="FootnoteReference"/>
        </w:rPr>
        <w:footnoteReference w:id="462"/>
      </w:r>
    </w:p>
    <w:p>
      <w:pPr>
        <w:pStyle w:val="BodyText"/>
      </w:pPr>
      <w:r>
        <w:t xml:space="preserve">带着敬畏之心诵读圣经，</w:t>
      </w:r>
      <w:r>
        <w:rPr>
          <w:rStyle w:val="FootnoteReference"/>
        </w:rPr>
        <w:footnoteReference w:id="463"/>
      </w:r>
      <w:r>
        <w:t xml:space="preserve"> </w:t>
      </w:r>
      <w:r>
        <w:t xml:space="preserve">纯正地传讲，</w:t>
      </w:r>
      <w:r>
        <w:rPr>
          <w:rStyle w:val="FootnoteReference"/>
        </w:rPr>
        <w:footnoteReference w:id="464"/>
      </w:r>
      <w:r>
        <w:t xml:space="preserve"> </w:t>
      </w:r>
      <w:r>
        <w:t xml:space="preserve">并以明悟、信心和敬畏之心在顺服神的态度下谨慎聆听神的道，</w:t>
      </w:r>
      <w:r>
        <w:rPr>
          <w:rStyle w:val="FootnoteReference"/>
        </w:rPr>
        <w:footnoteReference w:id="465"/>
      </w:r>
      <w:r>
        <w:t xml:space="preserve"> </w:t>
      </w:r>
      <w:r>
        <w:t xml:space="preserve">用心恩典唱诗篇，</w:t>
      </w:r>
      <w:r>
        <w:rPr>
          <w:rStyle w:val="FootnoteReference"/>
        </w:rPr>
        <w:footnoteReference w:id="466"/>
      </w:r>
      <w:r>
        <w:t xml:space="preserve"> </w:t>
      </w:r>
      <w:r>
        <w:t xml:space="preserve">以及照基督所设立而庄重地施行、配得地领受圣事，</w:t>
      </w:r>
      <w:r>
        <w:rPr>
          <w:rStyle w:val="FootnoteReference"/>
        </w:rPr>
        <w:footnoteReference w:id="467"/>
      </w:r>
      <w:r>
        <w:t xml:space="preserve"> </w:t>
      </w:r>
      <w:r>
        <w:t xml:space="preserve">都是神平常敬拜的一部分。此外还有宗教式起誓，</w:t>
      </w:r>
      <w:r>
        <w:rPr>
          <w:rStyle w:val="FootnoteReference"/>
        </w:rPr>
        <w:footnoteReference w:id="468"/>
      </w:r>
      <w:r>
        <w:t xml:space="preserve"> </w:t>
      </w:r>
      <w:r>
        <w:t xml:space="preserve">许愿，</w:t>
      </w:r>
      <w:r>
        <w:rPr>
          <w:rStyle w:val="FootnoteReference"/>
        </w:rPr>
        <w:footnoteReference w:id="469"/>
      </w:r>
      <w:r>
        <w:t xml:space="preserve"> </w:t>
      </w:r>
      <w:r>
        <w:t xml:space="preserve">隆重的禁食，</w:t>
      </w:r>
      <w:r>
        <w:rPr>
          <w:rStyle w:val="FootnoteReference"/>
        </w:rPr>
        <w:footnoteReference w:id="470"/>
      </w:r>
      <w:r>
        <w:t xml:space="preserve"> </w:t>
      </w:r>
      <w:r>
        <w:t xml:space="preserve">以及在特别场合的感恩，</w:t>
      </w:r>
      <w:r>
        <w:rPr>
          <w:rStyle w:val="FootnoteReference"/>
        </w:rPr>
        <w:footnoteReference w:id="471"/>
      </w:r>
      <w:r>
        <w:t xml:space="preserve"> </w:t>
      </w:r>
      <w:r>
        <w:t xml:space="preserve">都当在适时之际，以圣洁而敬虔的方式进行。</w:t>
      </w:r>
      <w:r>
        <w:rPr>
          <w:rStyle w:val="FootnoteReference"/>
        </w:rPr>
        <w:footnoteReference w:id="472"/>
      </w:r>
    </w:p>
    <w:p>
      <w:pPr>
        <w:pStyle w:val="BodyText"/>
      </w:pPr>
      <w:r>
        <w:t xml:space="preserve">在福音之下，无论是祷告或敬拜的任何部分，都不受限于某一特定场所，或因向那地方而更蒙悦纳；</w:t>
      </w:r>
      <w:r>
        <w:rPr>
          <w:rStyle w:val="FootnoteReference"/>
        </w:rPr>
        <w:footnoteReference w:id="473"/>
      </w:r>
      <w:r>
        <w:t xml:space="preserve"> </w:t>
      </w:r>
      <w:r>
        <w:t xml:space="preserve">乃是要随处用心灵与真理敬拜神；</w:t>
      </w:r>
      <w:r>
        <w:rPr>
          <w:rStyle w:val="FootnoteReference"/>
        </w:rPr>
        <w:footnoteReference w:id="474"/>
      </w:r>
      <w:r>
        <w:t xml:space="preserve"> </w:t>
      </w:r>
      <w:r>
        <w:t xml:space="preserve">如在家庭中，</w:t>
      </w:r>
      <w:r>
        <w:rPr>
          <w:rStyle w:val="FootnoteReference"/>
        </w:rPr>
        <w:footnoteReference w:id="475"/>
      </w:r>
      <w:r>
        <w:t xml:space="preserve"> </w:t>
      </w:r>
      <w:r>
        <w:t xml:space="preserve">天天如此，</w:t>
      </w:r>
      <w:r>
        <w:rPr>
          <w:rStyle w:val="FootnoteReference"/>
        </w:rPr>
        <w:footnoteReference w:id="476"/>
      </w:r>
      <w:r>
        <w:t xml:space="preserve"> </w:t>
      </w:r>
      <w:r>
        <w:t xml:space="preserve">并个人在隐处自行祷告；</w:t>
      </w:r>
      <w:r>
        <w:rPr>
          <w:rStyle w:val="FootnoteReference"/>
        </w:rPr>
        <w:footnoteReference w:id="477"/>
      </w:r>
      <w:r>
        <w:t xml:space="preserve"> </w:t>
      </w:r>
      <w:r>
        <w:t xml:space="preserve">又当更庄严地，在公众聚会中敬拜，在神借他的话语或护理呼召人聚集时，不可随意或故意忽略离弃。</w:t>
      </w:r>
      <w:r>
        <w:rPr>
          <w:rStyle w:val="FootnoteReference"/>
        </w:rPr>
        <w:footnoteReference w:id="478"/>
      </w:r>
    </w:p>
    <w:p>
      <w:pPr>
        <w:pStyle w:val="BodyText"/>
      </w:pPr>
      <w:r>
        <w:t xml:space="preserve">按自然之律，通常须将部分时间分别出来，用以敬拜神；因此在他的话语中，他亦借着一条明确的道德且永久有效的诫命，约束各世代所有人，每七日中指定一日为安息日，归给他而为圣；</w:t>
      </w:r>
      <w:r>
        <w:rPr>
          <w:rStyle w:val="FootnoteReference"/>
        </w:rPr>
        <w:footnoteReference w:id="479"/>
      </w:r>
      <w:r>
        <w:t xml:space="preserve"> </w:t>
      </w:r>
      <w:r>
        <w:t xml:space="preserve">这日自起初直到基督复活前，乃是一周的末日；基督复活后，乃改为一周的首日，</w:t>
      </w:r>
      <w:r>
        <w:rPr>
          <w:rStyle w:val="FootnoteReference"/>
        </w:rPr>
        <w:footnoteReference w:id="480"/>
      </w:r>
      <w:r>
        <w:t xml:space="preserve"> </w:t>
      </w:r>
      <w:r>
        <w:t xml:space="preserve">在经文中称为主日，</w:t>
      </w:r>
      <w:r>
        <w:rPr>
          <w:rStyle w:val="FootnoteReference"/>
        </w:rPr>
        <w:footnoteReference w:id="481"/>
      </w:r>
      <w:r>
        <w:t xml:space="preserve"> </w:t>
      </w:r>
      <w:r>
        <w:t xml:space="preserve">当一直延续至世终，成为基督徒的安息日。</w:t>
      </w:r>
      <w:r>
        <w:rPr>
          <w:rStyle w:val="FootnoteReference"/>
        </w:rPr>
        <w:footnoteReference w:id="482"/>
      </w:r>
    </w:p>
    <w:p>
      <w:pPr>
        <w:pStyle w:val="BodyText"/>
      </w:pPr>
      <w:r>
        <w:t xml:space="preserve">当人们在当日之前先妥善预备好心，并处理平日的事务后，于这一天，不仅当从自己属世职事和娱乐的工作、言语、思念中止息，</w:t>
      </w:r>
      <w:r>
        <w:rPr>
          <w:rStyle w:val="FootnoteReference"/>
        </w:rPr>
        <w:footnoteReference w:id="483"/>
      </w:r>
      <w:r>
        <w:t xml:space="preserve"> </w:t>
      </w:r>
      <w:r>
        <w:t xml:space="preserve">更要在整天专心投入公众与私下对神的敬拜，并行必要与怜悯之事，这样才是向主守此安息日为圣。</w:t>
      </w:r>
      <w:r>
        <w:rPr>
          <w:rStyle w:val="FootnoteReference"/>
        </w:rPr>
        <w:footnoteReference w:id="484"/>
      </w:r>
    </w:p>
    <w:bookmarkEnd w:id="485"/>
    <w:bookmarkStart w:id="504" w:name="二十二论合法的誓言与许愿"/>
    <w:p>
      <w:pPr>
        <w:pStyle w:val="Heading2"/>
      </w:pPr>
      <w:r>
        <w:t xml:space="preserve">二十二、论合法的誓言与许愿</w:t>
      </w:r>
    </w:p>
    <w:p>
      <w:pPr>
        <w:pStyle w:val="FirstParagraph"/>
      </w:pPr>
      <w:r>
        <w:t xml:space="preserve">合法的誓言是宗教敬拜的一部分，</w:t>
      </w:r>
      <w:r>
        <w:rPr>
          <w:rStyle w:val="FootnoteReference"/>
        </w:rPr>
        <w:footnoteReference w:id="486"/>
      </w:r>
      <w:r>
        <w:t xml:space="preserve"> </w:t>
      </w:r>
      <w:r>
        <w:t xml:space="preserve">在适当情况下，发誓人郑重呼求神作见证，证实他所断言或应许之事，并且按他所誓言的真实或虚假来审判他。</w:t>
      </w:r>
      <w:r>
        <w:rPr>
          <w:rStyle w:val="FootnoteReference"/>
        </w:rPr>
        <w:footnoteReference w:id="487"/>
      </w:r>
    </w:p>
    <w:p>
      <w:pPr>
        <w:pStyle w:val="BodyText"/>
      </w:pPr>
      <w:r>
        <w:t xml:space="preserve">人只能以神的名来起誓，并且当带着神圣的敬畏与恭敬使用；</w:t>
      </w:r>
      <w:r>
        <w:rPr>
          <w:rStyle w:val="FootnoteReference"/>
        </w:rPr>
        <w:footnoteReference w:id="488"/>
      </w:r>
      <w:r>
        <w:t xml:space="preserve"> </w:t>
      </w:r>
      <w:r>
        <w:t xml:space="preserve">因此，若是徒然或轻率地藉那荣耀可畏之名起誓，或以其他任何事物起誓，都是罪恶，应当厌弃。</w:t>
      </w:r>
      <w:r>
        <w:rPr>
          <w:rStyle w:val="FootnoteReference"/>
        </w:rPr>
        <w:footnoteReference w:id="489"/>
      </w:r>
      <w:r>
        <w:t xml:space="preserve"> </w:t>
      </w:r>
      <w:r>
        <w:t xml:space="preserve">然而，在重大事务上起誓，无论在新约时期或旧约时期，经神的话语皆有所依据；</w:t>
      </w:r>
      <w:r>
        <w:rPr>
          <w:rStyle w:val="FootnoteReference"/>
        </w:rPr>
        <w:footnoteReference w:id="490"/>
      </w:r>
      <w:r>
        <w:t xml:space="preserve"> </w:t>
      </w:r>
      <w:r>
        <w:t xml:space="preserve">故而在此等事务上，被合法权威要求宣誓之人，当予以接受。</w:t>
      </w:r>
      <w:r>
        <w:rPr>
          <w:rStyle w:val="FootnoteReference"/>
        </w:rPr>
        <w:footnoteReference w:id="491"/>
      </w:r>
    </w:p>
    <w:p>
      <w:pPr>
        <w:pStyle w:val="BodyText"/>
      </w:pPr>
      <w:r>
        <w:t xml:space="preserve">凡起誓的人都当仔细思考这庄严之举的分量，只能断言自己深信为真之事；</w:t>
      </w:r>
      <w:r>
        <w:rPr>
          <w:rStyle w:val="FootnoteReference"/>
        </w:rPr>
        <w:footnoteReference w:id="492"/>
      </w:r>
      <w:r>
        <w:t xml:space="preserve"> </w:t>
      </w:r>
      <w:r>
        <w:t xml:space="preserve">并且，不可用誓言约束自己去做任何不善不义之事，或自己不信为善的事，或他无法或无意去履行的事。</w:t>
      </w:r>
      <w:r>
        <w:rPr>
          <w:rStyle w:val="FootnoteReference"/>
        </w:rPr>
        <w:footnoteReference w:id="493"/>
      </w:r>
      <w:r>
        <w:t xml:space="preserve"> </w:t>
      </w:r>
      <w:r>
        <w:t xml:space="preserve">然而，若合法权威要求为善与正当之事宣誓而拒绝起誓，那便是犯罪。</w:t>
      </w:r>
      <w:r>
        <w:rPr>
          <w:rStyle w:val="FootnoteReference"/>
        </w:rPr>
        <w:footnoteReference w:id="494"/>
      </w:r>
    </w:p>
    <w:p>
      <w:pPr>
        <w:pStyle w:val="BodyText"/>
      </w:pPr>
      <w:r>
        <w:t xml:space="preserve">起誓时当据言词之本义，不可使用模棱两可的说法或保留心中的不同解释。</w:t>
      </w:r>
      <w:r>
        <w:rPr>
          <w:rStyle w:val="FootnoteReference"/>
        </w:rPr>
        <w:footnoteReference w:id="495"/>
      </w:r>
      <w:r>
        <w:t xml:space="preserve"> </w:t>
      </w:r>
      <w:r>
        <w:t xml:space="preserve">誓言也不能迫使人去犯罪；但若是无罪之事，一旦起誓，就必须遵守，即便会使自己蒙受损失。</w:t>
      </w:r>
      <w:r>
        <w:rPr>
          <w:rStyle w:val="FootnoteReference"/>
        </w:rPr>
        <w:footnoteReference w:id="496"/>
      </w:r>
      <w:r>
        <w:t xml:space="preserve"> </w:t>
      </w:r>
      <w:r>
        <w:t xml:space="preserve">即使是对异端或不信之人所发之誓，也不可违背。</w:t>
      </w:r>
      <w:r>
        <w:rPr>
          <w:rStyle w:val="FootnoteReference"/>
        </w:rPr>
        <w:footnoteReference w:id="497"/>
      </w:r>
    </w:p>
    <w:p>
      <w:pPr>
        <w:pStyle w:val="BodyText"/>
      </w:pPr>
      <w:r>
        <w:t xml:space="preserve">许愿在性质上与应许式誓言相似，也当以同样敬虔的谨慎来许下，并以同样的诚信来履行。</w:t>
      </w:r>
      <w:r>
        <w:rPr>
          <w:rStyle w:val="FootnoteReference"/>
        </w:rPr>
        <w:footnoteReference w:id="498"/>
      </w:r>
    </w:p>
    <w:p>
      <w:pPr>
        <w:pStyle w:val="BodyText"/>
      </w:pPr>
      <w:r>
        <w:t xml:space="preserve">许愿不可向任何被造物，而是只向神；</w:t>
      </w:r>
      <w:r>
        <w:rPr>
          <w:rStyle w:val="FootnoteReference"/>
        </w:rPr>
        <w:footnoteReference w:id="499"/>
      </w:r>
      <w:r>
        <w:t xml:space="preserve"> </w:t>
      </w:r>
      <w:r>
        <w:t xml:space="preserve">且要使其蒙悦纳，就须出于自愿、信心与责任感，为已受的怜悯献上感恩，或为得所需而许愿；</w:t>
      </w:r>
      <w:r>
        <w:rPr>
          <w:rStyle w:val="FootnoteReference"/>
        </w:rPr>
        <w:footnoteReference w:id="500"/>
      </w:r>
      <w:r>
        <w:t xml:space="preserve"> </w:t>
      </w:r>
      <w:r>
        <w:t xml:space="preserve">如此我们便更严谨地将自己束缚于该行的本分之事，或其他有益于行此本分的事，范围与时长皆以适当合宜为度。</w:t>
      </w:r>
      <w:r>
        <w:rPr>
          <w:rStyle w:val="FootnoteReference"/>
        </w:rPr>
        <w:footnoteReference w:id="501"/>
      </w:r>
    </w:p>
    <w:p>
      <w:pPr>
        <w:pStyle w:val="BodyText"/>
      </w:pPr>
      <w:r>
        <w:t xml:space="preserve">任何人与其许愿，都不可许下神的话语所严禁之事，或阻拦人履行经文所命之本分的事，或超越自身能力且无神应许使其可行的事。</w:t>
      </w:r>
      <w:r>
        <w:rPr>
          <w:rStyle w:val="FootnoteReference"/>
        </w:rPr>
        <w:footnoteReference w:id="502"/>
      </w:r>
      <w:r>
        <w:t xml:space="preserve"> </w:t>
      </w:r>
      <w:r>
        <w:t xml:space="preserve">就此而论，罗马教会修院中所立的终身独身、宣称贫穷以及绝对服从的誓愿，不仅完全不像是什么更高完全的境界，反而乃是迷信且有罪的网罗，基督徒不得陷入之中。</w:t>
      </w:r>
      <w:r>
        <w:rPr>
          <w:rStyle w:val="FootnoteReference"/>
        </w:rPr>
        <w:footnoteReference w:id="503"/>
      </w:r>
    </w:p>
    <w:bookmarkEnd w:id="504"/>
    <w:bookmarkStart w:id="521" w:name="二十三论世俗官长"/>
    <w:p>
      <w:pPr>
        <w:pStyle w:val="Heading2"/>
      </w:pPr>
      <w:r>
        <w:t xml:space="preserve">二十三、论世俗官长</w:t>
      </w:r>
    </w:p>
    <w:p>
      <w:pPr>
        <w:pStyle w:val="FirstParagraph"/>
      </w:pPr>
      <w:r>
        <w:t xml:space="preserve">神是全世界至高的主宰与王者，他设立世俗官长在他之下、在百姓之上，为了他自己的荣耀与公众的益处；为此他赋予官长刀剑的权能，用以保护并嘉许行善者，惩处行恶者。</w:t>
      </w:r>
      <w:r>
        <w:rPr>
          <w:rStyle w:val="FootnoteReference"/>
        </w:rPr>
        <w:footnoteReference w:id="505"/>
      </w:r>
    </w:p>
    <w:p>
      <w:pPr>
        <w:pStyle w:val="BodyText"/>
      </w:pPr>
      <w:r>
        <w:t xml:space="preserve">当基督徒被呼召担任官长之职，这是合法的；</w:t>
      </w:r>
      <w:r>
        <w:rPr>
          <w:rStyle w:val="FootnoteReference"/>
        </w:rPr>
        <w:footnoteReference w:id="506"/>
      </w:r>
      <w:r>
        <w:t xml:space="preserve"> </w:t>
      </w:r>
      <w:r>
        <w:t xml:space="preserve">在执政中，他们应根据各国健全的法律，尤其维护虔敬、公义与和平；</w:t>
      </w:r>
      <w:r>
        <w:rPr>
          <w:rStyle w:val="FootnoteReference"/>
        </w:rPr>
        <w:footnoteReference w:id="507"/>
      </w:r>
      <w:r>
        <w:t xml:space="preserve"> </w:t>
      </w:r>
      <w:r>
        <w:t xml:space="preserve">同时，在新约之下，为达到此目的，他们在公义且必要的情况下可以依法发动战争。</w:t>
      </w:r>
      <w:r>
        <w:rPr>
          <w:rStyle w:val="FootnoteReference"/>
        </w:rPr>
        <w:footnoteReference w:id="508"/>
      </w:r>
    </w:p>
    <w:p>
      <w:pPr>
        <w:pStyle w:val="BodyText"/>
      </w:pPr>
      <w:r>
        <w:t xml:space="preserve">世俗官长不可将神的道与圣事的施行权，或天国钥匙的权柄揽归己有；</w:t>
      </w:r>
      <w:r>
        <w:rPr>
          <w:rStyle w:val="FootnoteReference"/>
        </w:rPr>
        <w:footnoteReference w:id="509"/>
      </w:r>
      <w:r>
        <w:t xml:space="preserve"> </w:t>
      </w:r>
      <w:r>
        <w:t xml:space="preserve">也不可干预信仰之事；</w:t>
      </w:r>
      <w:r>
        <w:rPr>
          <w:rStyle w:val="FootnoteReference"/>
        </w:rPr>
        <w:footnoteReference w:id="510"/>
      </w:r>
      <w:r>
        <w:t xml:space="preserve"> </w:t>
      </w:r>
      <w:r>
        <w:t xml:space="preserve">然而，官长应当如慈父般保护同属我们主的教会，不偏重任何某一派基督徒，以使所有教会人士都能完全、自由且毫无质疑地行使其神圣职分，而不受任何暴力或危险；</w:t>
      </w:r>
      <w:r>
        <w:rPr>
          <w:rStyle w:val="FootnoteReference"/>
        </w:rPr>
        <w:footnoteReference w:id="511"/>
      </w:r>
      <w:r>
        <w:t xml:space="preserve"> </w:t>
      </w:r>
      <w:r>
        <w:t xml:space="preserve">并且，由于耶稣基督已在他的教会中设立了正当的治理和教规，任何国家的法律都不应加以干预、阻挠或妨害，让任何教派的自愿成员依照其所宣告和信奉的方法，正常运作这些教会治理。</w:t>
      </w:r>
      <w:r>
        <w:rPr>
          <w:rStyle w:val="FootnoteReference"/>
        </w:rPr>
        <w:footnoteReference w:id="512"/>
      </w:r>
      <w:r>
        <w:t xml:space="preserve"> </w:t>
      </w:r>
      <w:r>
        <w:t xml:space="preserve">世俗官长的职责也包括有效地保护人民的人身与名誉，以致无人得以借口宗教或不信而对任何人施以侮辱、暴力、虐待或伤害；并且须部署措施，使一切宗教及教会聚会能不受骚扰或扰乱地进行。</w:t>
      </w:r>
      <w:r>
        <w:rPr>
          <w:rStyle w:val="FootnoteReference"/>
        </w:rPr>
        <w:footnoteReference w:id="513"/>
      </w:r>
    </w:p>
    <w:p>
      <w:pPr>
        <w:pStyle w:val="BodyText"/>
      </w:pPr>
      <w:r>
        <w:t xml:space="preserve">百姓有责任为官长祷告，</w:t>
      </w:r>
      <w:r>
        <w:rPr>
          <w:rStyle w:val="FootnoteReference"/>
        </w:rPr>
        <w:footnoteReference w:id="514"/>
      </w:r>
      <w:r>
        <w:t xml:space="preserve"> </w:t>
      </w:r>
      <w:r>
        <w:t xml:space="preserve">尊敬其人，</w:t>
      </w:r>
      <w:r>
        <w:rPr>
          <w:rStyle w:val="FootnoteReference"/>
        </w:rPr>
        <w:footnoteReference w:id="515"/>
      </w:r>
      <w:r>
        <w:t xml:space="preserve"> </w:t>
      </w:r>
      <w:r>
        <w:t xml:space="preserve">并纳税及其他应付之款，</w:t>
      </w:r>
      <w:r>
        <w:rPr>
          <w:rStyle w:val="FootnoteReference"/>
        </w:rPr>
        <w:footnoteReference w:id="516"/>
      </w:r>
      <w:r>
        <w:t xml:space="preserve"> </w:t>
      </w:r>
      <w:r>
        <w:t xml:space="preserve">遵从其合法命令，并因良心而顺服他们的权柄。</w:t>
      </w:r>
      <w:r>
        <w:rPr>
          <w:rStyle w:val="FootnoteReference"/>
        </w:rPr>
        <w:footnoteReference w:id="517"/>
      </w:r>
      <w:r>
        <w:t xml:space="preserve"> </w:t>
      </w:r>
      <w:r>
        <w:t xml:space="preserve">不信或宗教有别，并不使官长正当合法的权威失效，也不免除百姓对官长的应尽顺服；</w:t>
      </w:r>
      <w:r>
        <w:rPr>
          <w:rStyle w:val="FootnoteReference"/>
        </w:rPr>
        <w:footnoteReference w:id="518"/>
      </w:r>
      <w:r>
        <w:t xml:space="preserve"> </w:t>
      </w:r>
      <w:r>
        <w:t xml:space="preserve">教会中的人也不例外；</w:t>
      </w:r>
      <w:r>
        <w:rPr>
          <w:rStyle w:val="FootnoteReference"/>
        </w:rPr>
        <w:footnoteReference w:id="519"/>
      </w:r>
      <w:r>
        <w:t xml:space="preserve"> </w:t>
      </w:r>
      <w:r>
        <w:t xml:space="preserve">更何况罗马的教宗绝无在其领土或于其人民之上行使权柄与管辖之权，更谈不上若他认定某人为异端，就可以剥夺其领土或性命。</w:t>
      </w:r>
      <w:r>
        <w:rPr>
          <w:rStyle w:val="FootnoteReference"/>
        </w:rPr>
        <w:footnoteReference w:id="520"/>
      </w:r>
    </w:p>
    <w:bookmarkEnd w:id="521"/>
    <w:bookmarkStart w:id="537" w:name="二十四论婚姻与离婚"/>
    <w:p>
      <w:pPr>
        <w:pStyle w:val="Heading2"/>
      </w:pPr>
      <w:r>
        <w:t xml:space="preserve">二十四、论婚姻与离婚</w:t>
      </w:r>
    </w:p>
    <w:p>
      <w:pPr>
        <w:pStyle w:val="FirstParagraph"/>
      </w:pPr>
      <w:r>
        <w:t xml:space="preserve">婚姻当在一男与一女之间；任何男子不得同时拥有多于一位妻子，任何女子亦不得同时拥有多于一位丈夫。</w:t>
      </w:r>
      <w:r>
        <w:rPr>
          <w:rStyle w:val="FootnoteReference"/>
        </w:rPr>
        <w:footnoteReference w:id="522"/>
      </w:r>
    </w:p>
    <w:p>
      <w:pPr>
        <w:pStyle w:val="BodyText"/>
      </w:pPr>
      <w:r>
        <w:t xml:space="preserve">婚姻是为丈夫与妻子互相帮助而设立，</w:t>
      </w:r>
      <w:r>
        <w:rPr>
          <w:rStyle w:val="FootnoteReference"/>
        </w:rPr>
        <w:footnoteReference w:id="523"/>
      </w:r>
      <w:r>
        <w:t xml:space="preserve"> </w:t>
      </w:r>
      <w:r>
        <w:t xml:space="preserve">也为在人间合法地繁衍后代，以及在教会中传承敬虔的种子，</w:t>
      </w:r>
      <w:r>
        <w:rPr>
          <w:rStyle w:val="FootnoteReference"/>
        </w:rPr>
        <w:footnoteReference w:id="524"/>
      </w:r>
      <w:r>
        <w:t xml:space="preserve"> </w:t>
      </w:r>
      <w:r>
        <w:t xml:space="preserve">并防止不洁之事。</w:t>
      </w:r>
      <w:r>
        <w:rPr>
          <w:rStyle w:val="FootnoteReference"/>
        </w:rPr>
        <w:footnoteReference w:id="525"/>
      </w:r>
    </w:p>
    <w:p>
      <w:pPr>
        <w:pStyle w:val="BodyText"/>
      </w:pPr>
      <w:r>
        <w:t xml:space="preserve">任何能明智地同意婚事的各类人，都可以结婚；</w:t>
      </w:r>
      <w:r>
        <w:rPr>
          <w:rStyle w:val="FootnoteReference"/>
        </w:rPr>
        <w:footnoteReference w:id="526"/>
      </w:r>
      <w:r>
        <w:t xml:space="preserve"> </w:t>
      </w:r>
      <w:r>
        <w:t xml:space="preserve">但基督徒当只在主里面结婚。</w:t>
      </w:r>
      <w:r>
        <w:rPr>
          <w:rStyle w:val="FootnoteReference"/>
        </w:rPr>
        <w:footnoteReference w:id="527"/>
      </w:r>
      <w:r>
        <w:t xml:space="preserve"> </w:t>
      </w:r>
      <w:r>
        <w:t xml:space="preserve">因此，那些宣称真正改革宗教信仰的人，不可与不信者、公教徒或其他拜偶像者通婚；敬虔之人也不应与那些生活中极度邪恶、或坚持可致咎之异端的人不合理地联合。</w:t>
      </w:r>
      <w:r>
        <w:rPr>
          <w:rStyle w:val="FootnoteReference"/>
        </w:rPr>
        <w:footnoteReference w:id="528"/>
      </w:r>
    </w:p>
    <w:p>
      <w:pPr>
        <w:pStyle w:val="BodyText"/>
      </w:pPr>
      <w:r>
        <w:t xml:space="preserve">婚姻应在圣经禁止的血亲或姻亲亲属范围外；</w:t>
      </w:r>
      <w:r>
        <w:rPr>
          <w:rStyle w:val="FootnoteReference"/>
        </w:rPr>
        <w:footnoteReference w:id="529"/>
      </w:r>
      <w:r>
        <w:t xml:space="preserve"> </w:t>
      </w:r>
      <w:r>
        <w:t xml:space="preserve">任何人间的法律或彼此同意都无法使这类乱伦婚姻变为合法，以致他们可以成为夫妻并同居。</w:t>
      </w:r>
      <w:r>
        <w:rPr>
          <w:rStyle w:val="FootnoteReference"/>
        </w:rPr>
        <w:footnoteReference w:id="530"/>
      </w:r>
    </w:p>
    <w:p>
      <w:pPr>
        <w:pStyle w:val="BodyText"/>
      </w:pPr>
      <w:r>
        <w:t xml:space="preserve">若订婚后至婚前之间发现一方犯通奸或淫乱之罪，则无辜一方有正当理由解除婚约。</w:t>
      </w:r>
      <w:r>
        <w:rPr>
          <w:rStyle w:val="FootnoteReference"/>
        </w:rPr>
        <w:footnoteReference w:id="531"/>
      </w:r>
      <w:r>
        <w:t xml:space="preserve"> </w:t>
      </w:r>
      <w:r>
        <w:t xml:space="preserve">若在婚后发现通奸，则无辜一方可以合法要求离婚；</w:t>
      </w:r>
      <w:r>
        <w:rPr>
          <w:rStyle w:val="FootnoteReference"/>
        </w:rPr>
        <w:footnoteReference w:id="532"/>
      </w:r>
      <w:r>
        <w:t xml:space="preserve"> </w:t>
      </w:r>
      <w:r>
        <w:t xml:space="preserve">离婚后，可以另行结婚，如同对方已死一般。</w:t>
      </w:r>
      <w:r>
        <w:rPr>
          <w:rStyle w:val="FootnoteReference"/>
        </w:rPr>
        <w:footnoteReference w:id="533"/>
      </w:r>
    </w:p>
    <w:p>
      <w:pPr>
        <w:pStyle w:val="BodyText"/>
      </w:pPr>
      <w:r>
        <w:t xml:space="preserve">虽因人性的败坏，人倾向于寻找理由违背婚约，把神所配合的人拆开；</w:t>
      </w:r>
      <w:r>
        <w:rPr>
          <w:rStyle w:val="FootnoteReference"/>
        </w:rPr>
        <w:footnoteReference w:id="534"/>
      </w:r>
      <w:r>
        <w:t xml:space="preserve"> </w:t>
      </w:r>
      <w:r>
        <w:t xml:space="preserve">但除通奸或故意抛弃（教会或世俗官长无可救济）以外，没有足够理由解散婚约；</w:t>
      </w:r>
      <w:r>
        <w:rPr>
          <w:rStyle w:val="FootnoteReference"/>
        </w:rPr>
        <w:footnoteReference w:id="535"/>
      </w:r>
      <w:r>
        <w:t xml:space="preserve"> </w:t>
      </w:r>
      <w:r>
        <w:t xml:space="preserve">在这样的情况下，应当依照公开且有序的程序来进行，当事人不可任凭自己随意处置。</w:t>
      </w:r>
      <w:r>
        <w:rPr>
          <w:rStyle w:val="FootnoteReference"/>
        </w:rPr>
        <w:footnoteReference w:id="536"/>
      </w:r>
    </w:p>
    <w:bookmarkEnd w:id="537"/>
    <w:bookmarkStart w:id="551" w:name="二十五论教会"/>
    <w:p>
      <w:pPr>
        <w:pStyle w:val="Heading2"/>
      </w:pPr>
      <w:r>
        <w:t xml:space="preserve">二十五、论教会</w:t>
      </w:r>
    </w:p>
    <w:p>
      <w:pPr>
        <w:pStyle w:val="FirstParagraph"/>
      </w:pPr>
      <w:r>
        <w:t xml:space="preserve">那大公或普世的教会，是一种看不见的教会，由所有过去、现在及将来被召集到其元首基督之下的选民所组成；她亦是基督的新妇、基督的身体、那充满万有者的丰满。</w:t>
      </w:r>
      <w:r>
        <w:rPr>
          <w:rStyle w:val="FootnoteReference"/>
        </w:rPr>
        <w:footnoteReference w:id="538"/>
      </w:r>
    </w:p>
    <w:p>
      <w:pPr>
        <w:pStyle w:val="BodyText"/>
      </w:pPr>
      <w:r>
        <w:t xml:space="preserve">那可见的教会，在福音之下也称大公或普世的教会（不像律法时期被限定于单一民族），乃由普天下认信真宗教的人及其子女所组成；</w:t>
      </w:r>
      <w:r>
        <w:rPr>
          <w:rStyle w:val="FootnoteReference"/>
        </w:rPr>
        <w:footnoteReference w:id="539"/>
      </w:r>
      <w:r>
        <w:t xml:space="preserve"> </w:t>
      </w:r>
      <w:r>
        <w:t xml:space="preserve">她是主耶稣基督的国度，</w:t>
      </w:r>
      <w:r>
        <w:rPr>
          <w:rStyle w:val="FootnoteReference"/>
        </w:rPr>
        <w:footnoteReference w:id="540"/>
      </w:r>
      <w:r>
        <w:t xml:space="preserve"> </w:t>
      </w:r>
      <w:r>
        <w:t xml:space="preserve">神的家与家庭；</w:t>
      </w:r>
      <w:r>
        <w:rPr>
          <w:rStyle w:val="FootnoteReference"/>
        </w:rPr>
        <w:footnoteReference w:id="541"/>
      </w:r>
      <w:r>
        <w:t xml:space="preserve"> </w:t>
      </w:r>
      <w:r>
        <w:t xml:space="preserve">在这里之外，按常规并无得救的可能。</w:t>
      </w:r>
      <w:r>
        <w:rPr>
          <w:rStyle w:val="FootnoteReference"/>
        </w:rPr>
        <w:footnoteReference w:id="542"/>
      </w:r>
    </w:p>
    <w:p>
      <w:pPr>
        <w:pStyle w:val="BodyText"/>
      </w:pPr>
      <w:r>
        <w:t xml:space="preserve">基督赐给这可见的大公教会神的职分、圣言与礼仪，为要在今生直到世终召聚、成全众圣徒；并且他借着自己同在以及圣灵，按着他的应许，使这些达到应有的功效。</w:t>
      </w:r>
      <w:r>
        <w:rPr>
          <w:rStyle w:val="FootnoteReference"/>
        </w:rPr>
        <w:footnoteReference w:id="543"/>
      </w:r>
    </w:p>
    <w:p>
      <w:pPr>
        <w:pStyle w:val="BodyText"/>
      </w:pPr>
      <w:r>
        <w:t xml:space="preserve">这大公教会有时更明显，有时更不显；</w:t>
      </w:r>
      <w:r>
        <w:rPr>
          <w:rStyle w:val="FootnoteReference"/>
        </w:rPr>
        <w:footnoteReference w:id="544"/>
      </w:r>
      <w:r>
        <w:t xml:space="preserve"> </w:t>
      </w:r>
      <w:r>
        <w:t xml:space="preserve">而其中各地方教会也都是这大公教会的一部分，其纯正程度依据他们对福音教义的传讲与遵守、各礼仪的施行，以及公众敬拜的纯洁度而异。</w:t>
      </w:r>
      <w:r>
        <w:rPr>
          <w:rStyle w:val="FootnoteReference"/>
        </w:rPr>
        <w:footnoteReference w:id="545"/>
      </w:r>
    </w:p>
    <w:p>
      <w:pPr>
        <w:pStyle w:val="BodyText"/>
      </w:pPr>
      <w:r>
        <w:t xml:space="preserve">天下最纯正的教会也难免摻杂与错误；</w:t>
      </w:r>
      <w:r>
        <w:rPr>
          <w:rStyle w:val="FootnoteReference"/>
        </w:rPr>
        <w:footnoteReference w:id="546"/>
      </w:r>
      <w:r>
        <w:t xml:space="preserve"> </w:t>
      </w:r>
      <w:r>
        <w:t xml:space="preserve">有些甚至堕落到完全不是基督的教会，反成撒但的会堂。</w:t>
      </w:r>
      <w:r>
        <w:rPr>
          <w:rStyle w:val="FootnoteReference"/>
        </w:rPr>
        <w:footnoteReference w:id="547"/>
      </w:r>
      <w:r>
        <w:t xml:space="preserve"> </w:t>
      </w:r>
      <w:r>
        <w:t xml:space="preserve">然而在地上必始终有教会，按神的旨意敬拜他。</w:t>
      </w:r>
      <w:r>
        <w:rPr>
          <w:rStyle w:val="FootnoteReference"/>
        </w:rPr>
        <w:footnoteReference w:id="548"/>
      </w:r>
    </w:p>
    <w:p>
      <w:pPr>
        <w:pStyle w:val="BodyText"/>
      </w:pPr>
      <w:r>
        <w:t xml:space="preserve">教会别无元首，唯有主耶稣基督。</w:t>
      </w:r>
      <w:r>
        <w:rPr>
          <w:rStyle w:val="FootnoteReference"/>
        </w:rPr>
        <w:footnoteReference w:id="549"/>
      </w:r>
      <w:r>
        <w:t xml:space="preserve"> </w:t>
      </w:r>
      <w:r>
        <w:t xml:space="preserve">罗马的教宗不可能在任何意义上成为教会的元首；他正是那敌基督者，即犯罪之人、灭亡之子，在教会中自高抵挡基督和一切称为神的。</w:t>
      </w:r>
      <w:r>
        <w:rPr>
          <w:rStyle w:val="FootnoteReference"/>
        </w:rPr>
        <w:footnoteReference w:id="550"/>
      </w:r>
    </w:p>
    <w:bookmarkEnd w:id="551"/>
    <w:bookmarkStart w:id="560" w:name="二十六论圣徒相通"/>
    <w:p>
      <w:pPr>
        <w:pStyle w:val="Heading2"/>
      </w:pPr>
      <w:r>
        <w:t xml:space="preserve">二十六、论圣徒相通</w:t>
      </w:r>
    </w:p>
    <w:p>
      <w:pPr>
        <w:pStyle w:val="FirstParagraph"/>
      </w:pPr>
      <w:r>
        <w:t xml:space="preserve">一切与他们之元首耶稣基督同受圣灵并以信心联合的圣徒，皆与他分享他的恩典、受苦、死亡、复活及荣耀；</w:t>
      </w:r>
      <w:r>
        <w:rPr>
          <w:rStyle w:val="FootnoteReference"/>
        </w:rPr>
        <w:footnoteReference w:id="552"/>
      </w:r>
      <w:r>
        <w:t xml:space="preserve"> </w:t>
      </w:r>
      <w:r>
        <w:t xml:space="preserve">并且，因他们在爱中彼此联合，也在彼此的恩赐和恩典上共享；</w:t>
      </w:r>
      <w:r>
        <w:rPr>
          <w:rStyle w:val="FootnoteReference"/>
        </w:rPr>
        <w:footnoteReference w:id="553"/>
      </w:r>
      <w:r>
        <w:t xml:space="preserve"> </w:t>
      </w:r>
      <w:r>
        <w:t xml:space="preserve">他们也当履行各种公共或私下的职责，使彼此在内在与外在方面都得益处。</w:t>
      </w:r>
      <w:r>
        <w:rPr>
          <w:rStyle w:val="FootnoteReference"/>
        </w:rPr>
        <w:footnoteReference w:id="554"/>
      </w:r>
    </w:p>
    <w:p>
      <w:pPr>
        <w:pStyle w:val="BodyText"/>
      </w:pPr>
      <w:r>
        <w:t xml:space="preserve">在对神的敬拜以及其他有助于彼此造就的属灵服事上，圣徒因自己的信仰告白而必须持守圣洁的团契和相通；</w:t>
      </w:r>
      <w:r>
        <w:rPr>
          <w:rStyle w:val="FootnoteReference"/>
        </w:rPr>
        <w:footnoteReference w:id="555"/>
      </w:r>
      <w:r>
        <w:t xml:space="preserve"> </w:t>
      </w:r>
      <w:r>
        <w:t xml:space="preserve">并且也当按各人的才能与需要，在物质方面彼此帮助。</w:t>
      </w:r>
      <w:r>
        <w:rPr>
          <w:rStyle w:val="FootnoteReference"/>
        </w:rPr>
        <w:footnoteReference w:id="556"/>
      </w:r>
      <w:r>
        <w:t xml:space="preserve"> </w:t>
      </w:r>
      <w:r>
        <w:t xml:space="preserve">而且，当神赐机会，这样的团契也当延伸给凡在各地呼求主耶稣之名的人。</w:t>
      </w:r>
      <w:r>
        <w:rPr>
          <w:rStyle w:val="FootnoteReference"/>
        </w:rPr>
        <w:footnoteReference w:id="557"/>
      </w:r>
    </w:p>
    <w:p>
      <w:pPr>
        <w:pStyle w:val="BodyText"/>
      </w:pPr>
      <w:r>
        <w:t xml:space="preserve">圣徒与基督有这样的相通，并不意味着他们在任何形式上能分享基督神性的本质，或与基督在任何方面同等；若有人这样主张，是不敬虔且亵渎的。</w:t>
      </w:r>
      <w:r>
        <w:rPr>
          <w:rStyle w:val="FootnoteReference"/>
        </w:rPr>
        <w:footnoteReference w:id="558"/>
      </w:r>
      <w:r>
        <w:t xml:space="preserve"> </w:t>
      </w:r>
      <w:r>
        <w:t xml:space="preserve">同样，他们彼此间，以圣徒之身分相通，并不剥夺或侵犯个人对其财产的所有权。</w:t>
      </w:r>
      <w:r>
        <w:rPr>
          <w:rStyle w:val="FootnoteReference"/>
        </w:rPr>
        <w:footnoteReference w:id="559"/>
      </w:r>
    </w:p>
    <w:bookmarkEnd w:id="560"/>
    <w:bookmarkStart w:id="568" w:name="二十七论圣事"/>
    <w:p>
      <w:pPr>
        <w:pStyle w:val="Heading2"/>
      </w:pPr>
      <w:r>
        <w:t xml:space="preserve">二十七、论圣事</w:t>
      </w:r>
    </w:p>
    <w:p>
      <w:pPr>
        <w:pStyle w:val="FirstParagraph"/>
      </w:pPr>
      <w:r>
        <w:t xml:space="preserve">圣事是恩典之约的圣洁标记与印证，由神直接设立，用以表明基督及他的恩惠，并确定我们在他里面的份；</w:t>
      </w:r>
      <w:r>
        <w:rPr>
          <w:rStyle w:val="FootnoteReference"/>
        </w:rPr>
        <w:footnoteReference w:id="561"/>
      </w:r>
      <w:r>
        <w:t xml:space="preserve"> </w:t>
      </w:r>
      <w:r>
        <w:t xml:space="preserve">同时也将教会成员与世上的其他人分辨出来；</w:t>
      </w:r>
      <w:r>
        <w:rPr>
          <w:rStyle w:val="FootnoteReference"/>
        </w:rPr>
        <w:footnoteReference w:id="562"/>
      </w:r>
      <w:r>
        <w:t xml:space="preserve"> </w:t>
      </w:r>
      <w:r>
        <w:t xml:space="preserve">并且庄严地使他们按照神的话语，将自己献于神在基督里的事奉。</w:t>
      </w:r>
      <w:r>
        <w:rPr>
          <w:rStyle w:val="FootnoteReference"/>
        </w:rPr>
        <w:footnoteReference w:id="563"/>
      </w:r>
    </w:p>
    <w:p>
      <w:pPr>
        <w:pStyle w:val="BodyText"/>
      </w:pPr>
      <w:r>
        <w:t xml:space="preserve">在每一个圣事中，标记和它所代表的事物之间有属灵的关系，或称为圣事性的联合；因此，一方的名称与功效也会归给另一方。</w:t>
      </w:r>
      <w:r>
        <w:rPr>
          <w:rStyle w:val="FootnoteReference"/>
        </w:rPr>
        <w:footnoteReference w:id="564"/>
      </w:r>
    </w:p>
    <w:p>
      <w:pPr>
        <w:pStyle w:val="BodyText"/>
      </w:pPr>
      <w:r>
        <w:t xml:space="preserve">在或借着圣事（若被正当地使用）所彰显的恩典，并非因圣事本身就具有任何赐予能力；圣事的功效也不在于施礼者的虔诚与用心，而在于圣灵的工作与圣事所立之言；这话语包含了授权使用圣事的诫命，以及给予配得领受者的益处之应许。</w:t>
      </w:r>
      <w:r>
        <w:rPr>
          <w:rStyle w:val="FootnoteReference"/>
        </w:rPr>
        <w:footnoteReference w:id="565"/>
      </w:r>
    </w:p>
    <w:p>
      <w:pPr>
        <w:pStyle w:val="BodyText"/>
      </w:pPr>
      <w:r>
        <w:t xml:space="preserve">在福音之下，基督我们的主只设立了两个圣事，即洗礼与主的晚餐；并且唯有合法按立的神道传道人才可施行。</w:t>
      </w:r>
      <w:r>
        <w:rPr>
          <w:rStyle w:val="FootnoteReference"/>
        </w:rPr>
        <w:footnoteReference w:id="566"/>
      </w:r>
    </w:p>
    <w:p>
      <w:pPr>
        <w:pStyle w:val="BodyText"/>
      </w:pPr>
      <w:r>
        <w:t xml:space="preserve">就其中所表明并传递的属灵事物而言，旧约的圣事在本质上与新约是相同的。</w:t>
      </w:r>
      <w:r>
        <w:rPr>
          <w:rStyle w:val="FootnoteReference"/>
        </w:rPr>
        <w:footnoteReference w:id="567"/>
      </w:r>
    </w:p>
    <w:bookmarkEnd w:id="568"/>
    <w:bookmarkStart w:id="581" w:name="二十八论洗礼"/>
    <w:p>
      <w:pPr>
        <w:pStyle w:val="Heading2"/>
      </w:pPr>
      <w:r>
        <w:t xml:space="preserve">二十八、论洗礼</w:t>
      </w:r>
    </w:p>
    <w:p>
      <w:pPr>
        <w:pStyle w:val="FirstParagraph"/>
      </w:pPr>
      <w:r>
        <w:t xml:space="preserve">洗礼是新约的圣事，由耶稣基督所设立，不仅使受洗者郑重地被接纳进入可见的教会，</w:t>
      </w:r>
      <w:r>
        <w:rPr>
          <w:rStyle w:val="FootnoteReference"/>
        </w:rPr>
        <w:footnoteReference w:id="569"/>
      </w:r>
      <w:r>
        <w:t xml:space="preserve"> </w:t>
      </w:r>
      <w:r>
        <w:t xml:space="preserve">同时也成为其在基督之内的记号与印记：表明他已与基督联结、重生、罪得赦免，也借着耶稣基督将自己献给神，行在新生命的道路上；</w:t>
      </w:r>
      <w:r>
        <w:rPr>
          <w:rStyle w:val="FootnoteReference"/>
        </w:rPr>
        <w:footnoteReference w:id="570"/>
      </w:r>
      <w:r>
        <w:t xml:space="preserve"> </w:t>
      </w:r>
      <w:r>
        <w:t xml:space="preserve">这一圣事乃是基督亲自所立，命令教会施行至世的末了。</w:t>
      </w:r>
      <w:r>
        <w:rPr>
          <w:rStyle w:val="FootnoteReference"/>
        </w:rPr>
        <w:footnoteReference w:id="571"/>
      </w:r>
    </w:p>
    <w:p>
      <w:pPr>
        <w:pStyle w:val="BodyText"/>
      </w:pPr>
      <w:r>
        <w:t xml:space="preserve">此圣事中所用之外在元素是水，受礼之人须由依法召唤的福音传道者，以圣父、圣子与圣灵之名为其施洗。</w:t>
      </w:r>
      <w:r>
        <w:rPr>
          <w:rStyle w:val="FootnoteReference"/>
        </w:rPr>
        <w:footnoteReference w:id="572"/>
      </w:r>
    </w:p>
    <w:p>
      <w:pPr>
        <w:pStyle w:val="BodyText"/>
      </w:pPr>
      <w:r>
        <w:t xml:space="preserve">整个人浸入水中并非必要；洗礼可用浇灌或撒水的方式合法施行。</w:t>
      </w:r>
      <w:r>
        <w:rPr>
          <w:rStyle w:val="FootnoteReference"/>
        </w:rPr>
        <w:footnoteReference w:id="573"/>
      </w:r>
    </w:p>
    <w:p>
      <w:pPr>
        <w:pStyle w:val="BodyText"/>
      </w:pPr>
      <w:r>
        <w:t xml:space="preserve">不仅那些实际承认信靠和顺服基督的人应受洗礼，同时，若双亲中至少有一方是信徒，其婴孩也当受洗。</w:t>
      </w:r>
      <w:r>
        <w:rPr>
          <w:rStyle w:val="FootnoteReference"/>
        </w:rPr>
        <w:footnoteReference w:id="574"/>
      </w:r>
    </w:p>
    <w:p>
      <w:pPr>
        <w:pStyle w:val="BodyText"/>
      </w:pPr>
      <w:r>
        <w:t xml:space="preserve">轻视或忽视这圣事是大罪，</w:t>
      </w:r>
      <w:r>
        <w:rPr>
          <w:rStyle w:val="FootnoteReference"/>
        </w:rPr>
        <w:footnoteReference w:id="575"/>
      </w:r>
      <w:r>
        <w:t xml:space="preserve"> </w:t>
      </w:r>
      <w:r>
        <w:t xml:space="preserve">然而，恩典与救恩并非与此礼形成绝对不可分的关系，并非无人受此礼便不能得重生或得救；</w:t>
      </w:r>
      <w:r>
        <w:rPr>
          <w:rStyle w:val="FootnoteReference"/>
        </w:rPr>
        <w:footnoteReference w:id="576"/>
      </w:r>
      <w:r>
        <w:t xml:space="preserve"> </w:t>
      </w:r>
      <w:r>
        <w:t xml:space="preserve">亦非所有受洗之人必然重生。</w:t>
      </w:r>
      <w:r>
        <w:rPr>
          <w:rStyle w:val="FootnoteReference"/>
        </w:rPr>
        <w:footnoteReference w:id="577"/>
      </w:r>
    </w:p>
    <w:p>
      <w:pPr>
        <w:pStyle w:val="BodyText"/>
      </w:pPr>
      <w:r>
        <w:t xml:space="preserve">洗礼的功效并不束缚在施行的一刻；</w:t>
      </w:r>
      <w:r>
        <w:rPr>
          <w:rStyle w:val="FootnoteReference"/>
        </w:rPr>
        <w:footnoteReference w:id="578"/>
      </w:r>
      <w:r>
        <w:t xml:space="preserve"> </w:t>
      </w:r>
      <w:r>
        <w:t xml:space="preserve">然而当此礼被正当地使用时，神所应许的恩典不仅被宣示，而且确实借圣灵赐给那些在神的永恒旨意和适时带领下应当领受恩典者，不论成年或婴孩。</w:t>
      </w:r>
      <w:r>
        <w:rPr>
          <w:rStyle w:val="FootnoteReference"/>
        </w:rPr>
        <w:footnoteReference w:id="579"/>
      </w:r>
    </w:p>
    <w:p>
      <w:pPr>
        <w:pStyle w:val="BodyText"/>
      </w:pPr>
      <w:r>
        <w:t xml:space="preserve">洗礼这一圣事对于任何人都只能施行一次。</w:t>
      </w:r>
      <w:r>
        <w:rPr>
          <w:rStyle w:val="FootnoteReference"/>
        </w:rPr>
        <w:footnoteReference w:id="580"/>
      </w:r>
    </w:p>
    <w:bookmarkEnd w:id="581"/>
    <w:bookmarkStart w:id="598" w:name="二十九论主的晚餐"/>
    <w:p>
      <w:pPr>
        <w:pStyle w:val="Heading2"/>
      </w:pPr>
      <w:r>
        <w:t xml:space="preserve">二十九、论主的晚餐</w:t>
      </w:r>
    </w:p>
    <w:p>
      <w:pPr>
        <w:pStyle w:val="FirstParagraph"/>
      </w:pPr>
      <w:r>
        <w:t xml:space="preserve">我们主耶稣在他被卖的那夜，设立了由他身体与宝血所组成的圣事，称为主的晚餐，要在他的教会中一直遵守到世代终了。借此永远记念他在死亡中献上自己的祭，并将其中一切益处印记给真实的信徒，使他们在他里面得着属灵的滋养与长进，并更加委身于自己当向他尽的一切本分；又使其成为他们与基督及彼此之间 ── 作为基督奥秘身体之肢体 ── 相交的纽带与凭据。</w:t>
      </w:r>
      <w:r>
        <w:rPr>
          <w:rStyle w:val="FootnoteReference"/>
        </w:rPr>
        <w:footnoteReference w:id="582"/>
      </w:r>
    </w:p>
    <w:p>
      <w:pPr>
        <w:pStyle w:val="BodyText"/>
      </w:pPr>
      <w:r>
        <w:t xml:space="preserve">在这圣事中，并无将基督再次献给父神，也并无为生者或死者之赎罪而献上的真实祭物；</w:t>
      </w:r>
      <w:r>
        <w:rPr>
          <w:rStyle w:val="FootnoteReference"/>
        </w:rPr>
        <w:footnoteReference w:id="583"/>
      </w:r>
      <w:r>
        <w:t xml:space="preserve"> </w:t>
      </w:r>
      <w:r>
        <w:t xml:space="preserve">仅是记念他曾在十字架上一劳永逸地献上自己，并以属灵的方式将一切可能的赞美呈献给神；</w:t>
      </w:r>
      <w:r>
        <w:rPr>
          <w:rStyle w:val="FootnoteReference"/>
        </w:rPr>
        <w:footnoteReference w:id="584"/>
      </w:r>
      <w:r>
        <w:t xml:space="preserve"> </w:t>
      </w:r>
      <w:r>
        <w:t xml:space="preserve">因而，罗马派所称为弥撒的献祭，乃是对基督惟一一次的献身祭、即为他选民众罪作唯一挽回祭的极大亵渎。</w:t>
      </w:r>
      <w:r>
        <w:rPr>
          <w:rStyle w:val="FootnoteReference"/>
        </w:rPr>
        <w:footnoteReference w:id="585"/>
      </w:r>
    </w:p>
    <w:p>
      <w:pPr>
        <w:pStyle w:val="BodyText"/>
      </w:pPr>
      <w:r>
        <w:t xml:space="preserve">主耶稣在这规定之礼中，指定他的仆人向会众宣读圣事所立之言，祷告，并祝福饼与酒，使它们从寻常用处分别为圣；然后拿起并擘开饼，拿起杯，并且先自己参与，再将饼与杯一起分给领受者；</w:t>
      </w:r>
      <w:r>
        <w:rPr>
          <w:rStyle w:val="FootnoteReference"/>
        </w:rPr>
        <w:footnoteReference w:id="586"/>
      </w:r>
      <w:r>
        <w:t xml:space="preserve"> </w:t>
      </w:r>
      <w:r>
        <w:t xml:space="preserve">但不分给那时不在聚会中的人。</w:t>
      </w:r>
      <w:r>
        <w:rPr>
          <w:rStyle w:val="FootnoteReference"/>
        </w:rPr>
        <w:footnoteReference w:id="587"/>
      </w:r>
    </w:p>
    <w:p>
      <w:pPr>
        <w:pStyle w:val="BodyText"/>
      </w:pPr>
      <w:r>
        <w:t xml:space="preserve">私人弥撒，或只由神父或任何人独自领受此圣事；</w:t>
      </w:r>
      <w:r>
        <w:rPr>
          <w:rStyle w:val="FootnoteReference"/>
        </w:rPr>
        <w:footnoteReference w:id="588"/>
      </w:r>
      <w:r>
        <w:t xml:space="preserve"> </w:t>
      </w:r>
      <w:r>
        <w:t xml:space="preserve">以及不允许会众喝杯；</w:t>
      </w:r>
      <w:r>
        <w:rPr>
          <w:rStyle w:val="FootnoteReference"/>
        </w:rPr>
        <w:footnoteReference w:id="589"/>
      </w:r>
      <w:r>
        <w:t xml:space="preserve"> </w:t>
      </w:r>
      <w:r>
        <w:t xml:space="preserve">崇拜饼与杯元素、将它们高举或抬来抬去供人膜拜，或将它们留下作其他所谓宗教用途，以上均与这圣事的性质和基督的制定背道而驰。</w:t>
      </w:r>
      <w:r>
        <w:rPr>
          <w:rStyle w:val="FootnoteReference"/>
        </w:rPr>
        <w:footnoteReference w:id="590"/>
      </w:r>
    </w:p>
    <w:p>
      <w:pPr>
        <w:pStyle w:val="BodyText"/>
      </w:pPr>
      <w:r>
        <w:t xml:space="preserve">在此圣事中，那被按基督所定之用途妥善分用的外在元素，与被钉十字架的基督有如此关联，以致它们在圣事性的意义上，真切却仅仅以表征的方式，有时被称作基督的身体与宝血；</w:t>
      </w:r>
      <w:r>
        <w:rPr>
          <w:rStyle w:val="FootnoteReference"/>
        </w:rPr>
        <w:footnoteReference w:id="591"/>
      </w:r>
      <w:r>
        <w:t xml:space="preserve"> </w:t>
      </w:r>
      <w:r>
        <w:t xml:space="preserve">然而，在其本质与形质上，它们依然只是饼和酒，与先前相同。</w:t>
      </w:r>
      <w:r>
        <w:rPr>
          <w:rStyle w:val="FootnoteReference"/>
        </w:rPr>
        <w:footnoteReference w:id="592"/>
      </w:r>
    </w:p>
    <w:p>
      <w:pPr>
        <w:pStyle w:val="BodyText"/>
      </w:pPr>
      <w:r>
        <w:t xml:space="preserve">那声称藉祭司的祝圣或其他方式将饼与酒的本质变成基督身体与宝血之本质（通常称为“变体说”）的教义，不仅与圣经相抵触，也违背常识与理性；它颠覆了圣事的本质，过去并且现在都成了多种迷信乃至严重偶像崇拜的根源。</w:t>
      </w:r>
      <w:r>
        <w:rPr>
          <w:rStyle w:val="FootnoteReference"/>
        </w:rPr>
        <w:footnoteReference w:id="593"/>
      </w:r>
    </w:p>
    <w:p>
      <w:pPr>
        <w:pStyle w:val="BodyText"/>
      </w:pPr>
      <w:r>
        <w:t xml:space="preserve">配当的领受者在外表上领受此圣事中可见的元素之时，</w:t>
      </w:r>
      <w:r>
        <w:rPr>
          <w:rStyle w:val="FootnoteReference"/>
        </w:rPr>
        <w:footnoteReference w:id="594"/>
      </w:r>
      <w:r>
        <w:t xml:space="preserve"> </w:t>
      </w:r>
      <w:r>
        <w:t xml:space="preserve">也藉着信心，在内心真切地（并非以肉身或物质方式，而是属灵地）领受并享用被钉十字架的基督，以及他死所带来的一切益处：主的身体与宝血并非肉身也非物质地在饼与酒之中、之上或之下；然而在此礼中，对真正信心的信徒而言，他却真实地（只是在属灵意义上）同在，正如饼与酒真实地呈现在他们外在感官面前。</w:t>
      </w:r>
      <w:r>
        <w:rPr>
          <w:rStyle w:val="FootnoteReference"/>
        </w:rPr>
        <w:footnoteReference w:id="595"/>
      </w:r>
    </w:p>
    <w:p>
      <w:pPr>
        <w:pStyle w:val="BodyText"/>
      </w:pPr>
      <w:r>
        <w:t xml:space="preserve">愚昧邪恶之人虽在此圣事中领取外在元素，但并未真实领受元素所表明之事；反而因不配而领此礼，犯了对主身体与宝血的罪，自招定罪。</w:t>
      </w:r>
      <w:r>
        <w:rPr>
          <w:rStyle w:val="FootnoteReference"/>
        </w:rPr>
        <w:footnoteReference w:id="596"/>
      </w:r>
      <w:r>
        <w:t xml:space="preserve"> </w:t>
      </w:r>
      <w:r>
        <w:t xml:space="preserve">因此，一切愚昧并不敬虔之人既不适宜与主相交，亦无资格在主的桌前；当他们仍处于这状态时，领受或被允许领受这些神圣奥秘，会严重犯罪得罪基督。</w:t>
      </w:r>
      <w:r>
        <w:rPr>
          <w:rStyle w:val="FootnoteReference"/>
        </w:rPr>
        <w:footnoteReference w:id="597"/>
      </w:r>
    </w:p>
    <w:bookmarkEnd w:id="598"/>
    <w:bookmarkStart w:id="603" w:name="三十论教会惩戒"/>
    <w:p>
      <w:pPr>
        <w:pStyle w:val="Heading2"/>
      </w:pPr>
      <w:r>
        <w:t xml:space="preserve">三十、论教会惩戒</w:t>
      </w:r>
    </w:p>
    <w:p>
      <w:pPr>
        <w:pStyle w:val="FirstParagraph"/>
      </w:pPr>
      <w:r>
        <w:t xml:space="preserve">主耶稣身为其教会的君王与元首，已在教会中委任其官员管理教会，此治理与世俗官长的权柄有别。</w:t>
      </w:r>
      <w:r>
        <w:rPr>
          <w:rStyle w:val="FootnoteReference"/>
        </w:rPr>
        <w:footnoteReference w:id="599"/>
      </w:r>
    </w:p>
    <w:p>
      <w:pPr>
        <w:pStyle w:val="BodyText"/>
      </w:pPr>
      <w:r>
        <w:t xml:space="preserve">神已将天国钥匙交给这些职分人员；借此，他能分别施行保留或赦免之权，可以借着圣道和惩戒，将不肯悔改的人拒于天国之外；也可以借福音的职事和解除惩戒之举，将痛改前非的罪人纳入天国，如情形所需。</w:t>
      </w:r>
      <w:r>
        <w:rPr>
          <w:rStyle w:val="FootnoteReference"/>
        </w:rPr>
        <w:footnoteReference w:id="600"/>
      </w:r>
    </w:p>
    <w:p>
      <w:pPr>
        <w:pStyle w:val="BodyText"/>
      </w:pPr>
      <w:r>
        <w:t xml:space="preserve">教会惩戒乃是必须的，为使犯罪的弟兄回头且得益处；为警戒他人勿行同样之错；为除去能影响全群的恶酵；为维护基督的尊荣与福音的神圣宣告；并防止神原本可义正降于教会的忿怒，倘若教会容忍公然而顽固的罪人去亵渎神的约及其印记。</w:t>
      </w:r>
      <w:r>
        <w:rPr>
          <w:rStyle w:val="FootnoteReference"/>
        </w:rPr>
        <w:footnoteReference w:id="601"/>
      </w:r>
    </w:p>
    <w:p>
      <w:pPr>
        <w:pStyle w:val="BodyText"/>
      </w:pPr>
      <w:r>
        <w:t xml:space="preserve">为更好地达成上述目标，教会职分人员应依罪行性质与犯罪者的应受刑度，依次采用劝戒、在一定期间停止其领受主的晚餐，或将其开除教会的手段。</w:t>
      </w:r>
      <w:r>
        <w:rPr>
          <w:rStyle w:val="FootnoteReference"/>
        </w:rPr>
        <w:footnoteReference w:id="602"/>
      </w:r>
    </w:p>
    <w:bookmarkEnd w:id="603"/>
    <w:bookmarkStart w:id="610" w:name="三十一论会议与公议会"/>
    <w:p>
      <w:pPr>
        <w:pStyle w:val="Heading2"/>
      </w:pPr>
      <w:r>
        <w:t xml:space="preserve">三十一、论会议与公议会</w:t>
      </w:r>
    </w:p>
    <w:p>
      <w:pPr>
        <w:pStyle w:val="FirstParagraph"/>
      </w:pPr>
      <w:r>
        <w:t xml:space="preserve">为更好地治理教会并促进其进一步建立，教会当有一般称为“会议”或“公议会”的集会。</w:t>
      </w:r>
      <w:r>
        <w:rPr>
          <w:rStyle w:val="FootnoteReference"/>
        </w:rPr>
        <w:footnoteReference w:id="604"/>
      </w:r>
    </w:p>
    <w:p>
      <w:pPr>
        <w:pStyle w:val="BodyText"/>
      </w:pPr>
      <w:r>
        <w:t xml:space="preserve">世俗官长可合法地召集牧者或其他合适人士，商讨宗教事项；</w:t>
      </w:r>
      <w:r>
        <w:rPr>
          <w:rStyle w:val="FootnoteReference"/>
        </w:rPr>
        <w:footnoteReference w:id="605"/>
      </w:r>
      <w:r>
        <w:t xml:space="preserve"> </w:t>
      </w:r>
      <w:r>
        <w:t xml:space="preserve">若官长公然敌对教会，基督的牧者可凭着职分，或与其他适宜人士代表教会共同，应召集在此类会议中。</w:t>
      </w:r>
      <w:r>
        <w:rPr>
          <w:rStyle w:val="FootnoteReference"/>
        </w:rPr>
        <w:footnoteReference w:id="606"/>
      </w:r>
    </w:p>
    <w:p>
      <w:pPr>
        <w:pStyle w:val="BodyText"/>
      </w:pPr>
      <w:r>
        <w:t xml:space="preserve">会议与公议会在职事的层面上，有责任处理涉及信仰的争议以及良心上的难题；提出规则与指导方针，以更好地规范公众对神的敬拜及教会治理；接受对于施政不当的投诉，并以权威作出决断：若这些决议与神的话语相符，则人当带着敬畏与顺服予以接受，不仅因其与圣经一致，也因其是神在其话语中所委派设立的神圣机构所作。</w:t>
      </w:r>
      <w:r>
        <w:rPr>
          <w:rStyle w:val="FootnoteReference"/>
        </w:rPr>
        <w:footnoteReference w:id="607"/>
      </w:r>
    </w:p>
    <w:p>
      <w:pPr>
        <w:pStyle w:val="BodyText"/>
      </w:pPr>
      <w:r>
        <w:t xml:space="preserve">自使徒时代以后的一切会议与公议会，不论是普世或地区性的，都有可能出错，且已有许多确实犯错；故不可将它们视为信仰或行为的标准，而当作为于这两方面的帮助。</w:t>
      </w:r>
      <w:r>
        <w:rPr>
          <w:rStyle w:val="FootnoteReference"/>
        </w:rPr>
        <w:footnoteReference w:id="608"/>
      </w:r>
    </w:p>
    <w:p>
      <w:pPr>
        <w:pStyle w:val="BodyText"/>
      </w:pPr>
      <w:r>
        <w:t xml:space="preserve">会议与公议会只当处理或决定教会框架内的事项，不应干涉国事，除非在例外情形下通过谦卑请愿，或若世俗官长要求会议为良心的缘故提出建议。</w:t>
      </w:r>
      <w:r>
        <w:rPr>
          <w:rStyle w:val="FootnoteReference"/>
        </w:rPr>
        <w:footnoteReference w:id="609"/>
      </w:r>
    </w:p>
    <w:bookmarkEnd w:id="610"/>
    <w:bookmarkStart w:id="618" w:name="三十二论人死后的状况与死人复活"/>
    <w:p>
      <w:pPr>
        <w:pStyle w:val="Heading2"/>
      </w:pPr>
      <w:r>
        <w:t xml:space="preserve">三十二、论人死后的状况与死人复活</w:t>
      </w:r>
    </w:p>
    <w:p>
      <w:pPr>
        <w:pStyle w:val="FirstParagraph"/>
      </w:pPr>
      <w:r>
        <w:t xml:space="preserve">人死后身体归于尘土，遭朽坏，</w:t>
      </w:r>
      <w:r>
        <w:rPr>
          <w:rStyle w:val="FootnoteReference"/>
        </w:rPr>
        <w:footnoteReference w:id="611"/>
      </w:r>
      <w:r>
        <w:t xml:space="preserve"> </w:t>
      </w:r>
      <w:r>
        <w:t xml:space="preserve">但他们的灵魂既不灭也不沉睡，而是具有永存之存在，会立刻归返赐其生命的神。</w:t>
      </w:r>
      <w:r>
        <w:rPr>
          <w:rStyle w:val="FootnoteReference"/>
        </w:rPr>
        <w:footnoteReference w:id="612"/>
      </w:r>
      <w:r>
        <w:t xml:space="preserve"> </w:t>
      </w:r>
      <w:r>
        <w:t xml:space="preserve">义人的灵魂在此时被成全于圣洁之中，被接入至高天堂，在光与荣耀中得见神的面，等待身体得完全救赎；</w:t>
      </w:r>
      <w:r>
        <w:rPr>
          <w:rStyle w:val="FootnoteReference"/>
        </w:rPr>
        <w:footnoteReference w:id="613"/>
      </w:r>
      <w:r>
        <w:t xml:space="preserve"> </w:t>
      </w:r>
      <w:r>
        <w:t xml:space="preserve">而恶人的灵魂被投入阴间，在那儿忍受痛苦与极度黑暗，被留到大日施行审判。</w:t>
      </w:r>
      <w:r>
        <w:rPr>
          <w:rStyle w:val="FootnoteReference"/>
        </w:rPr>
        <w:footnoteReference w:id="614"/>
      </w:r>
      <w:r>
        <w:t xml:space="preserve"> </w:t>
      </w:r>
      <w:r>
        <w:t xml:space="preserve">圣经除这二处外，不承认灵魂与身体分离后有其他去处。</w:t>
      </w:r>
    </w:p>
    <w:p>
      <w:pPr>
        <w:pStyle w:val="BodyText"/>
      </w:pPr>
      <w:r>
        <w:t xml:space="preserve">末日时，那些正活着的人不会经历死亡，却会转变；</w:t>
      </w:r>
      <w:r>
        <w:rPr>
          <w:rStyle w:val="FootnoteReference"/>
        </w:rPr>
        <w:footnoteReference w:id="615"/>
      </w:r>
      <w:r>
        <w:t xml:space="preserve"> </w:t>
      </w:r>
      <w:r>
        <w:t xml:space="preserve">所有死了的人也要复活，他们各自的身体（虽然具有不同性质）却仍是原本之身体，并且永远与其灵魂再次联合。</w:t>
      </w:r>
      <w:r>
        <w:rPr>
          <w:rStyle w:val="FootnoteReference"/>
        </w:rPr>
        <w:footnoteReference w:id="616"/>
      </w:r>
    </w:p>
    <w:p>
      <w:pPr>
        <w:pStyle w:val="BodyText"/>
      </w:pPr>
      <w:r>
        <w:t xml:space="preserve">不义者的身体要在基督的大能下复活，却是归于羞辱；而义人的身体要在基督的灵里复活，得尊荣，并与基督荣耀的身体相似。</w:t>
      </w:r>
      <w:r>
        <w:rPr>
          <w:rStyle w:val="FootnoteReference"/>
        </w:rPr>
        <w:footnoteReference w:id="617"/>
      </w:r>
    </w:p>
    <w:bookmarkEnd w:id="618"/>
    <w:bookmarkStart w:id="628" w:name="三十三论末日审判"/>
    <w:p>
      <w:pPr>
        <w:pStyle w:val="Heading2"/>
      </w:pPr>
      <w:r>
        <w:t xml:space="preserve">三十三、论末日审判</w:t>
      </w:r>
    </w:p>
    <w:p>
      <w:pPr>
        <w:pStyle w:val="FirstParagraph"/>
      </w:pPr>
      <w:r>
        <w:t xml:space="preserve">神已经定下一个日子，要借耶稣基督按公义审判世界；</w:t>
      </w:r>
      <w:r>
        <w:rPr>
          <w:rStyle w:val="FootnoteReference"/>
        </w:rPr>
        <w:footnoteReference w:id="619"/>
      </w:r>
      <w:r>
        <w:t xml:space="preserve"> </w:t>
      </w:r>
      <w:r>
        <w:t xml:space="preserve">父已将所有权柄与审判赐给他。</w:t>
      </w:r>
      <w:r>
        <w:rPr>
          <w:rStyle w:val="FootnoteReference"/>
        </w:rPr>
        <w:footnoteReference w:id="620"/>
      </w:r>
      <w:r>
        <w:t xml:space="preserve"> </w:t>
      </w:r>
      <w:r>
        <w:t xml:space="preserve">到那日，不仅背道的天使要受审判，</w:t>
      </w:r>
      <w:r>
        <w:rPr>
          <w:rStyle w:val="FootnoteReference"/>
        </w:rPr>
        <w:footnoteReference w:id="621"/>
      </w:r>
      <w:r>
        <w:t xml:space="preserve"> </w:t>
      </w:r>
      <w:r>
        <w:t xml:space="preserve">地上一切生过的人也必出现在基督的审判台前，就其心思、言语、行为向神交账，且照其在身所行之善或恶接受报应。</w:t>
      </w:r>
      <w:r>
        <w:rPr>
          <w:rStyle w:val="FootnoteReference"/>
        </w:rPr>
        <w:footnoteReference w:id="622"/>
      </w:r>
    </w:p>
    <w:p>
      <w:pPr>
        <w:pStyle w:val="BodyText"/>
      </w:pPr>
      <w:r>
        <w:t xml:space="preserve">神定此日的目的，一方面在于彰显他怜悯的荣耀，使蒙拣选者得永远救恩；</w:t>
      </w:r>
      <w:r>
        <w:rPr>
          <w:rStyle w:val="FootnoteReference"/>
        </w:rPr>
        <w:footnoteReference w:id="623"/>
      </w:r>
      <w:r>
        <w:t xml:space="preserve"> </w:t>
      </w:r>
      <w:r>
        <w:t xml:space="preserve">另一方面也彰显他公义的荣耀，使那些邪恶且不顺服的被弃者被定罪。</w:t>
      </w:r>
      <w:r>
        <w:rPr>
          <w:rStyle w:val="FootnoteReference"/>
        </w:rPr>
        <w:footnoteReference w:id="624"/>
      </w:r>
      <w:r>
        <w:t xml:space="preserve"> </w:t>
      </w:r>
      <w:r>
        <w:t xml:space="preserve">届时，义人要进入永生，从主的同在得满溢的喜乐和安慰；惟有那不认识神、也不顺从耶稣基督福音的恶人，必被投入永远的痛苦中，且从主面前和他权能的荣光中，受永远灭亡的刑罚。</w:t>
      </w:r>
      <w:r>
        <w:rPr>
          <w:rStyle w:val="FootnoteReference"/>
        </w:rPr>
        <w:footnoteReference w:id="625"/>
      </w:r>
    </w:p>
    <w:p>
      <w:pPr>
        <w:pStyle w:val="BodyText"/>
      </w:pPr>
      <w:r>
        <w:t xml:space="preserve">基督期望我们对末日审判毫无疑虑，一来警戒人远离罪恶，二来也在敬虔之人遭苦时带来更大的安慰；</w:t>
      </w:r>
      <w:r>
        <w:rPr>
          <w:rStyle w:val="FootnoteReference"/>
        </w:rPr>
        <w:footnoteReference w:id="626"/>
      </w:r>
      <w:r>
        <w:t xml:space="preserve"> </w:t>
      </w:r>
      <w:r>
        <w:t xml:space="preserve">同时，他也要这个日子对人是未知的，叫众人摆脱属肉体的不警惕，常常警醒，因为人不知道主何时到来；好让我们无时不预备，随时能说：「主耶稣啊，愿你快来！」阿们。</w:t>
      </w:r>
      <w:r>
        <w:rPr>
          <w:rStyle w:val="FootnoteReference"/>
        </w:rPr>
        <w:footnoteReference w:id="627"/>
      </w:r>
    </w:p>
    <w:p>
      <w:r>
        <w:br w:type="page"/>
      </w:r>
    </w:p>
    <w:bookmarkEnd w:id="628"/>
    <w:bookmarkEnd w:id="629"/>
    <w:bookmarkStart w:id="839" w:name="威斯敏斯特大要理问答"/>
    <w:p>
      <w:pPr>
        <w:pStyle w:val="Heading1"/>
      </w:pPr>
      <w:r>
        <w:t xml:space="preserve">威斯敏斯特大要理问答</w:t>
      </w:r>
    </w:p>
    <w:p>
      <w:pPr>
        <w:pStyle w:val="FirstParagraph"/>
      </w:pPr>
      <w:r>
        <w:rPr>
          <w:i/>
          <w:iCs/>
        </w:rPr>
        <w:t xml:space="preserve">人最主要和最高的目的是什么？</w:t>
      </w:r>
      <w:r>
        <w:br/>
      </w:r>
      <w:r>
        <w:t xml:space="preserve">答：人最主要和最高的目的是荣耀神，并永远完全以他为乐。</w:t>
      </w:r>
      <w:r>
        <w:rPr>
          <w:rStyle w:val="FootnoteReference"/>
        </w:rPr>
        <w:footnoteReference w:id="630"/>
      </w:r>
    </w:p>
    <w:p>
      <w:pPr>
        <w:pStyle w:val="BodyText"/>
      </w:pPr>
      <w:r>
        <w:rPr>
          <w:i/>
          <w:iCs/>
        </w:rPr>
        <w:t xml:space="preserve">如何显明有神的存在？</w:t>
      </w:r>
      <w:r>
        <w:br/>
      </w:r>
      <w:r>
        <w:t xml:space="preserve">答：人里面的自然之光和神的作为明明地表明有神；但唯有他的道和圣灵，才能充分有效地将他启示给人，使人得救。</w:t>
      </w:r>
      <w:r>
        <w:rPr>
          <w:rStyle w:val="FootnoteReference"/>
        </w:rPr>
        <w:footnoteReference w:id="631"/>
      </w:r>
    </w:p>
    <w:p>
      <w:pPr>
        <w:pStyle w:val="BodyText"/>
      </w:pPr>
      <w:r>
        <w:rPr>
          <w:i/>
          <w:iCs/>
        </w:rPr>
        <w:t xml:space="preserve">什么是神的话？</w:t>
      </w:r>
      <w:r>
        <w:br/>
      </w:r>
      <w:r>
        <w:t xml:space="preserve">答：新旧约圣经就是神的话，是信仰和顺服的唯一准则。</w:t>
      </w:r>
      <w:r>
        <w:rPr>
          <w:rStyle w:val="FootnoteReference"/>
        </w:rPr>
        <w:footnoteReference w:id="632"/>
      </w:r>
    </w:p>
    <w:p>
      <w:pPr>
        <w:pStyle w:val="BodyText"/>
      </w:pPr>
      <w:r>
        <w:rPr>
          <w:i/>
          <w:iCs/>
        </w:rPr>
        <w:t xml:space="preserve">如何显明圣经是神的话？</w:t>
      </w:r>
      <w:r>
        <w:br/>
      </w:r>
      <w:r>
        <w:t xml:space="preserve">答：圣经藉着其威严和纯洁，藉着各部分的和谐一致，以及整体的宗旨是将一切荣耀归给神，藉着其光照和能力使罪人知罪悔改，安慰并建立信徒以至得救，显明自己是神的话。然而，唯有神的灵在人心中藉着并同着圣经作见证，才能使人完全确信这就是神的话。</w:t>
      </w:r>
      <w:r>
        <w:rPr>
          <w:rStyle w:val="FootnoteReference"/>
        </w:rPr>
        <w:footnoteReference w:id="633"/>
      </w:r>
    </w:p>
    <w:p>
      <w:pPr>
        <w:pStyle w:val="BodyText"/>
      </w:pPr>
      <w:r>
        <w:rPr>
          <w:i/>
          <w:iCs/>
        </w:rPr>
        <w:t xml:space="preserve">圣经主要教导什么？</w:t>
      </w:r>
      <w:r>
        <w:br/>
      </w:r>
      <w:r>
        <w:t xml:space="preserve">答：圣经主要教导人当信神的真理，以及神要人尽的本分。</w:t>
      </w:r>
      <w:r>
        <w:rPr>
          <w:rStyle w:val="FootnoteReference"/>
        </w:rPr>
        <w:footnoteReference w:id="634"/>
      </w:r>
      <w:r>
        <w:rPr>
          <w:rStyle w:val="FootnoteReference"/>
        </w:rPr>
        <w:footnoteReference w:id="635"/>
      </w:r>
    </w:p>
    <w:p>
      <w:pPr>
        <w:pStyle w:val="BodyText"/>
      </w:pPr>
      <w:r>
        <w:rPr>
          <w:i/>
          <w:iCs/>
        </w:rPr>
        <w:t xml:space="preserve">圣经启示了关于神的什么？</w:t>
      </w:r>
      <w:r>
        <w:br/>
      </w:r>
      <w:r>
        <w:t xml:space="preserve">答：圣经启示了神的本质，神格中的位格，他的旨意，以及他旨意的执行。</w:t>
      </w:r>
      <w:r>
        <w:rPr>
          <w:rStyle w:val="FootnoteReference"/>
        </w:rPr>
        <w:footnoteReference w:id="636"/>
      </w:r>
    </w:p>
    <w:p>
      <w:pPr>
        <w:pStyle w:val="BodyText"/>
      </w:pPr>
      <w:r>
        <w:rPr>
          <w:i/>
          <w:iCs/>
        </w:rPr>
        <w:t xml:space="preserve">神是什么？</w:t>
      </w:r>
      <w:r>
        <w:br/>
      </w:r>
      <w:r>
        <w:t xml:space="preserve">答：神是个灵，他本身在存有、荣耀、福乐和完全上都是无限的；他是全然充足、永恒、不改变、不可测度、无所不在、全能的；他无所不知、最有智慧、最圣洁、最公义、最怜悯、最有恩典、最长久忍耐，并且丰富在良善和诚实里。</w:t>
      </w:r>
      <w:r>
        <w:rPr>
          <w:rStyle w:val="FootnoteReference"/>
        </w:rPr>
        <w:footnoteReference w:id="637"/>
      </w:r>
    </w:p>
    <w:p>
      <w:pPr>
        <w:pStyle w:val="BodyText"/>
      </w:pPr>
      <w:r>
        <w:rPr>
          <w:i/>
          <w:iCs/>
        </w:rPr>
        <w:t xml:space="preserve">除了一位神以外还有别神吗？</w:t>
      </w:r>
      <w:r>
        <w:br/>
      </w:r>
      <w:r>
        <w:t xml:space="preserve">答：只有一位又真又活的神。</w:t>
      </w:r>
      <w:r>
        <w:rPr>
          <w:rStyle w:val="FootnoteReference"/>
        </w:rPr>
        <w:footnoteReference w:id="638"/>
      </w:r>
    </w:p>
    <w:p>
      <w:pPr>
        <w:pStyle w:val="BodyText"/>
      </w:pPr>
      <w:r>
        <w:rPr>
          <w:i/>
          <w:iCs/>
        </w:rPr>
        <w:t xml:space="preserve">神格中有几个位格？</w:t>
      </w:r>
      <w:r>
        <w:br/>
      </w:r>
      <w:r>
        <w:t xml:space="preserve">答：神格中有三个位格，就是圣父、圣子、圣灵。这三位是同一位真实永恒的神，同质同荣同尊，虽然各有其位格的特性。</w:t>
      </w:r>
      <w:r>
        <w:rPr>
          <w:rStyle w:val="FootnoteReference"/>
        </w:rPr>
        <w:footnoteReference w:id="639"/>
      </w:r>
    </w:p>
    <w:p>
      <w:pPr>
        <w:pStyle w:val="BodyText"/>
      </w:pPr>
      <w:r>
        <w:rPr>
          <w:i/>
          <w:iCs/>
        </w:rPr>
        <w:t xml:space="preserve">神格中三个位格各有什么特性？</w:t>
      </w:r>
      <w:r>
        <w:br/>
      </w:r>
      <w:r>
        <w:t xml:space="preserve">答：圣父的特性是生圣子，圣子的特性是为圣父所生，圣灵的特性是从永恒中由圣父和圣子而出。</w:t>
      </w:r>
      <w:r>
        <w:rPr>
          <w:rStyle w:val="FootnoteReference"/>
        </w:rPr>
        <w:footnoteReference w:id="640"/>
      </w:r>
    </w:p>
    <w:p>
      <w:pPr>
        <w:pStyle w:val="BodyText"/>
      </w:pPr>
      <w:r>
        <w:rPr>
          <w:i/>
          <w:iCs/>
        </w:rPr>
        <w:t xml:space="preserve">如何显明圣子和圣灵与圣父同等为神？</w:t>
      </w:r>
      <w:r>
        <w:br/>
      </w:r>
      <w:r>
        <w:t xml:space="preserve">答：圣经显明圣子和圣灵与圣父同等为神，因将唯独属于神的名号、属性、作为和敬拜都归于他们。</w:t>
      </w:r>
      <w:r>
        <w:rPr>
          <w:rStyle w:val="FootnoteReference"/>
        </w:rPr>
        <w:footnoteReference w:id="641"/>
      </w:r>
    </w:p>
    <w:p>
      <w:pPr>
        <w:pStyle w:val="BodyText"/>
      </w:pPr>
      <w:r>
        <w:rPr>
          <w:i/>
          <w:iCs/>
        </w:rPr>
        <w:t xml:space="preserve">什么是神的旨意？</w:t>
      </w:r>
      <w:r>
        <w:br/>
      </w:r>
      <w:r>
        <w:t xml:space="preserve">答：神的旨意是他意志中智慧、自由和圣洁的定意，从亘古以来，他为着自己的荣耀，不改变地预定了将来所要发生的一切事，特别是关乎天使和人的事。</w:t>
      </w:r>
      <w:r>
        <w:rPr>
          <w:rStyle w:val="FootnoteReference"/>
        </w:rPr>
        <w:footnoteReference w:id="642"/>
      </w:r>
    </w:p>
    <w:p>
      <w:pPr>
        <w:pStyle w:val="BodyText"/>
      </w:pPr>
      <w:r>
        <w:rPr>
          <w:i/>
          <w:iCs/>
        </w:rPr>
        <w:t xml:space="preserve">神特别为天使和人定了什么旨意？</w:t>
      </w:r>
      <w:r>
        <w:br/>
      </w:r>
      <w:r>
        <w:t xml:space="preserve">答：神凭着永恒不变的旨意，出于纯粹的爱，为要彰显他荣耀恩典的美德，在适当的时候显明出来，拣选了一些天使得荣耀；又在基督里拣选了一些人得永生，并预备蒙恩的途径。同时，按着他至高的权能和不可测度的旨意，随己意施恩或扣留恩惠，任凭其余的承受羞辱和忿怒，为他们的罪受惩罚，彰显他公义的荣耀。</w:t>
      </w:r>
      <w:r>
        <w:rPr>
          <w:rStyle w:val="FootnoteReference"/>
        </w:rPr>
        <w:footnoteReference w:id="643"/>
      </w:r>
    </w:p>
    <w:p>
      <w:pPr>
        <w:pStyle w:val="BodyText"/>
      </w:pPr>
      <w:r>
        <w:rPr>
          <w:i/>
          <w:iCs/>
        </w:rPr>
        <w:t xml:space="preserve">神如何执行他的旨意？</w:t>
      </w:r>
      <w:r>
        <w:br/>
      </w:r>
      <w:r>
        <w:t xml:space="preserve">答：神按照他无误的预知，和他意志中自由不变的计划，藉着创造和护理的作为来执行他的旨意。</w:t>
      </w:r>
      <w:r>
        <w:rPr>
          <w:rStyle w:val="FootnoteReference"/>
        </w:rPr>
        <w:footnoteReference w:id="644"/>
      </w:r>
    </w:p>
    <w:p>
      <w:pPr>
        <w:pStyle w:val="BodyText"/>
      </w:pPr>
      <w:r>
        <w:rPr>
          <w:i/>
          <w:iCs/>
        </w:rPr>
        <w:t xml:space="preserve">什么是创造的工作？</w:t>
      </w:r>
      <w:r>
        <w:br/>
      </w:r>
      <w:r>
        <w:t xml:space="preserve">答：创造的工作是神在太初用他权能的话，在六日之内从无造出万物，为要成就他自己的旨意，并且一切都甚好。</w:t>
      </w:r>
      <w:r>
        <w:rPr>
          <w:rStyle w:val="FootnoteReference"/>
        </w:rPr>
        <w:footnoteReference w:id="645"/>
      </w:r>
    </w:p>
    <w:p>
      <w:pPr>
        <w:pStyle w:val="BodyText"/>
      </w:pPr>
      <w:r>
        <w:rPr>
          <w:i/>
          <w:iCs/>
        </w:rPr>
        <w:t xml:space="preserve">神如何创造天使？</w:t>
      </w:r>
      <w:r>
        <w:br/>
      </w:r>
      <w:r>
        <w:t xml:space="preserve">答：神创造众天使为灵体，是不死的、圣洁的、有极大的智慧和能力，为要执行他的命令，赞美他的名，然而也会改变。</w:t>
      </w:r>
      <w:r>
        <w:rPr>
          <w:rStyle w:val="FootnoteReference"/>
        </w:rPr>
        <w:footnoteReference w:id="646"/>
      </w:r>
    </w:p>
    <w:p>
      <w:pPr>
        <w:pStyle w:val="BodyText"/>
      </w:pPr>
      <w:r>
        <w:rPr>
          <w:i/>
          <w:iCs/>
        </w:rPr>
        <w:t xml:space="preserve">神如何创造人？</w:t>
      </w:r>
      <w:r>
        <w:br/>
      </w:r>
      <w:r>
        <w:t xml:space="preserve">答：神造了其他一切受造之物后，创造了人类，有男有女；用地上的尘土造人的身体，用男人的肋骨造女人；赐给他们有生命、有理性、永存的灵魂；照着自己的形像造他们，有知识、公义、圣洁，心中有神的律法并有能力遵行，且管理万物；然而会堕落。</w:t>
      </w:r>
      <w:r>
        <w:rPr>
          <w:rStyle w:val="FootnoteReference"/>
        </w:rPr>
        <w:footnoteReference w:id="647"/>
      </w:r>
    </w:p>
    <w:p>
      <w:pPr>
        <w:pStyle w:val="BodyText"/>
      </w:pPr>
      <w:r>
        <w:rPr>
          <w:i/>
          <w:iCs/>
        </w:rPr>
        <w:t xml:space="preserve">什么是神护理的作为？</w:t>
      </w:r>
      <w:r>
        <w:br/>
      </w:r>
      <w:r>
        <w:t xml:space="preserve">答：神护理的作为是他以最圣洁、智慧和大能的方式保守并管理他所造的万物；引导它们和它们的一切行为，彰显他的荣耀。</w:t>
      </w:r>
      <w:r>
        <w:rPr>
          <w:rStyle w:val="FootnoteReference"/>
        </w:rPr>
        <w:footnoteReference w:id="648"/>
      </w:r>
    </w:p>
    <w:p>
      <w:pPr>
        <w:pStyle w:val="BodyText"/>
      </w:pPr>
      <w:r>
        <w:rPr>
          <w:i/>
          <w:iCs/>
        </w:rPr>
        <w:t xml:space="preserve">神对天使的护理如何？</w:t>
      </w:r>
      <w:r>
        <w:br/>
      </w:r>
      <w:r>
        <w:t xml:space="preserve">答：神按他的护理任凭一些天使故意且不可挽回地堕入罪中并受咒诅，限制并引导这事和他们一切的罪彰显他的荣耀；又使其余的天使坚立在圣洁和快乐中；按他的旨意使用他们来施行他的权能、怜悯和公义。</w:t>
      </w:r>
      <w:r>
        <w:rPr>
          <w:rStyle w:val="FootnoteReference"/>
        </w:rPr>
        <w:footnoteReference w:id="649"/>
      </w:r>
    </w:p>
    <w:p>
      <w:pPr>
        <w:pStyle w:val="BodyText"/>
      </w:pPr>
      <w:r>
        <w:rPr>
          <w:i/>
          <w:iCs/>
        </w:rPr>
        <w:t xml:space="preserve">神对受造之初的人有何护理？</w:t>
      </w:r>
      <w:r>
        <w:br/>
      </w:r>
      <w:r>
        <w:t xml:space="preserve">答：神对受造之初的人的护理是：将他安置在伊甸园，派他修理看守，准他吃地上的果子；使万物归他管理，为他设立婚姻作帮助；赐他与神相交；设立安息日；与他立生命之约，以完全的、个人的、永久的顺服为条件，生命树为凭据；又禁止他吃分别善恶树的果子，违者必死。</w:t>
      </w:r>
      <w:r>
        <w:rPr>
          <w:rStyle w:val="FootnoteReference"/>
        </w:rPr>
        <w:footnoteReference w:id="650"/>
      </w:r>
    </w:p>
    <w:p>
      <w:pPr>
        <w:pStyle w:val="BodyText"/>
      </w:pPr>
      <w:r>
        <w:rPr>
          <w:i/>
          <w:iCs/>
        </w:rPr>
        <w:t xml:space="preserve">人是否持守神起初创造他时的状态？</w:t>
      </w:r>
      <w:r>
        <w:br/>
      </w:r>
      <w:r>
        <w:t xml:space="preserve">答：我们的始祖任凭自己的意志自由，因撒但的试探，违背了神的命令，吃了禁果，就从受造时的无罪状态堕落了。</w:t>
      </w:r>
      <w:r>
        <w:rPr>
          <w:rStyle w:val="FootnoteReference"/>
        </w:rPr>
        <w:footnoteReference w:id="651"/>
      </w:r>
    </w:p>
    <w:p>
      <w:pPr>
        <w:pStyle w:val="BodyText"/>
      </w:pPr>
      <w:r>
        <w:rPr>
          <w:i/>
          <w:iCs/>
        </w:rPr>
        <w:t xml:space="preserve">全人类都在那首次的过犯中堕落了吗？</w:t>
      </w:r>
      <w:r>
        <w:br/>
      </w:r>
      <w:r>
        <w:t xml:space="preserve">答：神与亚当立约时，他是代表性的人物，不仅为他自己，也为他的后裔；凡从他正常生育而来的后裔都在他里面犯了罪，在那首次的过犯中与他一同堕落了。</w:t>
      </w:r>
      <w:r>
        <w:rPr>
          <w:rStyle w:val="FootnoteReference"/>
        </w:rPr>
        <w:footnoteReference w:id="652"/>
      </w:r>
    </w:p>
    <w:p>
      <w:pPr>
        <w:pStyle w:val="BodyText"/>
      </w:pPr>
      <w:r>
        <w:rPr>
          <w:i/>
          <w:iCs/>
        </w:rPr>
        <w:t xml:space="preserve">堕落使人类陷入什么境地？</w:t>
      </w:r>
      <w:r>
        <w:br/>
      </w:r>
      <w:r>
        <w:t xml:space="preserve">答：堕落使人类陷入罪恶和苦难的境地。</w:t>
      </w:r>
      <w:r>
        <w:rPr>
          <w:rStyle w:val="FootnoteReference"/>
        </w:rPr>
        <w:footnoteReference w:id="653"/>
      </w:r>
    </w:p>
    <w:p>
      <w:pPr>
        <w:pStyle w:val="BodyText"/>
      </w:pPr>
      <w:r>
        <w:rPr>
          <w:i/>
          <w:iCs/>
        </w:rPr>
        <w:t xml:space="preserve">什么是罪？</w:t>
      </w:r>
      <w:r>
        <w:br/>
      </w:r>
      <w:r>
        <w:t xml:space="preserve">答：罪就是不符合或违背神给有理性之受造物的任何律法。</w:t>
      </w:r>
      <w:r>
        <w:rPr>
          <w:rStyle w:val="FootnoteReference"/>
        </w:rPr>
        <w:footnoteReference w:id="654"/>
      </w:r>
    </w:p>
    <w:p>
      <w:pPr>
        <w:pStyle w:val="BodyText"/>
      </w:pPr>
      <w:r>
        <w:rPr>
          <w:i/>
          <w:iCs/>
        </w:rPr>
        <w:t xml:space="preserve">人堕落的罪恶状态包含什么？</w:t>
      </w:r>
      <w:r>
        <w:br/>
      </w:r>
      <w:r>
        <w:t xml:space="preserve">答：人堕落的罪恶状态包含亚当首次犯罪的罪责，失去了受造时的义，并且本性败坏，完全不愿意、不能够、且与一切属灵的善事为敌，完全倾向于诸恶，而且是持续如此。这通常被称为原罪，一切本罪都由此而生。</w:t>
      </w:r>
      <w:r>
        <w:rPr>
          <w:rStyle w:val="FootnoteReference"/>
        </w:rPr>
        <w:footnoteReference w:id="655"/>
      </w:r>
    </w:p>
    <w:p>
      <w:pPr>
        <w:pStyle w:val="BodyText"/>
      </w:pPr>
      <w:r>
        <w:rPr>
          <w:i/>
          <w:iCs/>
        </w:rPr>
        <w:t xml:space="preserve">原罪如何从我们的始祖传给他们的后裔？</w:t>
      </w:r>
      <w:r>
        <w:br/>
      </w:r>
      <w:r>
        <w:t xml:space="preserve">答：原罪通过自然生育从我们的始祖传给他们的后裔，因此凡从他们这样生的，都是在罪中成胎和出生。</w:t>
      </w:r>
      <w:r>
        <w:rPr>
          <w:rStyle w:val="FootnoteReference"/>
        </w:rPr>
        <w:footnoteReference w:id="656"/>
      </w:r>
    </w:p>
    <w:p>
      <w:pPr>
        <w:pStyle w:val="BodyText"/>
      </w:pPr>
      <w:r>
        <w:rPr>
          <w:i/>
          <w:iCs/>
        </w:rPr>
        <w:t xml:space="preserve">堕落给人类带来什么苦难？</w:t>
      </w:r>
      <w:r>
        <w:br/>
      </w:r>
      <w:r>
        <w:t xml:space="preserve">答：堕落使人类失去了与神的相交，招致神的不悦和咒诅；我们按本性是可怒之子，是撒但的奴仆，理当在今世和来世受一切的刑罚。</w:t>
      </w:r>
      <w:r>
        <w:rPr>
          <w:rStyle w:val="FootnoteReference"/>
        </w:rPr>
        <w:footnoteReference w:id="657"/>
      </w:r>
    </w:p>
    <w:p>
      <w:pPr>
        <w:pStyle w:val="BodyText"/>
      </w:pPr>
      <w:r>
        <w:rPr>
          <w:i/>
          <w:iCs/>
        </w:rPr>
        <w:t xml:space="preserve">今世罪的刑罚是什么？</w:t>
      </w:r>
      <w:r>
        <w:br/>
      </w:r>
      <w:r>
        <w:t xml:space="preserve">答：今世罪的刑罚有内在的：心思昏暗、败坏的心思、大大的迷惑、心里刚硬、良心恐惧和邪情私欲；也有外在的：神因我们的缘故咒诅受造之物，以及临到我们身体、名誉、产业、人际关系和工作上的一切祸患，还有死亡本身。</w:t>
      </w:r>
      <w:r>
        <w:rPr>
          <w:rStyle w:val="FootnoteReference"/>
        </w:rPr>
        <w:footnoteReference w:id="658"/>
      </w:r>
    </w:p>
    <w:p>
      <w:pPr>
        <w:pStyle w:val="BodyText"/>
      </w:pPr>
      <w:r>
        <w:rPr>
          <w:i/>
          <w:iCs/>
        </w:rPr>
        <w:t xml:space="preserve">来世罪的刑罚是什么？</w:t>
      </w:r>
      <w:r>
        <w:br/>
      </w:r>
      <w:r>
        <w:t xml:space="preserve">答：来世罪的刑罚是永远与神安慰的同在隔绝，灵魂和身体在地狱火中永远不停地受最严厉的折磨。</w:t>
      </w:r>
      <w:r>
        <w:rPr>
          <w:rStyle w:val="FootnoteReference"/>
        </w:rPr>
        <w:footnoteReference w:id="659"/>
      </w:r>
    </w:p>
    <w:p>
      <w:pPr>
        <w:pStyle w:val="BodyText"/>
      </w:pPr>
      <w:r>
        <w:rPr>
          <w:i/>
          <w:iCs/>
        </w:rPr>
        <w:t xml:space="preserve">神让全人类都在罪恶和苦难中灭亡吗？</w:t>
      </w:r>
      <w:r>
        <w:br/>
      </w:r>
      <w:r>
        <w:t xml:space="preserve">答：神没有让所有人都在因违背第一个约（通常称为行为之约）而陷入的罪恶和苦难中灭亡；而是出于纯粹的爱和怜悯，藉着第二个约（通常称为恩典之约）拯救他的选民，使他们进入得救的境地。</w:t>
      </w:r>
      <w:r>
        <w:rPr>
          <w:rStyle w:val="FootnoteReference"/>
        </w:rPr>
        <w:footnoteReference w:id="660"/>
      </w:r>
    </w:p>
    <w:p>
      <w:pPr>
        <w:pStyle w:val="BodyText"/>
      </w:pPr>
      <w:r>
        <w:rPr>
          <w:i/>
          <w:iCs/>
        </w:rPr>
        <w:t xml:space="preserve">恩典之约是与谁立的？</w:t>
      </w:r>
      <w:r>
        <w:br/>
      </w:r>
      <w:r>
        <w:t xml:space="preserve">答：恩典之约是与作为第二个亚当的基督立的，并在他里面与作为他后裔的所有选民立的。</w:t>
      </w:r>
      <w:r>
        <w:rPr>
          <w:rStyle w:val="FootnoteReference"/>
        </w:rPr>
        <w:footnoteReference w:id="661"/>
      </w:r>
    </w:p>
    <w:p>
      <w:pPr>
        <w:pStyle w:val="BodyText"/>
      </w:pPr>
      <w:r>
        <w:rPr>
          <w:i/>
          <w:iCs/>
        </w:rPr>
        <w:t xml:space="preserve">神的恩典在第二个约中如何显明？</w:t>
      </w:r>
      <w:r>
        <w:br/>
      </w:r>
      <w:r>
        <w:t xml:space="preserve">答：神的恩典在第二个约中显明，就是他白白地预备并赐给罪人一位中保，藉着他得生命和救恩；又以信心为条件使他们与他有分，应许并赐下圣灵给他所有的选民，在他们里面生发信心和其他一切得救的恩典；使他们能完全顺服，作为他们信心的真实和对神感恩的明证，也作为神为他们指定得救的道路。</w:t>
      </w:r>
      <w:r>
        <w:rPr>
          <w:rStyle w:val="FootnoteReference"/>
        </w:rPr>
        <w:footnoteReference w:id="662"/>
      </w:r>
    </w:p>
    <w:p>
      <w:pPr>
        <w:pStyle w:val="BodyText"/>
      </w:pPr>
      <w:r>
        <w:rPr>
          <w:i/>
          <w:iCs/>
        </w:rPr>
        <w:t xml:space="preserve">恩典之约的施行一直都是同样的方式吗？</w:t>
      </w:r>
      <w:r>
        <w:br/>
      </w:r>
      <w:r>
        <w:t xml:space="preserve">答：恩典之约的施行并非一直都是同样的方式，旧约时期的施行方式与新约时期不同。</w:t>
      </w:r>
      <w:r>
        <w:rPr>
          <w:rStyle w:val="FootnoteReference"/>
        </w:rPr>
        <w:footnoteReference w:id="663"/>
      </w:r>
    </w:p>
    <w:p>
      <w:pPr>
        <w:pStyle w:val="BodyText"/>
      </w:pPr>
      <w:r>
        <w:rPr>
          <w:i/>
          <w:iCs/>
        </w:rPr>
        <w:t xml:space="preserve">恩典之约在旧约时期是如何施行的？</w:t>
      </w:r>
      <w:r>
        <w:br/>
      </w:r>
      <w:r>
        <w:t xml:space="preserve">答：恩典之约在旧约时期是藉着应许、预言、祭祀、割礼、逾越节和其他预表与条例施行的，这些都预示着将要来的基督，在当时足以建立选民对所应许之弥赛亚的信心，他们藉着他得着完全的罪赦和永远的救恩。</w:t>
      </w:r>
      <w:r>
        <w:rPr>
          <w:rStyle w:val="FootnoteReference"/>
        </w:rPr>
        <w:footnoteReference w:id="664"/>
      </w:r>
    </w:p>
    <w:p>
      <w:pPr>
        <w:pStyle w:val="BodyText"/>
      </w:pPr>
      <w:r>
        <w:rPr>
          <w:i/>
          <w:iCs/>
        </w:rPr>
        <w:t xml:space="preserve">恩典之约在新约时期是如何施行的？</w:t>
      </w:r>
      <w:r>
        <w:br/>
      </w:r>
      <w:r>
        <w:t xml:space="preserve">答：在新约时期，当基督这实体显现时，同样的恩典之约过去和现在都是藉着圣道的宣讲，以及施行洗礼和圣餐的圣礼来施行；在这些事上，恩典和救恩以更丰富、明显、有效的方式向万国显明。</w:t>
      </w:r>
      <w:r>
        <w:rPr>
          <w:rStyle w:val="FootnoteReference"/>
        </w:rPr>
        <w:footnoteReference w:id="665"/>
      </w:r>
    </w:p>
    <w:p>
      <w:pPr>
        <w:pStyle w:val="BodyText"/>
      </w:pPr>
      <w:r>
        <w:rPr>
          <w:i/>
          <w:iCs/>
        </w:rPr>
        <w:t xml:space="preserve">恩典之约的中保是谁？</w:t>
      </w:r>
      <w:r>
        <w:br/>
      </w:r>
      <w:r>
        <w:t xml:space="preserve">答：恩典之约的唯一中保是主耶稣基督，他是神的永恒之子，与父神同质同等，在日期满足的时候成为人，如此他过去是并将继续永远是神人二性，两性完全不同，而为一个位格。</w:t>
      </w:r>
      <w:r>
        <w:rPr>
          <w:rStyle w:val="FootnoteReference"/>
        </w:rPr>
        <w:footnoteReference w:id="666"/>
      </w:r>
    </w:p>
    <w:p>
      <w:pPr>
        <w:pStyle w:val="BodyText"/>
      </w:pPr>
      <w:r>
        <w:rPr>
          <w:i/>
          <w:iCs/>
        </w:rPr>
        <w:t xml:space="preserve">基督既是神的儿子，如何成为人？</w:t>
      </w:r>
      <w:r>
        <w:br/>
      </w:r>
      <w:r>
        <w:t xml:space="preserve">答：基督神子成为人，是取了真实的身体和有理性的灵魂，由圣灵的大能在童贞女马利亚腹中从她的本质成胎，为她所生，却无罪。</w:t>
      </w:r>
      <w:r>
        <w:rPr>
          <w:rStyle w:val="FootnoteReference"/>
        </w:rPr>
        <w:footnoteReference w:id="667"/>
      </w:r>
    </w:p>
    <w:p>
      <w:pPr>
        <w:pStyle w:val="BodyText"/>
      </w:pPr>
      <w:r>
        <w:rPr>
          <w:i/>
          <w:iCs/>
        </w:rPr>
        <w:t xml:space="preserve">为什么中保必须是神？</w:t>
      </w:r>
      <w:r>
        <w:br/>
      </w:r>
      <w:r>
        <w:t xml:space="preserve">答：中保必须是神，好叫他能支持和保守人性，使之不致在神无限的忿怒和死亡的权势下沉沦；使他的受苦、顺服和代求具有价值和功效；并且满足神的公义，获得他的恩惠，买赎特殊的子民，将他的灵赐给他们，胜过他们一切的仇敌，带领他们进入永远的救恩。</w:t>
      </w:r>
      <w:r>
        <w:rPr>
          <w:rStyle w:val="FootnoteReference"/>
        </w:rPr>
        <w:footnoteReference w:id="668"/>
      </w:r>
    </w:p>
    <w:p>
      <w:pPr>
        <w:pStyle w:val="BodyText"/>
      </w:pPr>
      <w:r>
        <w:rPr>
          <w:i/>
          <w:iCs/>
        </w:rPr>
        <w:t xml:space="preserve">为什么中保必须是人？</w:t>
      </w:r>
      <w:r>
        <w:br/>
      </w:r>
      <w:r>
        <w:t xml:space="preserve">答：中保必须是人，好叫他能提升我们的本性，遵行律法，在我们的本性中受苦并为我们代求，体恤我们的软弱；使我们得着儿子的名分，并且能坦然无惧地来到施恩宝座前得安慰。</w:t>
      </w:r>
      <w:r>
        <w:rPr>
          <w:rStyle w:val="FootnoteReference"/>
        </w:rPr>
        <w:footnoteReference w:id="669"/>
      </w:r>
    </w:p>
    <w:p>
      <w:pPr>
        <w:pStyle w:val="BodyText"/>
      </w:pPr>
      <w:r>
        <w:rPr>
          <w:i/>
          <w:iCs/>
        </w:rPr>
        <w:t xml:space="preserve">为什么中保必须在一个位格里同时是神又是人？</w:t>
      </w:r>
      <w:r>
        <w:br/>
      </w:r>
      <w:r>
        <w:t xml:space="preserve">答：中保要使神与人和好，必须自己同时是神又是人，并且在一个位格里，好叫各本性所行的工作都能为神所悦纳，为我们所倚靠，视为整个位格所行的工作。</w:t>
      </w:r>
      <w:r>
        <w:rPr>
          <w:rStyle w:val="FootnoteReference"/>
        </w:rPr>
        <w:footnoteReference w:id="670"/>
      </w:r>
    </w:p>
    <w:p>
      <w:pPr>
        <w:pStyle w:val="BodyText"/>
      </w:pPr>
      <w:r>
        <w:rPr>
          <w:i/>
          <w:iCs/>
        </w:rPr>
        <w:t xml:space="preserve">为什么我们的中保被称为耶稣？</w:t>
      </w:r>
      <w:r>
        <w:br/>
      </w:r>
      <w:r>
        <w:t xml:space="preserve">答：我们的中保被称为耶稣，因为他要将他的百姓从罪恶里救出来。</w:t>
      </w:r>
      <w:r>
        <w:rPr>
          <w:rStyle w:val="FootnoteReference"/>
        </w:rPr>
        <w:footnoteReference w:id="671"/>
      </w:r>
    </w:p>
    <w:p>
      <w:pPr>
        <w:pStyle w:val="BodyText"/>
      </w:pPr>
      <w:r>
        <w:rPr>
          <w:i/>
          <w:iCs/>
        </w:rPr>
        <w:t xml:space="preserve">为什么我们的中保被称为基督？</w:t>
      </w:r>
      <w:r>
        <w:br/>
      </w:r>
      <w:r>
        <w:t xml:space="preserve">答：我们的中保被称为基督，因为他被圣灵无限量地膏抹，被分别出来，完全具备一切权柄和能力，在他降卑和升高的地位上执行教会的先知、祭司和君王的职分。</w:t>
      </w:r>
      <w:r>
        <w:rPr>
          <w:rStyle w:val="FootnoteReference"/>
        </w:rPr>
        <w:footnoteReference w:id="672"/>
      </w:r>
    </w:p>
    <w:p>
      <w:pPr>
        <w:pStyle w:val="BodyText"/>
      </w:pPr>
      <w:r>
        <w:rPr>
          <w:i/>
          <w:iCs/>
        </w:rPr>
        <w:t xml:space="preserve">基督如何执行先知的职分？</w:t>
      </w:r>
      <w:r>
        <w:br/>
      </w:r>
      <w:r>
        <w:t xml:space="preserve">答：基督执行先知的职分，就是在历世历代中，藉着他的灵和道，以各样的方式，向教会启示神完全的旨意，使他们得着造就和救恩。</w:t>
      </w:r>
      <w:r>
        <w:rPr>
          <w:rStyle w:val="FootnoteReference"/>
        </w:rPr>
        <w:footnoteReference w:id="673"/>
      </w:r>
    </w:p>
    <w:p>
      <w:pPr>
        <w:pStyle w:val="BodyText"/>
      </w:pPr>
      <w:r>
        <w:rPr>
          <w:i/>
          <w:iCs/>
        </w:rPr>
        <w:t xml:space="preserve">基督如何执行祭司的职分？</w:t>
      </w:r>
      <w:r>
        <w:br/>
      </w:r>
      <w:r>
        <w:t xml:space="preserve">答：基督执行祭司的职分，就是一次将自己无瑕疵地献给神作祭物，为他百姓的罪成就和好；并且继续为他们代求。</w:t>
      </w:r>
      <w:r>
        <w:rPr>
          <w:rStyle w:val="FootnoteReference"/>
        </w:rPr>
        <w:footnoteReference w:id="674"/>
      </w:r>
    </w:p>
    <w:p>
      <w:pPr>
        <w:pStyle w:val="BodyText"/>
      </w:pPr>
      <w:r>
        <w:rPr>
          <w:i/>
          <w:iCs/>
        </w:rPr>
        <w:t xml:space="preserve">基督如何执行君王的职分？</w:t>
      </w:r>
      <w:r>
        <w:br/>
      </w:r>
      <w:r>
        <w:t xml:space="preserve">答：基督执行君王的职分，就是从世界中呼召一群百姓归向自己，赐给他们执事、律法和管教，藉此显明地治理他们；将救恩的恩典赐给他的选民，赏赐他们的顺服，管教他们的罪，在他们所有的试探和苦难中保守扶持他们，制服胜过他们一切的仇敌，大能地安排万事为要成就他的荣耀和他们的益处；也要报应那些不认识神、不顺从福音的人。</w:t>
      </w:r>
      <w:r>
        <w:rPr>
          <w:rStyle w:val="FootnoteReference"/>
        </w:rPr>
        <w:footnoteReference w:id="675"/>
      </w:r>
    </w:p>
    <w:p>
      <w:pPr>
        <w:pStyle w:val="BodyText"/>
      </w:pPr>
      <w:r>
        <w:rPr>
          <w:i/>
          <w:iCs/>
        </w:rPr>
        <w:t xml:space="preserve">基督降卑的地位是什么？</w:t>
      </w:r>
      <w:r>
        <w:br/>
      </w:r>
      <w:r>
        <w:t xml:space="preserve">答：基督降卑的地位是他为我们的缘故，倒空自己的荣耀，取了奴仆的形像，在他成胎、出生、一生、受死，以及从死到复活这段期间所处的卑微境况。</w:t>
      </w:r>
      <w:r>
        <w:rPr>
          <w:rStyle w:val="FootnoteReference"/>
        </w:rPr>
        <w:footnoteReference w:id="676"/>
      </w:r>
    </w:p>
    <w:p>
      <w:pPr>
        <w:pStyle w:val="BodyText"/>
      </w:pPr>
      <w:r>
        <w:rPr>
          <w:i/>
          <w:iCs/>
        </w:rPr>
        <w:t xml:space="preserve">基督如何在成胎和出生上降卑自己？</w:t>
      </w:r>
      <w:r>
        <w:br/>
      </w:r>
      <w:r>
        <w:t xml:space="preserve">答：基督在成胎和出生上的降卑，就是他虽从亘古就是神的儿子，在父怀里，却在日期满足时甘愿成为人子，由一个卑微的女子所生，并且生于极其卑微的环境中。</w:t>
      </w:r>
      <w:r>
        <w:rPr>
          <w:rStyle w:val="FootnoteReference"/>
        </w:rPr>
        <w:footnoteReference w:id="677"/>
      </w:r>
    </w:p>
    <w:p>
      <w:pPr>
        <w:pStyle w:val="BodyText"/>
      </w:pPr>
      <w:r>
        <w:rPr>
          <w:i/>
          <w:iCs/>
        </w:rPr>
        <w:t xml:space="preserve">基督如何在他的一生中降卑自己？</w:t>
      </w:r>
      <w:r>
        <w:br/>
      </w:r>
      <w:r>
        <w:t xml:space="preserve">答：基督在他的一生中降卑自己，就是使自己顺服律法，并完全遵行；又与世界的凌辱、撒但的试探和肉身的软弱争战，这些软弱或是人性所共有的，或是特别与他卑微处境相关的。</w:t>
      </w:r>
      <w:r>
        <w:rPr>
          <w:rStyle w:val="FootnoteReference"/>
        </w:rPr>
        <w:footnoteReference w:id="678"/>
      </w:r>
    </w:p>
    <w:p>
      <w:pPr>
        <w:pStyle w:val="BodyText"/>
      </w:pPr>
      <w:r>
        <w:rPr>
          <w:i/>
          <w:iCs/>
        </w:rPr>
        <w:t xml:space="preserve">基督如何在他的死上降卑自己？</w:t>
      </w:r>
      <w:r>
        <w:br/>
      </w:r>
      <w:r>
        <w:t xml:space="preserve">答：基督在他的死上降卑自己，就是被犹大出卖，被门徒离弃，被世人藐视弃绝，被彼拉多定罪，被逼迫者折磨；又与死亡的惊恐和黑暗的权势争战，承受神忿怒的重担，将生命献为赎罪祭，忍受十字架上痛苦、羞辱和被咒诅的死。</w:t>
      </w:r>
      <w:r>
        <w:rPr>
          <w:rStyle w:val="FootnoteReference"/>
        </w:rPr>
        <w:footnoteReference w:id="679"/>
      </w:r>
    </w:p>
    <w:p>
      <w:pPr>
        <w:pStyle w:val="BodyText"/>
      </w:pPr>
      <w:r>
        <w:rPr>
          <w:i/>
          <w:iCs/>
        </w:rPr>
        <w:t xml:space="preserve">基督死后的降卑包含什么？</w:t>
      </w:r>
      <w:r>
        <w:br/>
      </w:r>
      <w:r>
        <w:t xml:space="preserve">答：基督死后的降卑包括他被埋葬，并在死的状态中继续处于死的权势之下直到第三日，这也用’他降在阴间’这话来表达。</w:t>
      </w:r>
      <w:r>
        <w:rPr>
          <w:rStyle w:val="FootnoteReference"/>
        </w:rPr>
        <w:footnoteReference w:id="680"/>
      </w:r>
    </w:p>
    <w:p>
      <w:pPr>
        <w:pStyle w:val="BodyText"/>
      </w:pPr>
      <w:r>
        <w:rPr>
          <w:i/>
          <w:iCs/>
        </w:rPr>
        <w:t xml:space="preserve">基督升高的地位是什么？</w:t>
      </w:r>
      <w:r>
        <w:br/>
      </w:r>
      <w:r>
        <w:t xml:space="preserve">答：基督升高的地位包括他的复活、升天、坐在父神的右边，以及他再来审判世界。</w:t>
      </w:r>
      <w:r>
        <w:rPr>
          <w:rStyle w:val="FootnoteReference"/>
        </w:rPr>
        <w:footnoteReference w:id="681"/>
      </w:r>
    </w:p>
    <w:p>
      <w:pPr>
        <w:pStyle w:val="BodyText"/>
      </w:pPr>
      <w:r>
        <w:rPr>
          <w:i/>
          <w:iCs/>
        </w:rPr>
        <w:t xml:space="preserve">基督如何在复活中得着高举？</w:t>
      </w:r>
      <w:r>
        <w:br/>
      </w:r>
      <w:r>
        <w:t xml:space="preserve">答：基督在复活中得着高举，就是他在死中没有见朽坏（死也不能拘禁他），并且以他受苦时的身体，带着其本质的特性（但没有必死性和今生其他的软弱），真实地与他的灵魂联合，在第三日靠自己的能力从死里复活；藉此表明他是神的儿子，已经满足了神的公义，已经胜过了死亡和掌死权的，是活人死人的主：这一切他都是作为公众人物，作为教会的元首而行，为要叫他们称义，在恩典中得生命，胜过仇敌，并保证他们在末日必从死里复活。</w:t>
      </w:r>
      <w:r>
        <w:rPr>
          <w:rStyle w:val="FootnoteReference"/>
        </w:rPr>
        <w:footnoteReference w:id="682"/>
      </w:r>
    </w:p>
    <w:p>
      <w:pPr>
        <w:pStyle w:val="BodyText"/>
      </w:pPr>
      <w:r>
        <w:rPr>
          <w:i/>
          <w:iCs/>
        </w:rPr>
        <w:t xml:space="preserve">基督如何在升天中得着高举？</w:t>
      </w:r>
      <w:r>
        <w:br/>
      </w:r>
      <w:r>
        <w:t xml:space="preserve">答：基督在升天中得着高举，就是他复活后多次向使徒显现并与他们交谈，对他们讲说神国的事，并差遣他们向万民传福音，在复活后第四十天，他以我们的本性并作为我们的元首，战胜仇敌，显然地升上至高的天，在那里为人领受恩赐，提升我们的心志，为我们预备地方，他要在那里一直等到世界的末了再来。</w:t>
      </w:r>
      <w:r>
        <w:rPr>
          <w:rStyle w:val="FootnoteReference"/>
        </w:rPr>
        <w:footnoteReference w:id="683"/>
      </w:r>
    </w:p>
    <w:p>
      <w:pPr>
        <w:pStyle w:val="BodyText"/>
      </w:pPr>
      <w:r>
        <w:rPr>
          <w:i/>
          <w:iCs/>
        </w:rPr>
        <w:t xml:space="preserve">基督如何在坐在神的右边上得着高举？</w:t>
      </w:r>
      <w:r>
        <w:br/>
      </w:r>
      <w:r>
        <w:t xml:space="preserve">答：基督在坐在神的右边上得着高举，就是作为神人他得到父神最高的恩宠，有完全的喜乐、荣耀，并掌管天上地下的万有；又招聚保护他的教会，制伏他们的仇敌；赐给他的仆人和百姓恩赐和恩典，并为他们代求。</w:t>
      </w:r>
      <w:r>
        <w:rPr>
          <w:rStyle w:val="FootnoteReference"/>
        </w:rPr>
        <w:footnoteReference w:id="684"/>
      </w:r>
    </w:p>
    <w:p>
      <w:pPr>
        <w:pStyle w:val="BodyText"/>
      </w:pPr>
      <w:r>
        <w:rPr>
          <w:i/>
          <w:iCs/>
        </w:rPr>
        <w:t xml:space="preserve">基督如何代求？</w:t>
      </w:r>
      <w:r>
        <w:br/>
      </w:r>
      <w:r>
        <w:t xml:space="preserve">答：基督代求，就是他以我们的本性在天上不断地显在父面前，凭着他在地上顺服和献祭的功劳，表明他的旨意要将这功劳应用在所有信徒身上；为他们答辩一切控告，使他们虽有日常过犯仍能良心平安，能坦然来到施恩宝座前，使他们的身份和事奉蒙悦纳。</w:t>
      </w:r>
      <w:r>
        <w:rPr>
          <w:rStyle w:val="FootnoteReference"/>
        </w:rPr>
        <w:footnoteReference w:id="685"/>
      </w:r>
    </w:p>
    <w:p>
      <w:pPr>
        <w:pStyle w:val="BodyText"/>
      </w:pPr>
      <w:r>
        <w:rPr>
          <w:i/>
          <w:iCs/>
        </w:rPr>
        <w:t xml:space="preserve">基督如何在再来审判世界时得着高举？</w:t>
      </w:r>
      <w:r>
        <w:br/>
      </w:r>
      <w:r>
        <w:t xml:space="preserve">答：基督在再来审判世界时得着高举，就是他这位曾被恶人不公正审判定罪的，要在末日带着大能再来，完全彰显他自己和父的荣耀，同着众圣天使，有呼叫的声音，有天使长的声音，有神的号筒，要按公义审判世界。</w:t>
      </w:r>
      <w:r>
        <w:rPr>
          <w:rStyle w:val="FootnoteReference"/>
        </w:rPr>
        <w:footnoteReference w:id="686"/>
      </w:r>
    </w:p>
    <w:p>
      <w:pPr>
        <w:pStyle w:val="BodyText"/>
      </w:pPr>
      <w:r>
        <w:rPr>
          <w:i/>
          <w:iCs/>
        </w:rPr>
        <w:t xml:space="preserve">基督藉着他的中保工作获得了什么益处？</w:t>
      </w:r>
      <w:r>
        <w:br/>
      </w:r>
      <w:r>
        <w:t xml:space="preserve">答：基督藉着他的中保工作获得了救赎，以及恩典之约的其他一切益处。</w:t>
      </w:r>
      <w:r>
        <w:rPr>
          <w:rStyle w:val="FootnoteReference"/>
        </w:rPr>
        <w:footnoteReference w:id="687"/>
      </w:r>
    </w:p>
    <w:p>
      <w:pPr>
        <w:pStyle w:val="BodyText"/>
      </w:pPr>
      <w:r>
        <w:rPr>
          <w:i/>
          <w:iCs/>
        </w:rPr>
        <w:t xml:space="preserve">我们如何得以分享基督所获得的益处？</w:t>
      </w:r>
      <w:r>
        <w:br/>
      </w:r>
      <w:r>
        <w:t xml:space="preserve">答：我们得以分享基督所获得的益处，是藉着这些益处应用在我们身上，这特别是圣灵神的工作。</w:t>
      </w:r>
      <w:r>
        <w:rPr>
          <w:rStyle w:val="FootnoteReference"/>
        </w:rPr>
        <w:footnoteReference w:id="688"/>
      </w:r>
    </w:p>
    <w:p>
      <w:pPr>
        <w:pStyle w:val="BodyText"/>
      </w:pPr>
      <w:r>
        <w:rPr>
          <w:i/>
          <w:iCs/>
        </w:rPr>
        <w:t xml:space="preserve">谁得以分享基督的救赎？</w:t>
      </w:r>
      <w:r>
        <w:br/>
      </w:r>
      <w:r>
        <w:t xml:space="preserve">答：救赎必然地应用并有效地传达给所有基督为之买赎的人；这些人在神所定的时候，被圣灵感动，能按照福音信靠基督。</w:t>
      </w:r>
      <w:r>
        <w:rPr>
          <w:rStyle w:val="FootnoteReference"/>
        </w:rPr>
        <w:footnoteReference w:id="689"/>
      </w:r>
    </w:p>
    <w:p>
      <w:pPr>
        <w:pStyle w:val="BodyText"/>
      </w:pPr>
      <w:r>
        <w:rPr>
          <w:i/>
          <w:iCs/>
        </w:rPr>
        <w:t xml:space="preserve">那些从未听过福音，因此不认识耶稣基督也不信他的人，能靠着遵行自然之光得救吗？</w:t>
      </w:r>
      <w:r>
        <w:br/>
      </w:r>
      <w:r>
        <w:t xml:space="preserve">答：那些从未听过福音，不认识耶稣基督也不信他的人，即使他们如何努力按照自然之光或他们所信奉的宗教律法生活，也不能得救；因为除了基督以外别无拯救，他只作他的身体就是教会的救主。</w:t>
      </w:r>
      <w:r>
        <w:rPr>
          <w:rStyle w:val="FootnoteReference"/>
        </w:rPr>
        <w:footnoteReference w:id="690"/>
      </w:r>
    </w:p>
    <w:p>
      <w:pPr>
        <w:pStyle w:val="BodyText"/>
      </w:pPr>
      <w:r>
        <w:rPr>
          <w:i/>
          <w:iCs/>
        </w:rPr>
        <w:t xml:space="preserve">所有听见福音并生活在教会中的人都得救吗？</w:t>
      </w:r>
      <w:r>
        <w:br/>
      </w:r>
      <w:r>
        <w:t xml:space="preserve">答：并非所有听见福音并生活在有形教会中的人都得救；只有那些无形教会的真正成员才得救。</w:t>
      </w:r>
      <w:r>
        <w:rPr>
          <w:rStyle w:val="FootnoteReference"/>
        </w:rPr>
        <w:footnoteReference w:id="691"/>
      </w:r>
    </w:p>
    <w:p>
      <w:pPr>
        <w:pStyle w:val="BodyText"/>
      </w:pPr>
      <w:r>
        <w:rPr>
          <w:i/>
          <w:iCs/>
        </w:rPr>
        <w:t xml:space="preserve">什么是有形教会？</w:t>
      </w:r>
      <w:r>
        <w:br/>
      </w:r>
      <w:r>
        <w:t xml:space="preserve">答：有形教会是一个团体，由历世历代各处凡认信真宗教的人和他们的儿女组成。</w:t>
      </w:r>
      <w:r>
        <w:rPr>
          <w:rStyle w:val="FootnoteReference"/>
        </w:rPr>
        <w:footnoteReference w:id="692"/>
      </w:r>
    </w:p>
    <w:p>
      <w:pPr>
        <w:pStyle w:val="BodyText"/>
      </w:pPr>
      <w:r>
        <w:rPr>
          <w:i/>
          <w:iCs/>
        </w:rPr>
        <w:t xml:space="preserve">有形教会有什么特殊的权利？</w:t>
      </w:r>
      <w:r>
        <w:br/>
      </w:r>
      <w:r>
        <w:t xml:space="preserve">答：有形教会享有在神特别的看顾和治理之下的权利；虽有众敌人的反对，却在各世代蒙保护和保守；并且享有圣徒相通、普通的得救方法，以及基督在福音事工中向其所有成员所提供的恩典，见证凡信他的人都必得救，不拒绝任何愿意到他面前来的人。</w:t>
      </w:r>
      <w:r>
        <w:rPr>
          <w:rStyle w:val="FootnoteReference"/>
        </w:rPr>
        <w:footnoteReference w:id="693"/>
      </w:r>
    </w:p>
    <w:p>
      <w:pPr>
        <w:pStyle w:val="BodyText"/>
      </w:pPr>
      <w:r>
        <w:rPr>
          <w:i/>
          <w:iCs/>
        </w:rPr>
        <w:t xml:space="preserve">什么是无形教会？</w:t>
      </w:r>
      <w:r>
        <w:br/>
      </w:r>
      <w:r>
        <w:t xml:space="preserve">答：无形教会是所有蒙拣选的人的总数，就是过去、现在和将来要在元首基督之下聚集成为一体的人。</w:t>
      </w:r>
      <w:r>
        <w:rPr>
          <w:rStyle w:val="FootnoteReference"/>
        </w:rPr>
        <w:footnoteReference w:id="694"/>
      </w:r>
    </w:p>
    <w:p>
      <w:pPr>
        <w:pStyle w:val="BodyText"/>
      </w:pPr>
      <w:r>
        <w:rPr>
          <w:i/>
          <w:iCs/>
        </w:rPr>
        <w:t xml:space="preserve">无形教会的成员藉着基督享有什么特殊的益处？</w:t>
      </w:r>
      <w:r>
        <w:br/>
      </w:r>
      <w:r>
        <w:t xml:space="preserve">答：无形教会的成员藉着基督，在恩典和荣耀上与他联合相交。</w:t>
      </w:r>
      <w:r>
        <w:rPr>
          <w:rStyle w:val="FootnoteReference"/>
        </w:rPr>
        <w:footnoteReference w:id="695"/>
      </w:r>
    </w:p>
    <w:p>
      <w:pPr>
        <w:pStyle w:val="BodyText"/>
      </w:pPr>
      <w:r>
        <w:rPr>
          <w:i/>
          <w:iCs/>
        </w:rPr>
        <w:t xml:space="preserve">选民与基督的联合是什么？</w:t>
      </w:r>
      <w:r>
        <w:br/>
      </w:r>
      <w:r>
        <w:t xml:space="preserve">答：选民与基督的联合是神恩典的工作，藉此他们在灵里奥秘地，却是真实且不可分离地与基督联合，以他为他们的元首和丈夫；这是在他们有效蒙召时成就的。</w:t>
      </w:r>
      <w:r>
        <w:rPr>
          <w:rStyle w:val="FootnoteReference"/>
        </w:rPr>
        <w:footnoteReference w:id="696"/>
      </w:r>
    </w:p>
    <w:p>
      <w:pPr>
        <w:pStyle w:val="BodyText"/>
      </w:pPr>
      <w:r>
        <w:rPr>
          <w:i/>
          <w:iCs/>
        </w:rPr>
        <w:t xml:space="preserve">什么是有效的呼召？</w:t>
      </w:r>
      <w:r>
        <w:br/>
      </w:r>
      <w:r>
        <w:t xml:space="preserve">答：有效的呼召是神全能的权能和恩典的工作，藉此（出于他对选民白白的特殊之爱，而不是因他们里面有什么感动他的事），他在他所悦纳的时候，藉着他的道和圣灵邀请并吸引他们归向耶稣基督；使他们的心思得着救恩的光照，更新并有力地决定他们的意志，使他们（虽然本身死在罪中）因此愿意并能够自由地回应他的呼召，接受并领受其中所提供和传递的恩典。</w:t>
      </w:r>
      <w:r>
        <w:rPr>
          <w:rStyle w:val="FootnoteReference"/>
        </w:rPr>
        <w:footnoteReference w:id="697"/>
      </w:r>
    </w:p>
    <w:p>
      <w:pPr>
        <w:pStyle w:val="BodyText"/>
      </w:pPr>
      <w:r>
        <w:rPr>
          <w:i/>
          <w:iCs/>
        </w:rPr>
        <w:t xml:space="preserve">是否只有选民才被有效地呼召？</w:t>
      </w:r>
      <w:r>
        <w:br/>
      </w:r>
      <w:r>
        <w:t xml:space="preserve">答：唯独所有的选民被有效地呼召；虽然其他人可能而且常常被圣道的职事在外表上呼召，也经历圣灵一些普遍的运行；但因为他们故意忽视和藐视所提供给他们的恩典，就公正地被任凭在不信中，永不真正归向耶稣基督。</w:t>
      </w:r>
      <w:r>
        <w:rPr>
          <w:rStyle w:val="FootnoteReference"/>
        </w:rPr>
        <w:footnoteReference w:id="698"/>
      </w:r>
    </w:p>
    <w:p>
      <w:pPr>
        <w:pStyle w:val="BodyText"/>
      </w:pPr>
      <w:r>
        <w:rPr>
          <w:i/>
          <w:iCs/>
        </w:rPr>
        <w:t xml:space="preserve">无形教会的成员与基督在恩典中的相交是什么？</w:t>
      </w:r>
      <w:r>
        <w:br/>
      </w:r>
      <w:r>
        <w:t xml:space="preserve">答：无形教会的成员与基督在恩典中的相交，就是他们分享他中保工作的功效，包括他们的称义、收纳为儿女、成圣，以及今生一切显明他们与他联合的事。</w:t>
      </w:r>
      <w:r>
        <w:rPr>
          <w:rStyle w:val="FootnoteReference"/>
        </w:rPr>
        <w:footnoteReference w:id="699"/>
      </w:r>
    </w:p>
    <w:p>
      <w:pPr>
        <w:pStyle w:val="BodyText"/>
      </w:pPr>
      <w:r>
        <w:rPr>
          <w:i/>
          <w:iCs/>
        </w:rPr>
        <w:t xml:space="preserve">什么是称义？</w:t>
      </w:r>
      <w:r>
        <w:br/>
      </w:r>
      <w:r>
        <w:t xml:space="preserve">答：称义是神向罪人施行的白白恩典的作为，在其中他赦免他们一切的罪，在他眼中接纳并算他们为义；这不是因为在他们里面做成的，或是他们所行的任何事，而是唯独因着基督完全的顺服和完满的满足，被神归算给他们，唯独藉着信心领受。</w:t>
      </w:r>
      <w:r>
        <w:rPr>
          <w:rStyle w:val="FootnoteReference"/>
        </w:rPr>
        <w:footnoteReference w:id="700"/>
      </w:r>
    </w:p>
    <w:p>
      <w:pPr>
        <w:pStyle w:val="BodyText"/>
      </w:pPr>
      <w:r>
        <w:rPr>
          <w:i/>
          <w:iCs/>
        </w:rPr>
        <w:t xml:space="preserve">称义如何是神白白恩典的作为？</w:t>
      </w:r>
      <w:r>
        <w:br/>
      </w:r>
      <w:r>
        <w:t xml:space="preserve">答：虽然基督藉着他的顺服和受死，为那些被称义的人向神的公义作了恰当、真实和完全的满足；然而因为神接受了一位中保的满足，这满足本可向他们要求，并且预备了这位中保，就是他的独生子，将他的义归算给他们，除了信心以外别无要求（这信心也是他所赐的），所以他们的称义对他们来说是白白的恩典。</w:t>
      </w:r>
      <w:r>
        <w:rPr>
          <w:rStyle w:val="FootnoteReference"/>
        </w:rPr>
        <w:footnoteReference w:id="701"/>
      </w:r>
    </w:p>
    <w:p>
      <w:pPr>
        <w:pStyle w:val="BodyText"/>
      </w:pPr>
      <w:r>
        <w:rPr>
          <w:i/>
          <w:iCs/>
        </w:rPr>
        <w:t xml:space="preserve">什么是使人称义的信心？</w:t>
      </w:r>
      <w:r>
        <w:br/>
      </w:r>
      <w:r>
        <w:t xml:space="preserve">答：使人称义的信心是一种使人得救的恩典，由神的灵和道在罪人心中所生发的，使他确知自己的罪和苦况，也知道自己和一切受造之物都无力救他脱离失丧的光景，不仅同意福音应许的真实性，更是接受并倚靠其中所显明的基督和他的义，使罪得赦免，并且在神面前蒙悦纳、被算为义而得救。</w:t>
      </w:r>
      <w:r>
        <w:rPr>
          <w:rStyle w:val="FootnoteReference"/>
        </w:rPr>
        <w:footnoteReference w:id="702"/>
      </w:r>
    </w:p>
    <w:p>
      <w:pPr>
        <w:pStyle w:val="BodyText"/>
      </w:pPr>
      <w:r>
        <w:rPr>
          <w:i/>
          <w:iCs/>
        </w:rPr>
        <w:t xml:space="preserve">信心如何在神面前使罪人称义？</w:t>
      </w:r>
      <w:r>
        <w:br/>
      </w:r>
      <w:r>
        <w:t xml:space="preserve">答：信心使罪人在神面前称义，不是因为那些总是伴随着信心的其他恩典，也不是因为信心所结的善果，更不是因为信心的恩典或信心的任何行为被算为他称义的根据；而是唯独因为信心是领受并应用基督和他的义的器具。</w:t>
      </w:r>
      <w:r>
        <w:rPr>
          <w:rStyle w:val="FootnoteReference"/>
        </w:rPr>
        <w:footnoteReference w:id="703"/>
      </w:r>
    </w:p>
    <w:p>
      <w:pPr>
        <w:pStyle w:val="BodyText"/>
      </w:pPr>
      <w:r>
        <w:rPr>
          <w:i/>
          <w:iCs/>
        </w:rPr>
        <w:t xml:space="preserve">什么是收纳为儿女？</w:t>
      </w:r>
      <w:r>
        <w:br/>
      </w:r>
      <w:r>
        <w:t xml:space="preserve">答：收纳为儿女是神白白恩典的作为，在他的独生子耶稣基督里并因着他，使所有称义的人被接纳为他的儿女，得以称他的名，领受他儿子的灵，在他父亲般的看顾和安排之下，得享神儿女一切的自由和特权，成为一切应许的后嗣，在荣耀中与基督同作后嗣。</w:t>
      </w:r>
      <w:r>
        <w:rPr>
          <w:rStyle w:val="FootnoteReference"/>
        </w:rPr>
        <w:footnoteReference w:id="704"/>
      </w:r>
    </w:p>
    <w:p>
      <w:pPr>
        <w:pStyle w:val="BodyText"/>
      </w:pPr>
      <w:r>
        <w:rPr>
          <w:i/>
          <w:iCs/>
        </w:rPr>
        <w:t xml:space="preserve">什么是成圣？</w:t>
      </w:r>
      <w:r>
        <w:br/>
      </w:r>
      <w:r>
        <w:t xml:space="preserve">答：成圣是神恩典的工作，藉此那些神在创世以前拣选成为圣洁的人，在时间中藉着他圣灵大能的运行，将基督的死和复活应用在他们身上，使他们全人按着神的形像更新；将悔改得生命和其他一切使人得救的恩典的种子放在他们心里，并且激发、增长、坚固这些恩典，使他们越来越向罪死，向新生命活。</w:t>
      </w:r>
      <w:r>
        <w:rPr>
          <w:rStyle w:val="FootnoteReference"/>
        </w:rPr>
        <w:footnoteReference w:id="705"/>
      </w:r>
    </w:p>
    <w:p>
      <w:pPr>
        <w:pStyle w:val="BodyText"/>
      </w:pPr>
      <w:r>
        <w:rPr>
          <w:i/>
          <w:iCs/>
        </w:rPr>
        <w:t xml:space="preserve">什么是使人得生命的悔改？</w:t>
      </w:r>
      <w:r>
        <w:br/>
      </w:r>
      <w:r>
        <w:t xml:space="preserve">答：使人得生命的悔改是一种使人得救的恩典，由神的灵和道在罪人心中所生发的，使他不仅看见并感受到罪的危险，也看见并感受到罪的污秽和可憎，并认识到神在基督里向悔改之人所施的怜悯，因此为罪忧伤并恨恶罪，以致离弃一切的罪归向神，立志并努力持续地在新的顺服道路上与他同行。</w:t>
      </w:r>
      <w:r>
        <w:rPr>
          <w:rStyle w:val="FootnoteReference"/>
        </w:rPr>
        <w:footnoteReference w:id="706"/>
      </w:r>
    </w:p>
    <w:p>
      <w:pPr>
        <w:pStyle w:val="BodyText"/>
      </w:pPr>
      <w:r>
        <w:rPr>
          <w:i/>
          <w:iCs/>
        </w:rPr>
        <w:t xml:space="preserve">称义和成圣有什么区别？</w:t>
      </w:r>
      <w:r>
        <w:br/>
      </w:r>
      <w:r>
        <w:t xml:space="preserve">答：虽然成圣与称义不可分离地联系在一起，但它们是有区别的：在称义中，神将基督的义归算给人；在成圣中，他的灵注入恩典，并使人能够运用这恩典；在前者中，罪得赦免；在后者中，罪被制伏；前者使所有信徒同等地完全脱离神报应的忿怒，在今生就完全如此，使他们永不被定罪；后者在众人中并不相等，在今生也无人能达到完全，乃是渐渐长进以至完全。</w:t>
      </w:r>
      <w:r>
        <w:rPr>
          <w:rStyle w:val="FootnoteReference"/>
        </w:rPr>
        <w:footnoteReference w:id="707"/>
      </w:r>
    </w:p>
    <w:p>
      <w:pPr>
        <w:pStyle w:val="BodyText"/>
      </w:pPr>
      <w:r>
        <w:rPr>
          <w:i/>
          <w:iCs/>
        </w:rPr>
        <w:t xml:space="preserve">信徒成圣的不完全从何而来？</w:t>
      </w:r>
      <w:r>
        <w:br/>
      </w:r>
      <w:r>
        <w:t xml:space="preserve">答：信徒成圣的不完全来自于残存在他们各个部分的罪，以及肉体不断与圣灵相争；因此他们常常被试探所胜，陷入许多罪中，在一切属灵的事奉上受拦阻，他们最好的工作在神眼中也是不完全和污秽的。</w:t>
      </w:r>
      <w:r>
        <w:rPr>
          <w:rStyle w:val="FootnoteReference"/>
        </w:rPr>
        <w:footnoteReference w:id="708"/>
      </w:r>
    </w:p>
    <w:p>
      <w:pPr>
        <w:pStyle w:val="BodyText"/>
      </w:pPr>
      <w:r>
        <w:rPr>
          <w:i/>
          <w:iCs/>
        </w:rPr>
        <w:t xml:space="preserve">真信徒会因着他们的不完全，以及所遇到的许多试探和所陷入的罪，而从恩典的地位上堕落吗？</w:t>
      </w:r>
      <w:r>
        <w:br/>
      </w:r>
      <w:r>
        <w:t xml:space="preserve">答：真信徒因着神不改变的爱，和他赐他们持守的旨意与约，他们与基督不可分离的联合，他持续的代求，以及神的灵和种子常存在他们里面，既不能完全也不能最终从恩典的地位上堕落，反倒藉着信心蒙神的大能保守直到得救。</w:t>
      </w:r>
      <w:r>
        <w:rPr>
          <w:rStyle w:val="FootnoteReference"/>
        </w:rPr>
        <w:footnoteReference w:id="709"/>
      </w:r>
    </w:p>
    <w:p>
      <w:pPr>
        <w:pStyle w:val="BodyText"/>
      </w:pPr>
      <w:r>
        <w:rPr>
          <w:i/>
          <w:iCs/>
        </w:rPr>
        <w:t xml:space="preserve">真信徒能确实地知道他们是在恩典中，并且必在其中持守到底得救吗？</w:t>
      </w:r>
      <w:r>
        <w:br/>
      </w:r>
      <w:r>
        <w:t xml:space="preserve">答：凡真信基督，并努力在他面前存无愧的良心而行的人，无需特别的启示，只要信心建立在神应许的真实上，并且圣灵使他们能在自己里面辨认那些与生命应许相连的恩典，又与他们的心同证他们是神的儿女，就能确实地知道他们是在恩典中，并且必在其中持守到底得救。</w:t>
      </w:r>
      <w:r>
        <w:rPr>
          <w:rStyle w:val="FootnoteReference"/>
        </w:rPr>
        <w:footnoteReference w:id="710"/>
      </w:r>
    </w:p>
    <w:p>
      <w:pPr>
        <w:pStyle w:val="BodyText"/>
      </w:pPr>
      <w:r>
        <w:rPr>
          <w:i/>
          <w:iCs/>
        </w:rPr>
        <w:t xml:space="preserve">所有真信徒是否时刻都确知自己现今在恩典中，并且必然得救？</w:t>
      </w:r>
      <w:r>
        <w:br/>
      </w:r>
      <w:r>
        <w:t xml:space="preserve">答：因为恩典和救恩的确据不是信心的本质，真信徒可能要等候很久才能获得；即使得到了，也可能因着各样的疾病、罪恶、试探和神的离弃而被削弱和中断；然而他们永不会失去神的灵的同在和扶持，这使他们不至陷入完全的绝望。</w:t>
      </w:r>
      <w:r>
        <w:rPr>
          <w:rStyle w:val="FootnoteReference"/>
        </w:rPr>
        <w:footnoteReference w:id="711"/>
      </w:r>
    </w:p>
    <w:p>
      <w:pPr>
        <w:pStyle w:val="BodyText"/>
      </w:pPr>
      <w:r>
        <w:rPr>
          <w:i/>
          <w:iCs/>
        </w:rPr>
        <w:t xml:space="preserve">无形教会的成员与基督在荣耀中的相交是什么？</w:t>
      </w:r>
      <w:r>
        <w:br/>
      </w:r>
      <w:r>
        <w:t xml:space="preserve">答：无形教会的成员与基督在荣耀中的相交是在今生、死后立即开始，并在复活和审判之日最终完全。</w:t>
      </w:r>
      <w:r>
        <w:rPr>
          <w:rStyle w:val="FootnoteReference"/>
        </w:rPr>
        <w:footnoteReference w:id="712"/>
      </w:r>
    </w:p>
    <w:p>
      <w:pPr>
        <w:pStyle w:val="BodyText"/>
      </w:pPr>
      <w:r>
        <w:rPr>
          <w:i/>
          <w:iCs/>
        </w:rPr>
        <w:t xml:space="preserve">无形教会的成员在今生享有什么与基督在荣耀中的相交？</w:t>
      </w:r>
      <w:r>
        <w:br/>
      </w:r>
      <w:r>
        <w:t xml:space="preserve">答：无形教会的成员在今生就领受了与基督同在荣耀中的初熟果子，因为他们是他这元首的肢体，因此在他里面与他完全拥有的荣耀有分；并且作为凭据，享受神的爱、良心的平安、圣灵中的喜乐和荣耀的盼望；相反，恶人对神报应之忿怒的感受、良心的恐惧，和对审判可怕的期待，是他们死后将要承受的痛苦的开始。</w:t>
      </w:r>
      <w:r>
        <w:rPr>
          <w:rStyle w:val="FootnoteReference"/>
        </w:rPr>
        <w:footnoteReference w:id="713"/>
      </w:r>
    </w:p>
    <w:p>
      <w:pPr>
        <w:pStyle w:val="BodyText"/>
      </w:pPr>
      <w:r>
        <w:rPr>
          <w:i/>
          <w:iCs/>
        </w:rPr>
        <w:t xml:space="preserve">人都要死吗？</w:t>
      </w:r>
      <w:r>
        <w:br/>
      </w:r>
      <w:r>
        <w:t xml:space="preserve">答：因为死是罪的工价，按着定命，人人都有一死，因为人人都犯了罪。</w:t>
      </w:r>
      <w:r>
        <w:rPr>
          <w:rStyle w:val="FootnoteReference"/>
        </w:rPr>
        <w:footnoteReference w:id="714"/>
      </w:r>
    </w:p>
    <w:p>
      <w:pPr>
        <w:pStyle w:val="BodyText"/>
      </w:pPr>
      <w:r>
        <w:rPr>
          <w:i/>
          <w:iCs/>
        </w:rPr>
        <w:t xml:space="preserve">既然死是罪的工价，为什么义人既在基督里得赦免一切的罪，却不能免于死亡？</w:t>
      </w:r>
      <w:r>
        <w:br/>
      </w:r>
      <w:r>
        <w:t xml:space="preserve">答：义人在末日必从死亡本身得释放，即使在死亡中也已从死的毒钩和咒诅中得释放；所以，虽然他们死，却是出于神的爱，要使他们完全脱离罪和苦难，使他们能更深地与基督在荣耀中相交，他们就进入这相交中。</w:t>
      </w:r>
      <w:r>
        <w:rPr>
          <w:rStyle w:val="FootnoteReference"/>
        </w:rPr>
        <w:footnoteReference w:id="715"/>
      </w:r>
    </w:p>
    <w:p>
      <w:pPr>
        <w:pStyle w:val="BodyText"/>
      </w:pPr>
      <w:r>
        <w:rPr>
          <w:i/>
          <w:iCs/>
        </w:rPr>
        <w:t xml:space="preserve">无形教会的成员在死后立即享有什么与基督在荣耀中的相交？</w:t>
      </w:r>
      <w:r>
        <w:br/>
      </w:r>
      <w:r>
        <w:t xml:space="preserve">答：无形教会的成员在死后立即享有与基督在荣耀中的相交，就是他们的灵魂立即在圣洁上得以完全，被接到至高的天上，在那里见神的面，见到光和荣耀；等候身体完全得赎，这身体即使在死亡中仍与基督联合，安息在坟墓中，如同在床上，直到末日再与灵魂联合。而恶人的灵魂在死时被扔在地狱里，在痛苦和完全的黑暗中；他们的身体留在坟墓中，如同在监狱里，直到大日的复活和审判。</w:t>
      </w:r>
      <w:r>
        <w:rPr>
          <w:rStyle w:val="FootnoteReference"/>
        </w:rPr>
        <w:footnoteReference w:id="716"/>
      </w:r>
    </w:p>
    <w:p>
      <w:pPr>
        <w:pStyle w:val="BodyText"/>
      </w:pPr>
      <w:r>
        <w:rPr>
          <w:i/>
          <w:iCs/>
        </w:rPr>
        <w:t xml:space="preserve">关于复活我们当信什么？</w:t>
      </w:r>
      <w:r>
        <w:br/>
      </w:r>
      <w:r>
        <w:t xml:space="preserve">答：我们当信，在末日必有死人普遍的复活，义的和不义的都要复活。那时活着的人要在一霎时改变；死人原来埋葬的身体要与他们的灵魂永远联合，藉着基督的大能复活。义人的身体，藉着基督的灵，并因着他这元首复活的功效，要带着能力复活，成为属灵的、不朽坏的，像他荣耀的身体；恶人的身体要被他作为被冒犯的审判者使他们复活受羞辱。</w:t>
      </w:r>
      <w:r>
        <w:rPr>
          <w:rStyle w:val="FootnoteReference"/>
        </w:rPr>
        <w:footnoteReference w:id="717"/>
      </w:r>
    </w:p>
    <w:p>
      <w:pPr>
        <w:pStyle w:val="BodyText"/>
      </w:pPr>
      <w:r>
        <w:rPr>
          <w:i/>
          <w:iCs/>
        </w:rPr>
        <w:t xml:space="preserve">复活之后立即要发生什么？</w:t>
      </w:r>
      <w:r>
        <w:br/>
      </w:r>
      <w:r>
        <w:t xml:space="preserve">答：复活之后立即要进行天使和世人普遍最后的审判；那日子和时辰没有人知道，为要叫人时刻儆醒祷告，常作准备等候主来。</w:t>
      </w:r>
      <w:r>
        <w:rPr>
          <w:rStyle w:val="FootnoteReference"/>
        </w:rPr>
        <w:footnoteReference w:id="718"/>
      </w:r>
    </w:p>
    <w:p>
      <w:pPr>
        <w:pStyle w:val="BodyText"/>
      </w:pPr>
      <w:r>
        <w:rPr>
          <w:i/>
          <w:iCs/>
        </w:rPr>
        <w:t xml:space="preserve">在审判之日恶人要受什么对待？</w:t>
      </w:r>
      <w:r>
        <w:br/>
      </w:r>
      <w:r>
        <w:t xml:space="preserve">答：在审判之日，恶人要被安置在基督的左边，凭着明确的证据和他们良心完全的定罪，要听见可怕却公义的定罪宣判；随后要被赶出神恩惠的同在，与基督、他的圣徒和所有圣天使荣耀的团契隔绝，被扔在地狱里，与魔鬼和他的使者一同永远受身体和灵魂难以言表的痛苦。</w:t>
      </w:r>
      <w:r>
        <w:rPr>
          <w:rStyle w:val="FootnoteReference"/>
        </w:rPr>
        <w:footnoteReference w:id="719"/>
      </w:r>
    </w:p>
    <w:p>
      <w:pPr>
        <w:pStyle w:val="BodyText"/>
      </w:pPr>
      <w:r>
        <w:rPr>
          <w:i/>
          <w:iCs/>
        </w:rPr>
        <w:t xml:space="preserve">在审判之日义人要受什么对待？</w:t>
      </w:r>
      <w:r>
        <w:br/>
      </w:r>
      <w:r>
        <w:t xml:space="preserve">答：在审判之日，义人要被提到云里与基督相遇，被安置在他的右边，在那里被公开承认和宣告无罪，要与他一同审判堕落的天使和世人，并要被接到天上，在那里永远完全脱离一切罪恶和苦难；充满难以想象的喜乐，身体和灵魂都完全圣洁快乐，与无数的圣徒和圣天使同在，尤其是直接看见并享受父神、我们的主耶稣基督和圣灵，直到永远。这就是无形教会的成员在复活和审判之日要在荣耀中与基督享受的完全相交。</w:t>
      </w:r>
      <w:r>
        <w:rPr>
          <w:rStyle w:val="FootnoteReference"/>
        </w:rPr>
        <w:footnoteReference w:id="720"/>
      </w:r>
      <w:r>
        <w:rPr>
          <w:rStyle w:val="FootnoteReference"/>
        </w:rPr>
        <w:footnoteReference w:id="721"/>
      </w:r>
    </w:p>
    <w:p>
      <w:pPr>
        <w:pStyle w:val="BodyText"/>
      </w:pPr>
      <w:r>
        <w:rPr>
          <w:i/>
          <w:iCs/>
        </w:rPr>
        <w:t xml:space="preserve">神对人要求的本分是什么？</w:t>
      </w:r>
      <w:r>
        <w:br/>
      </w:r>
      <w:r>
        <w:t xml:space="preserve">答：神对人要求的本分是顺服他已启示的旨意。</w:t>
      </w:r>
      <w:r>
        <w:rPr>
          <w:rStyle w:val="FootnoteReference"/>
        </w:rPr>
        <w:footnoteReference w:id="722"/>
      </w:r>
    </w:p>
    <w:p>
      <w:pPr>
        <w:pStyle w:val="BodyText"/>
      </w:pPr>
      <w:r>
        <w:rPr>
          <w:i/>
          <w:iCs/>
        </w:rPr>
        <w:t xml:space="preserve">神最初向人启示的顺服准则是什么？</w:t>
      </w:r>
      <w:r>
        <w:br/>
      </w:r>
      <w:r>
        <w:t xml:space="preserve">答：神向无罪状态的亚当，并在他里面向全人类启示的顺服准则，除了不可吃分别善恶树上果子的特别命令外，就是道德律。</w:t>
      </w:r>
      <w:r>
        <w:rPr>
          <w:rStyle w:val="FootnoteReference"/>
        </w:rPr>
        <w:footnoteReference w:id="723"/>
      </w:r>
    </w:p>
    <w:p>
      <w:pPr>
        <w:pStyle w:val="BodyText"/>
      </w:pPr>
      <w:r>
        <w:rPr>
          <w:i/>
          <w:iCs/>
        </w:rPr>
        <w:t xml:space="preserve">什么是道德律？</w:t>
      </w:r>
      <w:r>
        <w:br/>
      </w:r>
      <w:r>
        <w:t xml:space="preserve">答：道德律是神向人类宣告他的旨意，指引并约束每个人在全人的体质和性情上，在灵魂和身体上，都要亲自完全永久地符合并顺服，履行当尽的一切圣洁公义的本分；应许遵行的得生命，</w:t>
      </w:r>
      <w:r>
        <w:rPr>
          <w:rStyle w:val="FootnoteReference"/>
        </w:rPr>
        <w:footnoteReference w:id="724"/>
      </w:r>
      <w:r>
        <w:rPr>
          <w:rStyle w:val="FootnoteReference"/>
        </w:rPr>
        <w:footnoteReference w:id="725"/>
      </w:r>
    </w:p>
    <w:p>
      <w:pPr>
        <w:pStyle w:val="BodyText"/>
      </w:pPr>
      <w:r>
        <w:rPr>
          <w:i/>
          <w:iCs/>
        </w:rPr>
        <w:t xml:space="preserve">人堕落后道德律还有什么用处吗？</w:t>
      </w:r>
      <w:r>
        <w:br/>
      </w:r>
      <w:r>
        <w:t xml:space="preserve">答：虽然自从堕落后，没有人能藉着道德律得着义和生命；但它仍有重大用处，既有对所有人共同的用处，也有对未重生之人或重生之人特别的用处。</w:t>
      </w:r>
      <w:r>
        <w:rPr>
          <w:rStyle w:val="FootnoteReference"/>
        </w:rPr>
        <w:footnoteReference w:id="726"/>
      </w:r>
    </w:p>
    <w:p>
      <w:pPr>
        <w:pStyle w:val="BodyText"/>
      </w:pPr>
      <w:r>
        <w:rPr>
          <w:i/>
          <w:iCs/>
        </w:rPr>
        <w:t xml:space="preserve">道德律对所有人有什么用处？</w:t>
      </w:r>
      <w:r>
        <w:br/>
      </w:r>
      <w:r>
        <w:t xml:space="preserve">答：道德律对所有人的用处是：使他们知道神圣洁的本性和旨意，以及他们的本分，约束他们照此而行；使他们知罪，知道自己无力遵守，知道自己的本性、心思和生活都被罪玷污；使他们因罪和苦况而谦卑，从而更清楚地看见他们需要基督，</w:t>
      </w:r>
      <w:r>
        <w:rPr>
          <w:rStyle w:val="FootnoteReference"/>
        </w:rPr>
        <w:footnoteReference w:id="727"/>
      </w:r>
      <w:r>
        <w:rPr>
          <w:rStyle w:val="FootnoteReference"/>
        </w:rPr>
        <w:footnoteReference w:id="728"/>
      </w:r>
    </w:p>
    <w:p>
      <w:pPr>
        <w:pStyle w:val="BodyText"/>
      </w:pPr>
      <w:r>
        <w:rPr>
          <w:i/>
          <w:iCs/>
        </w:rPr>
        <w:t xml:space="preserve">道德律对未重生之人有什么特别的用处？</w:t>
      </w:r>
      <w:r>
        <w:br/>
      </w:r>
      <w:r>
        <w:t xml:space="preserve">答：道德律对未重生之人的用处是唤醒他们的良心，使他们逃避将来的忿怒，驱使他们归向基督；或者，若他们继续活在罪中，就使他们无可推诿，伏在咒诅之下。</w:t>
      </w:r>
      <w:r>
        <w:rPr>
          <w:rStyle w:val="FootnoteReference"/>
        </w:rPr>
        <w:footnoteReference w:id="729"/>
      </w:r>
    </w:p>
    <w:p>
      <w:pPr>
        <w:pStyle w:val="BodyText"/>
      </w:pPr>
      <w:r>
        <w:rPr>
          <w:i/>
          <w:iCs/>
        </w:rPr>
        <w:t xml:space="preserve">道德律对重生之人有什么特别的用处？</w:t>
      </w:r>
      <w:r>
        <w:br/>
      </w:r>
      <w:r>
        <w:t xml:space="preserve">答：虽然重生并信靠基督的人已从道德律作为行为之约中得释放，不再因此称义或定罪，但除了对所有人共同的一般用处外，它还特别用来显明他们多么亏欠基督，因他为他们的缘故成全了律法，替他们承受了咒诅；因此激发他们更加感恩，并以更谨慎地以此为顺服准则来表达这感恩。</w:t>
      </w:r>
      <w:r>
        <w:rPr>
          <w:rStyle w:val="FootnoteReference"/>
        </w:rPr>
        <w:footnoteReference w:id="730"/>
      </w:r>
    </w:p>
    <w:p>
      <w:pPr>
        <w:pStyle w:val="BodyText"/>
      </w:pPr>
      <w:r>
        <w:rPr>
          <w:i/>
          <w:iCs/>
        </w:rPr>
        <w:t xml:space="preserve">道德律的概要包含在哪里？</w:t>
      </w:r>
      <w:r>
        <w:br/>
      </w:r>
      <w:r>
        <w:t xml:space="preserve">答：道德律的概要包含在十诫中，是神在西乃山亲口颁布，并亲手写在两块石版上，记载在出埃及记第二十章。前四诫包含我们对神的本分，后六诫包含我们对人的本分。</w:t>
      </w:r>
      <w:r>
        <w:rPr>
          <w:rStyle w:val="FootnoteReference"/>
        </w:rPr>
        <w:footnoteReference w:id="731"/>
      </w:r>
    </w:p>
    <w:p>
      <w:pPr>
        <w:pStyle w:val="BodyText"/>
      </w:pPr>
      <w:r>
        <w:rPr>
          <w:i/>
          <w:iCs/>
        </w:rPr>
        <w:t xml:space="preserve">正确理解十诫应当遵守什么规则？</w:t>
      </w:r>
      <w:r>
        <w:br/>
      </w:r>
      <w:r>
        <w:t xml:space="preserve">答：为正确理解十诫，应当遵守这些规则：</w:t>
      </w:r>
      <w:r>
        <w:rPr>
          <w:rStyle w:val="FootnoteReference"/>
        </w:rPr>
        <w:footnoteReference w:id="732"/>
      </w:r>
      <w:r>
        <w:rPr>
          <w:rStyle w:val="FootnoteReference"/>
        </w:rPr>
        <w:footnoteReference w:id="733"/>
      </w:r>
      <w:r>
        <w:rPr>
          <w:rStyle w:val="FootnoteReference"/>
        </w:rPr>
        <w:footnoteReference w:id="734"/>
      </w:r>
      <w:r>
        <w:rPr>
          <w:rStyle w:val="FootnoteReference"/>
        </w:rPr>
        <w:footnoteReference w:id="735"/>
      </w:r>
      <w:r>
        <w:rPr>
          <w:rStyle w:val="FootnoteReference"/>
        </w:rPr>
        <w:footnoteReference w:id="736"/>
      </w:r>
      <w:r>
        <w:rPr>
          <w:rStyle w:val="FootnoteReference"/>
        </w:rPr>
        <w:footnoteReference w:id="737"/>
      </w:r>
      <w:r>
        <w:rPr>
          <w:rStyle w:val="FootnoteReference"/>
        </w:rPr>
        <w:footnoteReference w:id="738"/>
      </w:r>
      <w:r>
        <w:rPr>
          <w:rStyle w:val="FootnoteReference"/>
        </w:rPr>
        <w:footnoteReference w:id="739"/>
      </w:r>
      <w:r>
        <w:rPr>
          <w:rStyle w:val="FootnoteReference"/>
        </w:rPr>
        <w:footnoteReference w:id="740"/>
      </w:r>
    </w:p>
    <w:p>
      <w:pPr>
        <w:pStyle w:val="BodyText"/>
      </w:pPr>
      <w:r>
        <w:rPr>
          <w:i/>
          <w:iCs/>
        </w:rPr>
        <w:t xml:space="preserve">我们在十诫中当特别考虑什么？</w:t>
      </w:r>
      <w:r>
        <w:br/>
      </w:r>
      <w:r>
        <w:t xml:space="preserve">答：我们在十诫中当考虑序言、诫命本身的内容，以及附加在其中一些诫命上的理由，使之更有约束力。</w:t>
      </w:r>
    </w:p>
    <w:p>
      <w:pPr>
        <w:pStyle w:val="BodyText"/>
      </w:pPr>
      <w:r>
        <w:rPr>
          <w:i/>
          <w:iCs/>
        </w:rPr>
        <w:t xml:space="preserve">十诫的序言是什么？</w:t>
      </w:r>
      <w:r>
        <w:br/>
      </w:r>
      <w:r>
        <w:t xml:space="preserve">答：十诫的序言包含在这些话中：我是耶和华你的神，曾将你从埃及地为奴之家领出来。在此神显明他的主权，作为耶和华，永恒、不变、全能的神；他是自有永有的，赐生命给他一切的话语和作为；他是立约的神，正如从前与以色列人立约，如今也与他所有的子民立约；正如他领他们出埃及的奴役，他也拯救我们脱离属灵的奴役；因此我们有责任单单以他为我们的神，遵守他一切的诫命。</w:t>
      </w:r>
      <w:r>
        <w:rPr>
          <w:rStyle w:val="FootnoteReference"/>
        </w:rPr>
        <w:footnoteReference w:id="741"/>
      </w:r>
    </w:p>
    <w:p>
      <w:pPr>
        <w:pStyle w:val="BodyText"/>
      </w:pPr>
      <w:r>
        <w:rPr>
          <w:i/>
          <w:iCs/>
        </w:rPr>
        <w:t xml:space="preserve">包含我们对神本分的四条诫命的总纲是什么？</w:t>
      </w:r>
      <w:r>
        <w:br/>
      </w:r>
      <w:r>
        <w:t xml:space="preserve">答：包含我们对神本分的四条诫命的总纲，就是要尽心、尽性、尽力、尽意爱主我们的神。</w:t>
      </w:r>
      <w:r>
        <w:rPr>
          <w:rStyle w:val="FootnoteReference"/>
        </w:rPr>
        <w:footnoteReference w:id="742"/>
      </w:r>
    </w:p>
    <w:p>
      <w:pPr>
        <w:pStyle w:val="BodyText"/>
      </w:pPr>
      <w:r>
        <w:rPr>
          <w:i/>
          <w:iCs/>
        </w:rPr>
        <w:t xml:space="preserve">第一条诫命是什么？</w:t>
      </w:r>
      <w:r>
        <w:br/>
      </w:r>
      <w:r>
        <w:t xml:space="preserve">答：第一条诫命是：除了我以外，你不可有别的神。</w:t>
      </w:r>
      <w:r>
        <w:rPr>
          <w:rStyle w:val="FootnoteReference"/>
        </w:rPr>
        <w:footnoteReference w:id="743"/>
      </w:r>
    </w:p>
    <w:p>
      <w:pPr>
        <w:pStyle w:val="BodyText"/>
      </w:pPr>
      <w:r>
        <w:rPr>
          <w:i/>
          <w:iCs/>
        </w:rPr>
        <w:t xml:space="preserve">第一条诫命要求什么本分？</w:t>
      </w:r>
      <w:r>
        <w:br/>
      </w:r>
      <w:r>
        <w:t xml:space="preserve">答：第一条诫命要求的本分是：认识并承认神是独一的真神，是我们的神；相应地敬拜荣耀他，就是思想他、默想他、记念他、尊重他、尊敬他、敬拜他、拣选他、爱他、渴慕他、敬畏他；信靠他、依靠他、盼望他、以他为乐、因他欢喜；为他发热心；呼求他；将一切颂赞感谢归给他，全人向他顺服降服；凡事谨慎讨他喜悦，在任何事上得罪他就忧愁；存谦卑的心与他同行。</w:t>
      </w:r>
      <w:r>
        <w:rPr>
          <w:rStyle w:val="FootnoteReference"/>
        </w:rPr>
        <w:footnoteReference w:id="744"/>
      </w:r>
    </w:p>
    <w:p>
      <w:pPr>
        <w:pStyle w:val="BodyText"/>
      </w:pPr>
      <w:r>
        <w:rPr>
          <w:i/>
          <w:iCs/>
        </w:rPr>
        <w:t xml:space="preserve">第一条诫命禁止什么罪？</w:t>
      </w:r>
      <w:r>
        <w:br/>
      </w:r>
      <w:r>
        <w:t xml:space="preserve">答：第一条诫命禁止的罪是：无神论，否认或不承认有神；拜偶像，敬拜一位以上的神，或与真神同列或取代真神的任何对象；不承认他为神，为我们的神；忽略或疏忽本诫命所要求当尽的本分；对他的无知、忘记、错误理解、错误观念、不配和邪恶的想法；妄自探究他的奥秘；一切亵渎、恨恶神；自私自利，以及一切不当地、过度地将心思、意志或情感放在其他事物上，完全或部分地离弃神；轻信、不信、异端、错信、不信任、绝望，在审判下不知悔改和麻木不仁；心里刚硬；骄傲；自以为是；属肉体的安全感；试探神；使用不法手段，倚靠合法手段；属肉体的喜好和快乐；败坏、盲目和不智的热心；在神的事上不冷不热和死气沉沉；与神疏远，背道；向圣徒、天使或任何其他受造物祷告或献上宗教敬拜；一切与魔鬼立约、求问并听从他的建议；使人成为我们信仰和良心的主；轻视藐视神和他的诫命；抗拒并使圣灵担忧，对他的安排不满和不耐烦，愚昧地指责他加给我们的苦难；将我们一切所是、所有、所能的善归功于运气、偶像、自己或任何其他受造物。</w:t>
      </w:r>
      <w:r>
        <w:rPr>
          <w:rStyle w:val="FootnoteReference"/>
        </w:rPr>
        <w:footnoteReference w:id="745"/>
      </w:r>
    </w:p>
    <w:p>
      <w:pPr>
        <w:pStyle w:val="BodyText"/>
      </w:pPr>
      <w:r>
        <w:rPr>
          <w:i/>
          <w:iCs/>
        </w:rPr>
        <w:t xml:space="preserve">第一条诫命中’在我面前’这些话特别教导我们什么？</w:t>
      </w:r>
      <w:r>
        <w:br/>
      </w:r>
      <w:r>
        <w:t xml:space="preserve">答：第一条诫命中’在我面前’这些话教导我们：神是无所不见的，他特别注意并极其不悦有别的神的罪；这可以作为劝阻的理由，并加重这罪的严重性，视为最无耻的挑衅；也劝勉我们在事奉他时，要如在他面前行事。</w:t>
      </w:r>
      <w:r>
        <w:rPr>
          <w:rStyle w:val="FootnoteReference"/>
        </w:rPr>
        <w:footnoteReference w:id="746"/>
      </w:r>
    </w:p>
    <w:p>
      <w:pPr>
        <w:pStyle w:val="BodyText"/>
      </w:pPr>
      <w:r>
        <w:rPr>
          <w:i/>
          <w:iCs/>
        </w:rPr>
        <w:t xml:space="preserve">第二条诫命是什么？</w:t>
      </w:r>
      <w:r>
        <w:br/>
      </w:r>
      <w:r>
        <w:t xml:space="preserve">答：第二条诫命是：不可为自己雕刻偶像，也不可做什么形像仿佛上天、下地和地底下水中的百物。不可跪拜那些像，也不可事奉它，因为我耶和华你的神是忌邪的神，恨我的，我必追讨他的罪，自父及子，直到三四代；爱我、守我诫命的，我必向他们发慈爱，直到千代。</w:t>
      </w:r>
      <w:r>
        <w:rPr>
          <w:rStyle w:val="FootnoteReference"/>
        </w:rPr>
        <w:footnoteReference w:id="747"/>
      </w:r>
    </w:p>
    <w:p>
      <w:pPr>
        <w:pStyle w:val="BodyText"/>
      </w:pPr>
      <w:r>
        <w:rPr>
          <w:i/>
          <w:iCs/>
        </w:rPr>
        <w:t xml:space="preserve">第二条诫命要求什么本分？</w:t>
      </w:r>
      <w:r>
        <w:br/>
      </w:r>
      <w:r>
        <w:t xml:space="preserve">答：第二条诫命要求的本分是：领受、遵守并纯全地持守神在他话语中设立的一切宗教敬拜和规条；特别是奉基督的名祷告和感恩；读经、讲道和听道；施行和领受圣礼；教会的治理和纪律；设立并维持圣职；宗教性的禁食；奉神的名起誓，向他许愿；也要反对、憎恶、抵挡一切假敬拜；按各人的地位和呼召除去假敬拜和一切偶像崇拜的遗迹。</w:t>
      </w:r>
      <w:r>
        <w:rPr>
          <w:rStyle w:val="FootnoteReference"/>
        </w:rPr>
        <w:footnoteReference w:id="748"/>
      </w:r>
    </w:p>
    <w:p>
      <w:pPr>
        <w:pStyle w:val="BodyText"/>
      </w:pPr>
      <w:r>
        <w:rPr>
          <w:i/>
          <w:iCs/>
        </w:rPr>
        <w:t xml:space="preserve">第二条诫命禁止什么罪？</w:t>
      </w:r>
      <w:r>
        <w:br/>
      </w:r>
      <w:r>
        <w:t xml:space="preserve">答：第二条诫命禁止的罪是：设计、建议、命令、使用并以任何方式赞同任何不是神亲自设立的宗教敬拜；容忍假宗教；制作任何对神、三位一体的全体或其中任何一位的表现物，无论是在心中想象，还是以任何受造之物的形像或样式外在表现；对这些崇拜，或藉此敬拜神；制作任何虚构神明的表现物，以及对它们的一切敬拜或事奉；一切迷信的做法，败坏神的敬拜，加添或删减，无论是我们自己发明采用的，还是从他人传统接受的，即使打着古老、习俗、虔诚、善意或任何其他借口；买卖圣职；亵渎圣物；一切忽视、藐视、拦阻和反对神所设立的敬拜和规条。</w:t>
      </w:r>
      <w:r>
        <w:rPr>
          <w:rStyle w:val="FootnoteReference"/>
        </w:rPr>
        <w:footnoteReference w:id="749"/>
      </w:r>
    </w:p>
    <w:p>
      <w:pPr>
        <w:pStyle w:val="BodyText"/>
      </w:pPr>
      <w:r>
        <w:rPr>
          <w:i/>
          <w:iCs/>
        </w:rPr>
        <w:t xml:space="preserve">第二条诫命附加什么理由来加强约束力？</w:t>
      </w:r>
      <w:r>
        <w:br/>
      </w:r>
      <w:r>
        <w:t xml:space="preserve">答：第二条诫命附加的理由包含在这些话中：’因为我耶和华你的神是忌邪的神，恨我的，我必追讨他的罪，自父及子，直到三四代；爱我、守我诫命的，我必向他们发慈爱，直到千代。’这些理由除了表明神对我们的主权和所有权外，还表明他对自己敬拜的热心，以及他对一切假敬拜的忿怒，视之为属灵的淫乱；他将违背这条诫命的人视为恨他的人，威胁要惩罚他们直到几代；他将遵守这条诫命的人视为爱他守他诫命的人，应许要向他们发慈爱直到多代。</w:t>
      </w:r>
      <w:r>
        <w:rPr>
          <w:rStyle w:val="FootnoteReference"/>
        </w:rPr>
        <w:footnoteReference w:id="750"/>
      </w:r>
    </w:p>
    <w:p>
      <w:pPr>
        <w:pStyle w:val="BodyText"/>
      </w:pPr>
      <w:r>
        <w:rPr>
          <w:i/>
          <w:iCs/>
        </w:rPr>
        <w:t xml:space="preserve">第三条诫命是什么？</w:t>
      </w:r>
      <w:r>
        <w:br/>
      </w:r>
      <w:r>
        <w:t xml:space="preserve">答：第三条诫命是：不可妄称耶和华你神的名，因为妄称耶和华名的，耶和华必不以他为无罪。</w:t>
      </w:r>
      <w:r>
        <w:rPr>
          <w:rStyle w:val="FootnoteReference"/>
        </w:rPr>
        <w:footnoteReference w:id="751"/>
      </w:r>
    </w:p>
    <w:p>
      <w:pPr>
        <w:pStyle w:val="BodyText"/>
      </w:pPr>
      <w:r>
        <w:rPr>
          <w:i/>
          <w:iCs/>
        </w:rPr>
        <w:t xml:space="preserve">第三条诫命要求什么？</w:t>
      </w:r>
      <w:r>
        <w:br/>
      </w:r>
      <w:r>
        <w:t xml:space="preserve">答：第三条诫命要求，对神的名，他的称号、属性、规条、圣道、圣礼、祷告、誓言、誓愿、掣签，他的作为，以及凡他藉以显明自己的事物，都要在思想、默想、言语和文字上圣洁恭敬地使用；要有圣洁的信仰告白，相称的生活，为要荣耀神，造就自己和他人。</w:t>
      </w:r>
      <w:r>
        <w:rPr>
          <w:rStyle w:val="FootnoteReference"/>
        </w:rPr>
        <w:footnoteReference w:id="752"/>
      </w:r>
    </w:p>
    <w:p>
      <w:pPr>
        <w:pStyle w:val="BodyText"/>
      </w:pPr>
      <w:r>
        <w:rPr>
          <w:i/>
          <w:iCs/>
        </w:rPr>
        <w:t xml:space="preserve">第三条诫命禁止什么罪？</w:t>
      </w:r>
      <w:r>
        <w:br/>
      </w:r>
      <w:r>
        <w:t xml:space="preserve">答：第三条诫命禁止的罪是：不按要求使用神的名；以无知、虚妄、不敬、亵渎、迷信或邪恶的方式提到或使用他的称号、属性、规条或作为；亵渎、伪誓；一切有罪的咒诅、起誓、许愿和掣签；违背合法的誓言和誓愿，履行不合法的誓言和誓愿；对神的旨意和护理发怨言、争论，好奇窥探和误用；曲解、误用或以任何方式歪曲圣道或其任何部分，用于亵渎的玩笑、好奇或无益的问题、虚空的辩论，或维护假教义；滥用圣道、受造之物或任何属神的名下的事物，用于巫术或罪恶的情欲和行为；恶意中伤、嘲笑、辱骂或以任何方式反对神的真理、恩典和道路；假冒为善或别有用心地信教；以不相称、不智慧、不结果子和令人厌恶的行为使人羞于信教或使信仰蒙羞，或从信仰中退后。</w:t>
      </w:r>
      <w:r>
        <w:rPr>
          <w:rStyle w:val="FootnoteReference"/>
        </w:rPr>
        <w:footnoteReference w:id="753"/>
      </w:r>
    </w:p>
    <w:p>
      <w:pPr>
        <w:pStyle w:val="BodyText"/>
      </w:pPr>
      <w:r>
        <w:rPr>
          <w:i/>
          <w:iCs/>
        </w:rPr>
        <w:t xml:space="preserve">第三条诫命附加什么理由？</w:t>
      </w:r>
      <w:r>
        <w:br/>
      </w:r>
      <w:r>
        <w:t xml:space="preserve">答：第三条诫命附加的理由在这些话中：</w:t>
      </w:r>
      <w:r>
        <w:t xml:space="preserve">‘</w:t>
      </w:r>
      <w:r>
        <w:t xml:space="preserve">耶和华你的神</w:t>
      </w:r>
      <w:r>
        <w:t xml:space="preserve">’</w:t>
      </w:r>
      <w:r>
        <w:t xml:space="preserve">，以及’因为妄称耶和华名的，耶和华必不以他为无罪’，因为他是主，是我们的神，所以他的名不可被我们亵渎或以任何方式滥用；特别是因为他不但不会宽恕或饶恕违背这条诫命的人，反要叫他们不能逃脱他公义的审判，即使他们可能逃脱人的责备和惩罚。</w:t>
      </w:r>
      <w:r>
        <w:rPr>
          <w:rStyle w:val="FootnoteReference"/>
        </w:rPr>
        <w:footnoteReference w:id="754"/>
      </w:r>
    </w:p>
    <w:p>
      <w:pPr>
        <w:pStyle w:val="BodyText"/>
      </w:pPr>
      <w:r>
        <w:rPr>
          <w:i/>
          <w:iCs/>
        </w:rPr>
        <w:t xml:space="preserve">第四条诫命是什么？</w:t>
      </w:r>
      <w:r>
        <w:br/>
      </w:r>
      <w:r>
        <w:t xml:space="preserve">答：第四条诫命是：当记念安息日，守为圣日。六日要劳碌作你一切的工，但第七日是向耶和华你神当守的安息日。这一日你和你的儿女、仆婢、牲畜，并你城里寄居的客旅，无论何工都不可作。因为六日之内，耶和华造天、地、海和其中的万物，第七日便安息，所以耶和华赐福与安息日，定为圣日。</w:t>
      </w:r>
      <w:r>
        <w:rPr>
          <w:rStyle w:val="FootnoteReference"/>
        </w:rPr>
        <w:footnoteReference w:id="755"/>
      </w:r>
    </w:p>
    <w:p>
      <w:pPr>
        <w:pStyle w:val="BodyText"/>
      </w:pPr>
      <w:r>
        <w:rPr>
          <w:i/>
          <w:iCs/>
        </w:rPr>
        <w:t xml:space="preserve">第四条诫命要求什么？</w:t>
      </w:r>
      <w:r>
        <w:br/>
      </w:r>
      <w:r>
        <w:t xml:space="preserve">答：第四条诫命要求所有人都要将神在圣道中所定的时间分别为圣归给神，明确地说是七日中的一整天；从世界的开始到基督复活是第七日，此后一直是七日的第一日，并要持续到世界的末了；这就是基督徒的安息日，在新约中称为主日。</w:t>
      </w:r>
      <w:r>
        <w:rPr>
          <w:rStyle w:val="FootnoteReference"/>
        </w:rPr>
        <w:footnoteReference w:id="756"/>
      </w:r>
    </w:p>
    <w:p>
      <w:pPr>
        <w:pStyle w:val="BodyText"/>
      </w:pPr>
      <w:r>
        <w:rPr>
          <w:i/>
          <w:iCs/>
        </w:rPr>
        <w:t xml:space="preserve">如何使安息日或主日分别为圣？</w:t>
      </w:r>
      <w:r>
        <w:br/>
      </w:r>
      <w:r>
        <w:t xml:space="preserve">答：安息日或主日要分别为圣，就是要整日以圣洁的方式安息，不仅要远离在任何时候都是有罪的工作，也要远离在其他日子是合法的世俗工作和娱乐；要以喜乐的心将全部时间（除了必须用于必需和怜悯的工作的时间外）用于公共和私下敬拜神的操练；为此，我们要预备心，以远见、殷勤和节制来安排并适时处理我们的世俗事务，使我们能更自由和适合履行那日的本分。</w:t>
      </w:r>
      <w:r>
        <w:rPr>
          <w:rStyle w:val="FootnoteReference"/>
        </w:rPr>
        <w:footnoteReference w:id="757"/>
      </w:r>
    </w:p>
    <w:p>
      <w:pPr>
        <w:pStyle w:val="BodyText"/>
      </w:pPr>
      <w:r>
        <w:rPr>
          <w:i/>
          <w:iCs/>
        </w:rPr>
        <w:t xml:space="preserve">为什么守安息日的责任特别指向家庭的管理者和其他上位者？</w:t>
      </w:r>
      <w:r>
        <w:br/>
      </w:r>
      <w:r>
        <w:t xml:space="preserve">答：守安息日的责任特别指向家庭的管理者和其他上位者，因为他们不仅要自己遵守，还要看顾确保所有在他们管理之下的人都遵守；也因为他们常常倾向于用自己的工作来拦阻他们。</w:t>
      </w:r>
      <w:r>
        <w:rPr>
          <w:rStyle w:val="FootnoteReference"/>
        </w:rPr>
        <w:footnoteReference w:id="758"/>
      </w:r>
    </w:p>
    <w:p>
      <w:pPr>
        <w:pStyle w:val="BodyText"/>
      </w:pPr>
      <w:r>
        <w:rPr>
          <w:i/>
          <w:iCs/>
        </w:rPr>
        <w:t xml:space="preserve">第四条诫命禁止什么罪？</w:t>
      </w:r>
      <w:r>
        <w:br/>
      </w:r>
      <w:r>
        <w:t xml:space="preserve">答：第四条诫命禁止的罪是：一切疏忽所要求的本分，一切草率、疏忽和无益地履行这些本分，并对之厌烦；一切以懒惰和行本身就有罪的事来亵渎这日；以及一切关于我们世俗工作和娱乐的不必要的工作、言语和思想。</w:t>
      </w:r>
      <w:r>
        <w:rPr>
          <w:rStyle w:val="FootnoteReference"/>
        </w:rPr>
        <w:footnoteReference w:id="759"/>
      </w:r>
    </w:p>
    <w:p>
      <w:pPr>
        <w:pStyle w:val="BodyText"/>
      </w:pPr>
      <w:r>
        <w:rPr>
          <w:i/>
          <w:iCs/>
        </w:rPr>
        <w:t xml:space="preserve">第四条诫命附加什么理由来加强约束力？</w:t>
      </w:r>
      <w:r>
        <w:br/>
      </w:r>
      <w:r>
        <w:t xml:space="preserve">答：第四条诫命附加的理由来自其公平性，神在七日中给我们六日处理自己的事务，只为自己保留一日，就是这些话：</w:t>
      </w:r>
      <w:r>
        <w:t xml:space="preserve">‘</w:t>
      </w:r>
      <w:r>
        <w:t xml:space="preserve">六日要劳碌作你一切的工</w:t>
      </w:r>
      <w:r>
        <w:t xml:space="preserve">’</w:t>
      </w:r>
      <w:r>
        <w:t xml:space="preserve">；来自神对那日的特别主权，</w:t>
      </w:r>
      <w:r>
        <w:t xml:space="preserve">‘</w:t>
      </w:r>
      <w:r>
        <w:t xml:space="preserve">第七日是向耶和华你神当守的安息日</w:t>
      </w:r>
      <w:r>
        <w:t xml:space="preserve">’</w:t>
      </w:r>
      <w:r>
        <w:t xml:space="preserve">；来自神的榜样，他’六日之内造天、地、海和其中的万物，第七日便安息’；也来自神加在那日的福分，不仅使它分别为圣作为事奉他的日子，也定意使它在我们守为圣日时成为赐福给我们的途径，</w:t>
      </w:r>
      <w:r>
        <w:t xml:space="preserve">‘</w:t>
      </w:r>
      <w:r>
        <w:t xml:space="preserve">所以耶和华赐福与安息日，定为圣日</w:t>
      </w:r>
      <w:r>
        <w:t xml:space="preserve">’</w:t>
      </w:r>
      <w:r>
        <w:t xml:space="preserve">。</w:t>
      </w:r>
      <w:r>
        <w:rPr>
          <w:rStyle w:val="FootnoteReference"/>
        </w:rPr>
        <w:footnoteReference w:id="760"/>
      </w:r>
    </w:p>
    <w:p>
      <w:pPr>
        <w:pStyle w:val="BodyText"/>
      </w:pPr>
      <w:r>
        <w:rPr>
          <w:i/>
          <w:iCs/>
        </w:rPr>
        <w:t xml:space="preserve">为什么第四条诫命以’当记念’开始？</w:t>
      </w:r>
      <w:r>
        <w:br/>
      </w:r>
      <w:r>
        <w:t xml:space="preserve">答：第四条诫命以’当记念’开始，部分是因为记念它有极大的益处，帮助我们预备遵守；而且遵守它能帮助我们更好地遵守其他诫命，并继续感恩地记念创造和救赎这两大恩典，这是宗教的简要概括；部分也因为我们很容易忘记它，因为自然之光对此启示较少，而它却限制我们在其他时候合法的自然自由；它一周只有一次，许多世俗事务插在其中，常常使我们的心思不去想它，无论是预备还是守为圣；而且撒但和他的工具竭力要抹去它的荣耀，甚至要人忘记它，引进一切不敬虔和邪恶。</w:t>
      </w:r>
      <w:r>
        <w:rPr>
          <w:rStyle w:val="FootnoteReference"/>
        </w:rPr>
        <w:footnoteReference w:id="761"/>
      </w:r>
    </w:p>
    <w:p>
      <w:pPr>
        <w:pStyle w:val="BodyText"/>
      </w:pPr>
      <w:r>
        <w:rPr>
          <w:i/>
          <w:iCs/>
        </w:rPr>
        <w:t xml:space="preserve">包含我们对人本分的六条诫命的总纲是什么？</w:t>
      </w:r>
      <w:r>
        <w:br/>
      </w:r>
      <w:r>
        <w:t xml:space="preserve">答：包含我们对人本分的六条诫命的总纲是：爱人如己，并且愿意人怎样待我们，我们也要怎样待人。</w:t>
      </w:r>
      <w:r>
        <w:rPr>
          <w:rStyle w:val="FootnoteReference"/>
        </w:rPr>
        <w:footnoteReference w:id="762"/>
      </w:r>
    </w:p>
    <w:p>
      <w:pPr>
        <w:pStyle w:val="BodyText"/>
      </w:pPr>
      <w:r>
        <w:rPr>
          <w:i/>
          <w:iCs/>
        </w:rPr>
        <w:t xml:space="preserve">第五条诫命是什么？</w:t>
      </w:r>
      <w:r>
        <w:br/>
      </w:r>
      <w:r>
        <w:t xml:space="preserve">答：第五条诫命是：当孝敬父母，使你的日子在耶和华你神所赐你的地上得以长久。</w:t>
      </w:r>
      <w:r>
        <w:rPr>
          <w:rStyle w:val="FootnoteReference"/>
        </w:rPr>
        <w:footnoteReference w:id="763"/>
      </w:r>
    </w:p>
    <w:p>
      <w:pPr>
        <w:pStyle w:val="BodyText"/>
      </w:pPr>
      <w:r>
        <w:rPr>
          <w:i/>
          <w:iCs/>
        </w:rPr>
        <w:t xml:space="preserve">第五条诫命中的父母指谁？</w:t>
      </w:r>
      <w:r>
        <w:br/>
      </w:r>
      <w:r>
        <w:t xml:space="preserve">答：第五条诫命中的父母，不仅指生身的父母，也指在年龄和恩赐上都在我们之上的人；特别是那些按神的安排在家庭、教会或国家中治理我们的人。</w:t>
      </w:r>
      <w:r>
        <w:rPr>
          <w:rStyle w:val="FootnoteReference"/>
        </w:rPr>
        <w:footnoteReference w:id="764"/>
      </w:r>
    </w:p>
    <w:p>
      <w:pPr>
        <w:pStyle w:val="BodyText"/>
      </w:pPr>
      <w:r>
        <w:rPr>
          <w:i/>
          <w:iCs/>
        </w:rPr>
        <w:t xml:space="preserve">为什么称上位者为父母？</w:t>
      </w:r>
      <w:r>
        <w:br/>
      </w:r>
      <w:r>
        <w:t xml:space="preserve">答：称上位者为父母，是要教导他们像生身父母一样，按各自的关系向下位者尽一切本分，表达爱心和温柔；也是要使下位者更愿意、更喜乐地向上位者尽本分，如同向父母一样。</w:t>
      </w:r>
      <w:r>
        <w:rPr>
          <w:rStyle w:val="FootnoteReference"/>
        </w:rPr>
        <w:footnoteReference w:id="765"/>
      </w:r>
    </w:p>
    <w:p>
      <w:pPr>
        <w:pStyle w:val="BodyText"/>
      </w:pPr>
      <w:r>
        <w:rPr>
          <w:i/>
          <w:iCs/>
        </w:rPr>
        <w:t xml:space="preserve">第五条诫命的总体范围是什么？</w:t>
      </w:r>
      <w:r>
        <w:br/>
      </w:r>
      <w:r>
        <w:t xml:space="preserve">答：第五条诫命的总体范围是履行我们在各种关系中当尽的本分，无论是作为下位者、上位者，还是平等者。</w:t>
      </w:r>
      <w:r>
        <w:rPr>
          <w:rStyle w:val="FootnoteReference"/>
        </w:rPr>
        <w:footnoteReference w:id="766"/>
      </w:r>
    </w:p>
    <w:p>
      <w:pPr>
        <w:pStyle w:val="BodyText"/>
      </w:pPr>
      <w:r>
        <w:rPr>
          <w:i/>
          <w:iCs/>
        </w:rPr>
        <w:t xml:space="preserve">下位者当向上位者尽什么样的敬重？</w:t>
      </w:r>
      <w:r>
        <w:br/>
      </w:r>
      <w:r>
        <w:t xml:space="preserve">答：下位者当向上位者尽的敬重是：在心思、言语和行为上表达一切当有的尊敬；为他们祷告和感恩；效法他们的美德和恩典；甘心顺服他们合法的命令和劝诫；适当地接受他们的管教；按他们的等级和职分的性质，忠于他们，维护他们的人身和权柄；担待他们的软弱，以爱心遮盖，好使他们和他们的治理得着尊荣。</w:t>
      </w:r>
      <w:r>
        <w:rPr>
          <w:rStyle w:val="FootnoteReference"/>
        </w:rPr>
        <w:footnoteReference w:id="767"/>
      </w:r>
    </w:p>
    <w:p>
      <w:pPr>
        <w:pStyle w:val="BodyText"/>
      </w:pPr>
      <w:r>
        <w:rPr>
          <w:i/>
          <w:iCs/>
        </w:rPr>
        <w:t xml:space="preserve">下位者对上位者有什么罪？</w:t>
      </w:r>
      <w:r>
        <w:br/>
      </w:r>
      <w:r>
        <w:t xml:space="preserve">答：下位者对上位者的罪是：忽视向他们当尽的一切本分；嫉妒、藐视并背叛他们的身份和地位，违背他们合法的劝诫、命令和管教；咒诅、嘲笑，以及一切顽梗和可耻的行为，使他们和他们的治理蒙羞受辱。</w:t>
      </w:r>
      <w:r>
        <w:rPr>
          <w:rStyle w:val="FootnoteReference"/>
        </w:rPr>
        <w:footnoteReference w:id="768"/>
      </w:r>
    </w:p>
    <w:p>
      <w:pPr>
        <w:pStyle w:val="BodyText"/>
      </w:pPr>
      <w:r>
        <w:rPr>
          <w:i/>
          <w:iCs/>
        </w:rPr>
        <w:t xml:space="preserve">上位者对下位者有什么责任？</w:t>
      </w:r>
      <w:r>
        <w:br/>
      </w:r>
      <w:r>
        <w:t xml:space="preserve">答：上位者按照从神所领受的权柄，和他们所处的关系，要爱护、为下位者祷告并祝福他们；教导、劝诫并提醒他们；支持、称赞并奖赏行善的人；反对、责备并管教作恶的人；保护他们，供应他们灵魂和身体一切所需；以庄重、智慧、圣洁和可效法的品行，为神赢得荣耀，为自己赢得尊重，从而保持神所赐给他们的权柄。</w:t>
      </w:r>
      <w:r>
        <w:rPr>
          <w:rStyle w:val="FootnoteReference"/>
        </w:rPr>
        <w:footnoteReference w:id="769"/>
      </w:r>
    </w:p>
    <w:p>
      <w:pPr>
        <w:pStyle w:val="BodyText"/>
      </w:pPr>
      <w:r>
        <w:rPr>
          <w:i/>
          <w:iCs/>
        </w:rPr>
        <w:t xml:space="preserve">上位者有什么罪？</w:t>
      </w:r>
      <w:r>
        <w:br/>
      </w:r>
      <w:r>
        <w:t xml:space="preserve">答：上位者的罪除了疏忽当尽的本分外，还有过分追求自己的利益，自己的荣耀、安逸、利益或享乐；命令不合法的事，或下位者无力完成的事；在邪恶的事上给他们出主意、鼓励或偏袒；在善事上劝阻、打击或不支持他们；不当地管教他们；疏忽地使他们暴露于，或放任他们陷入冤屈、试探和危险中；激怒他们；或以不公正、不谨慎、苛刻或松懈的行为羞辱自己或削弱自己的权柄。</w:t>
      </w:r>
      <w:r>
        <w:rPr>
          <w:rStyle w:val="FootnoteReference"/>
        </w:rPr>
        <w:footnoteReference w:id="770"/>
      </w:r>
    </w:p>
    <w:p>
      <w:pPr>
        <w:pStyle w:val="BodyText"/>
      </w:pPr>
      <w:r>
        <w:rPr>
          <w:i/>
          <w:iCs/>
        </w:rPr>
        <w:t xml:space="preserve">平等者有什么本分？</w:t>
      </w:r>
      <w:r>
        <w:br/>
      </w:r>
      <w:r>
        <w:t xml:space="preserve">答：平等者的本分是：看重彼此的尊严和价值，互相尊重，彼此谦让；以对方的恩赐和进步为乐，如同自己的一样。</w:t>
      </w:r>
      <w:r>
        <w:rPr>
          <w:rStyle w:val="FootnoteReference"/>
        </w:rPr>
        <w:footnoteReference w:id="771"/>
      </w:r>
    </w:p>
    <w:p>
      <w:pPr>
        <w:pStyle w:val="BodyText"/>
      </w:pPr>
      <w:r>
        <w:rPr>
          <w:i/>
          <w:iCs/>
        </w:rPr>
        <w:t xml:space="preserve">平等者有什么罪？</w:t>
      </w:r>
      <w:r>
        <w:br/>
      </w:r>
      <w:r>
        <w:t xml:space="preserve">答：平等者的罪除了疏忽当尽的本分外，还有轻看对方的价值，嫉妒对方的恩赐，因对方的进步或兴盛而忧愁；并且彼此争夺优越地位。</w:t>
      </w:r>
      <w:r>
        <w:rPr>
          <w:rStyle w:val="FootnoteReference"/>
        </w:rPr>
        <w:footnoteReference w:id="772"/>
      </w:r>
    </w:p>
    <w:p>
      <w:pPr>
        <w:pStyle w:val="BodyText"/>
      </w:pPr>
      <w:r>
        <w:rPr>
          <w:i/>
          <w:iCs/>
        </w:rPr>
        <w:t xml:space="preserve">第五条诫命附加什么理由来加强约束力？</w:t>
      </w:r>
      <w:r>
        <w:br/>
      </w:r>
      <w:r>
        <w:t xml:space="preserve">答：第五条诫命附加的理由在这些话中：</w:t>
      </w:r>
      <w:r>
        <w:t xml:space="preserve">‘</w:t>
      </w:r>
      <w:r>
        <w:t xml:space="preserve">使你的日子在耶和华你神所赐你的地上得以长久</w:t>
      </w:r>
      <w:r>
        <w:t xml:space="preserve">’</w:t>
      </w:r>
      <w:r>
        <w:t xml:space="preserve">，这是明确应许凡遵守这条诫命的人，在对神的荣耀和他们自己的益处有益的范围内，必得长寿和兴盛。</w:t>
      </w:r>
      <w:r>
        <w:rPr>
          <w:rStyle w:val="FootnoteReference"/>
        </w:rPr>
        <w:footnoteReference w:id="773"/>
      </w:r>
    </w:p>
    <w:p>
      <w:pPr>
        <w:pStyle w:val="BodyText"/>
      </w:pPr>
      <w:r>
        <w:rPr>
          <w:i/>
          <w:iCs/>
        </w:rPr>
        <w:t xml:space="preserve">第六条诫命是什么？</w:t>
      </w:r>
      <w:r>
        <w:br/>
      </w:r>
      <w:r>
        <w:t xml:space="preserve">答：第六条诫命是：不可杀人。</w:t>
      </w:r>
      <w:r>
        <w:rPr>
          <w:rStyle w:val="FootnoteReference"/>
        </w:rPr>
        <w:footnoteReference w:id="774"/>
      </w:r>
    </w:p>
    <w:p>
      <w:pPr>
        <w:pStyle w:val="BodyText"/>
      </w:pPr>
      <w:r>
        <w:rPr>
          <w:i/>
          <w:iCs/>
        </w:rPr>
        <w:t xml:space="preserve">第六条诫命要求什么本分？</w:t>
      </w:r>
      <w:r>
        <w:br/>
      </w:r>
      <w:r>
        <w:t xml:space="preserve">答：第六条诫命要求的本分是：以一切谨慎的思虑和合法的努力，通过抵制一切意念和目的，制服一切情欲，避免一切可能导致不义夺取任何人生命的机会、试探和行为，来保全自己和他人的生命；通过正当防卫抵御暴力，耐心承受神的手，心灵平静，精神愉快；适度使用饮食、药物、睡眠、劳动和娱乐；存仁爱的心思，有爱心、怜悯、温柔、和善、仁慈；说话和行为温和、温柔、有礼；忍耐、乐意和好、耐心承受并饶恕伤害，以善报恶；安慰帮助受困的人，保护维护无辜的人。</w:t>
      </w:r>
      <w:r>
        <w:rPr>
          <w:rStyle w:val="FootnoteReference"/>
        </w:rPr>
        <w:footnoteReference w:id="775"/>
      </w:r>
    </w:p>
    <w:p>
      <w:pPr>
        <w:pStyle w:val="BodyText"/>
      </w:pPr>
      <w:r>
        <w:rPr>
          <w:i/>
          <w:iCs/>
        </w:rPr>
        <w:t xml:space="preserve">第六条诫命禁止什么罪？</w:t>
      </w:r>
      <w:r>
        <w:br/>
      </w:r>
      <w:r>
        <w:t xml:space="preserve">答：第六条诫命禁止的罪是：除了公共司法、合法战争或必要防卫的情况外，一切夺取自己或他人的生命；忽视或拒绝使用合法和必要的保命方法；罪恶的愤怒、仇恨、嫉妒、报复的欲望；一切过度的情欲，令人分心的忧虑；过度使用饮食、劳动和娱乐；挑衅的言语；压迫、争吵、打击、伤害，以及一切倾向于毁灭任何人生命的事。</w:t>
      </w:r>
      <w:r>
        <w:rPr>
          <w:rStyle w:val="FootnoteReference"/>
        </w:rPr>
        <w:footnoteReference w:id="776"/>
      </w:r>
    </w:p>
    <w:p>
      <w:pPr>
        <w:pStyle w:val="BodyText"/>
      </w:pPr>
      <w:r>
        <w:rPr>
          <w:i/>
          <w:iCs/>
        </w:rPr>
        <w:t xml:space="preserve">第七条诫命是什么？</w:t>
      </w:r>
      <w:r>
        <w:br/>
      </w:r>
      <w:r>
        <w:t xml:space="preserve">答：第七条诫命是：不可奸淫。</w:t>
      </w:r>
      <w:r>
        <w:rPr>
          <w:rStyle w:val="FootnoteReference"/>
        </w:rPr>
        <w:footnoteReference w:id="777"/>
      </w:r>
    </w:p>
    <w:p>
      <w:pPr>
        <w:pStyle w:val="BodyText"/>
      </w:pPr>
      <w:r>
        <w:rPr>
          <w:i/>
          <w:iCs/>
        </w:rPr>
        <w:t xml:space="preserve">第七条诫命要求什么本分？</w:t>
      </w:r>
      <w:r>
        <w:br/>
      </w:r>
      <w:r>
        <w:t xml:space="preserve">答：第七条诫命要求的本分是：在身体、心思、情感、言语和行为上保持贞洁；在自己和他人身上保守这贞洁；谨守眼目和一切感官；有节制，结交贞洁的伙伴，衣着端庄；没有节制恩赐的人要结婚，夫妻相爱同居；殷勤做工尽本分；远避一切污秽的机会，抵挡这方面的试探。</w:t>
      </w:r>
      <w:r>
        <w:rPr>
          <w:rStyle w:val="FootnoteReference"/>
        </w:rPr>
        <w:footnoteReference w:id="778"/>
      </w:r>
    </w:p>
    <w:p>
      <w:pPr>
        <w:pStyle w:val="BodyText"/>
      </w:pPr>
      <w:r>
        <w:rPr>
          <w:i/>
          <w:iCs/>
        </w:rPr>
        <w:t xml:space="preserve">第七条诫命禁止什么罪？</w:t>
      </w:r>
      <w:r>
        <w:br/>
      </w:r>
      <w:r>
        <w:t xml:space="preserve">答：第七条诫命禁止的罪，除了疏忽当尽的本分外，还有奸淫、淫乱、强奸、乱伦、鸡奸和一切违反自然的情欲；一切污秽的想象、思想、目的和情感；一切败坏或污秽的交谈，或听这样的谈话；淫荡的眼神；放肆或轻浮的行为；不端庄的衣着；禁止合法的婚姻，容许不合法的婚姻；容许、纵容、开设妓院，或光顾妓院；立下单身的捆绑誓言；不当地推迟婚姻；同时有一个以上的妻子或丈夫；不义的离婚或遗弃；懒惰、贪食、醉酒、不贞洁的伙伴；淫荡的歌曲、书籍、图画、舞蹈、戏剧；一切其他导致自己或他人污秽的挑逗或行为。</w:t>
      </w:r>
      <w:r>
        <w:rPr>
          <w:rStyle w:val="FootnoteReference"/>
        </w:rPr>
        <w:footnoteReference w:id="779"/>
      </w:r>
    </w:p>
    <w:p>
      <w:pPr>
        <w:pStyle w:val="BodyText"/>
      </w:pPr>
      <w:r>
        <w:rPr>
          <w:i/>
          <w:iCs/>
        </w:rPr>
        <w:t xml:space="preserve">第八条诫命是什么？</w:t>
      </w:r>
      <w:r>
        <w:br/>
      </w:r>
      <w:r>
        <w:t xml:space="preserve">答：第八条诫命是：不可偷盗。</w:t>
      </w:r>
      <w:r>
        <w:rPr>
          <w:rStyle w:val="FootnoteReference"/>
        </w:rPr>
        <w:footnoteReference w:id="780"/>
      </w:r>
    </w:p>
    <w:p>
      <w:pPr>
        <w:pStyle w:val="BodyText"/>
      </w:pPr>
      <w:r>
        <w:rPr>
          <w:i/>
          <w:iCs/>
        </w:rPr>
        <w:t xml:space="preserve">第八条诫命要求什么本分？</w:t>
      </w:r>
      <w:r>
        <w:br/>
      </w:r>
      <w:r>
        <w:t xml:space="preserve">答：第八条诫命要求的本分是：在人与人之间的契约和商业往来中要诚实、信实和公正；给予各人应得的；归还非法扣留的物品给合法的主人；按我们的能力和他人的需要自由地施予和借贷；在对世物的判断、意愿和感情上要有节制；谨慎地获取、保管、使用和处置那些维持我们生命所必需和便利，且适合我们处境的东西；要有合法的职业，并殷勤从事；节俭；避免不必要的诉讼、担保或类似的约定；用一切公正合法的方法，努力获取、保全并增进他人和我们自己的财富和外在产业。</w:t>
      </w:r>
      <w:r>
        <w:rPr>
          <w:rStyle w:val="FootnoteReference"/>
        </w:rPr>
        <w:footnoteReference w:id="781"/>
      </w:r>
    </w:p>
    <w:p>
      <w:pPr>
        <w:pStyle w:val="BodyText"/>
      </w:pPr>
      <w:r>
        <w:rPr>
          <w:i/>
          <w:iCs/>
        </w:rPr>
        <w:t xml:space="preserve">第八条诫命禁止什么罪？</w:t>
      </w:r>
      <w:r>
        <w:br/>
      </w:r>
      <w:r>
        <w:t xml:space="preserve">答：第八条诫命禁止的罪，除了疏忽当尽的本分外，还有偷窃、抢劫、拐卖人口和接收赃物；欺诈交易；使用假的度量衡；挪移地界；在人与人之间的契约或信托事务中不公正和不忠实；压迫；勒索；高利贷；贿赂；无理取闹的诉讼；不公正的圈地和驱逐居民；囤积商品抬高价格，非法职业，以及一切其他不公正或有罪的方式夺取或扣留邻舍的财物，或使自己富足；贪婪；过分重视和迷恋世物；在获取、保管和使用财物上不信靠和分心的忧虑和追求；嫉妒他人的兴盛；还有懒惰、挥霍、浪费性的赌博；以及一切其他不当损害我们自己外在产业，亏负神所赐给我们产业的正当使用和安慰的方式。</w:t>
      </w:r>
      <w:r>
        <w:rPr>
          <w:rStyle w:val="FootnoteReference"/>
        </w:rPr>
        <w:footnoteReference w:id="782"/>
      </w:r>
    </w:p>
    <w:p>
      <w:pPr>
        <w:pStyle w:val="BodyText"/>
      </w:pPr>
      <w:r>
        <w:rPr>
          <w:i/>
          <w:iCs/>
        </w:rPr>
        <w:t xml:space="preserve">第九条诫命是什么？</w:t>
      </w:r>
      <w:r>
        <w:br/>
      </w:r>
      <w:r>
        <w:t xml:space="preserve">答：第九条诫命是：不可作假见证陷害人。</w:t>
      </w:r>
      <w:r>
        <w:rPr>
          <w:rStyle w:val="FootnoteReference"/>
        </w:rPr>
        <w:footnoteReference w:id="783"/>
      </w:r>
    </w:p>
    <w:p>
      <w:pPr>
        <w:pStyle w:val="BodyText"/>
      </w:pPr>
      <w:r>
        <w:rPr>
          <w:i/>
          <w:iCs/>
        </w:rPr>
        <w:t xml:space="preserve">第九条诫命要求什么本分？</w:t>
      </w:r>
      <w:r>
        <w:br/>
      </w:r>
      <w:r>
        <w:t xml:space="preserve">答：第九条诫命要求的本分是：在人与人之间维护并促进真理，维护邻舍和我们自己的名声；为真理挺身而出；从内心诚实、自由、清楚、完全地说真话，在审判和司法事务上以及在其他任何事上都只说真话；善意地看待邻舍；爱护、期望并为他们的好名声欢喜；为他们的软弱忧愁并遮掩；自由承认他们的恩赐和美德，维护他们的清白；乐意接受关于他们的好消息，不愿接受关于他们的坏消息；制止搬弄是非的人、奉承者和诽谤者；爱护并关心自己的名声，在需要时为之辩护；遵守合法的承诺；研究并实践一切真实、诚实、可爱和有好名声的事。</w:t>
      </w:r>
      <w:r>
        <w:rPr>
          <w:rStyle w:val="FootnoteReference"/>
        </w:rPr>
        <w:footnoteReference w:id="784"/>
      </w:r>
    </w:p>
    <w:p>
      <w:pPr>
        <w:pStyle w:val="BodyText"/>
      </w:pPr>
      <w:r>
        <w:rPr>
          <w:i/>
          <w:iCs/>
        </w:rPr>
        <w:t xml:space="preserve">第九条诫命禁止什么罪？</w:t>
      </w:r>
      <w:r>
        <w:br/>
      </w:r>
      <w:r>
        <w:t xml:space="preserve">答：第九条诫命禁止的罪是：一切损害真理和邻舍及我们自己名声的行为，特别是在公共审判中；作伪证；收买假见证人；明知故犯地为邪恶的事辩护；抵制和压制真理；作出不公的判决；称恶为善，称善为恶；按义人的工报应恶人，按恶人的工报应义人；伪造；隐瞒真相；在正当的事上不当沉默，当罪恶需要我们责备或向他人控告时保持沉默；不合时宜地说真话，或恶意地为错误的目的说真话，或曲解其意义，或用模棱两可的表达来损害真理或正义；说谎、诽谤、背后说人、贬低、搬弄是非、暗中诋毁、嘲笑、辱骂、轻率、苛刻和偏私的论断；曲解他人的意图、言语和行为；奉承、虚荣的夸耀、过分高估或轻视自己或他人；否认神的恩赐和恩典；夸大小过；当需要坦白认罪时隐藏、推诿或减轻罪过；不必要地揭露软弱；散布谣言，接受并支持坏消息，对正当的辩护充耳不闻；恶意猜疑；嫉妒或因他人应得的称赞而忧愁，设法或企图损害它，因他人的耻辱和丑闻而欢喜；轻蔑；盲目崇拜；违背合法的承诺；忽视有好名声的事；行或不避免，或不阻止我们所能阻止的在他人身上会招致恶名的事。</w:t>
      </w:r>
      <w:r>
        <w:rPr>
          <w:rStyle w:val="FootnoteReference"/>
        </w:rPr>
        <w:footnoteReference w:id="785"/>
      </w:r>
    </w:p>
    <w:p>
      <w:pPr>
        <w:pStyle w:val="BodyText"/>
      </w:pPr>
      <w:r>
        <w:rPr>
          <w:i/>
          <w:iCs/>
        </w:rPr>
        <w:t xml:space="preserve">第十条诫命是什么？</w:t>
      </w:r>
      <w:r>
        <w:br/>
      </w:r>
      <w:r>
        <w:t xml:space="preserve">答：第十条诫命是：不可贪恋人的房屋，也不可贪恋人的妻子、仆婢、牛驴，并他一切所有的。</w:t>
      </w:r>
      <w:r>
        <w:rPr>
          <w:rStyle w:val="FootnoteReference"/>
        </w:rPr>
        <w:footnoteReference w:id="786"/>
      </w:r>
    </w:p>
    <w:p>
      <w:pPr>
        <w:pStyle w:val="BodyText"/>
      </w:pPr>
      <w:r>
        <w:rPr>
          <w:i/>
          <w:iCs/>
        </w:rPr>
        <w:t xml:space="preserve">第十条诫命要求什么本分？</w:t>
      </w:r>
      <w:r>
        <w:br/>
      </w:r>
      <w:r>
        <w:t xml:space="preserve">答：第十条诫命要求的本分是：对自己的处境完全知足，对邻舍存全然仁爱的心，使我们一切关于他的内在动机和情感都倾向于并促进他一切的好处。</w:t>
      </w:r>
      <w:r>
        <w:rPr>
          <w:rStyle w:val="FootnoteReference"/>
        </w:rPr>
        <w:footnoteReference w:id="787"/>
      </w:r>
    </w:p>
    <w:p>
      <w:pPr>
        <w:pStyle w:val="BodyText"/>
      </w:pPr>
      <w:r>
        <w:rPr>
          <w:i/>
          <w:iCs/>
        </w:rPr>
        <w:t xml:space="preserve">第十条诫命禁止什么罪？</w:t>
      </w:r>
      <w:r>
        <w:br/>
      </w:r>
      <w:r>
        <w:t xml:space="preserve">答：第十条诫命禁止的罪是：对自己的境况不满；嫉妒并因邻舍的好处忧愁，以及一切对他所有之物不当的动机和情感。</w:t>
      </w:r>
      <w:r>
        <w:rPr>
          <w:rStyle w:val="FootnoteReference"/>
        </w:rPr>
        <w:footnoteReference w:id="788"/>
      </w:r>
    </w:p>
    <w:p>
      <w:pPr>
        <w:pStyle w:val="BodyText"/>
      </w:pPr>
      <w:r>
        <w:rPr>
          <w:i/>
          <w:iCs/>
        </w:rPr>
        <w:t xml:space="preserve">有人能完全遵守神的诫命吗？</w:t>
      </w:r>
      <w:r>
        <w:br/>
      </w:r>
      <w:r>
        <w:t xml:space="preserve">答：没有人能凭自己，或靠今生所领受的任何恩典完全遵守神的诫命；反倒天天在思想、言语和行为上违背它们。</w:t>
      </w:r>
      <w:r>
        <w:rPr>
          <w:rStyle w:val="FootnoteReference"/>
        </w:rPr>
        <w:footnoteReference w:id="789"/>
      </w:r>
    </w:p>
    <w:p>
      <w:pPr>
        <w:pStyle w:val="BodyText"/>
      </w:pPr>
      <w:r>
        <w:rPr>
          <w:i/>
          <w:iCs/>
        </w:rPr>
        <w:t xml:space="preserve">违背神律法的罪在本质上并在神眼中都同样可憎吗？</w:t>
      </w:r>
      <w:r>
        <w:br/>
      </w:r>
      <w:r>
        <w:t xml:space="preserve">答：违背神律法的罪并非都同样可憎；有些罪在本质上，并因着各种加重情节，在神眼中比其他的更为可憎。</w:t>
      </w:r>
      <w:r>
        <w:rPr>
          <w:rStyle w:val="FootnoteReference"/>
        </w:rPr>
        <w:footnoteReference w:id="790"/>
      </w:r>
    </w:p>
    <w:p>
      <w:pPr>
        <w:pStyle w:val="BodyText"/>
      </w:pPr>
      <w:r>
        <w:rPr>
          <w:i/>
          <w:iCs/>
        </w:rPr>
        <w:t xml:space="preserve">什么样的加重情节使某些罪比其他的更可憎？</w:t>
      </w:r>
      <w:r>
        <w:br/>
      </w:r>
      <w:r>
        <w:t xml:space="preserve">答：罪的加重情节来自：</w:t>
      </w:r>
      <w:r>
        <w:rPr>
          <w:rStyle w:val="FootnoteReference"/>
        </w:rPr>
        <w:footnoteReference w:id="791"/>
      </w:r>
      <w:r>
        <w:rPr>
          <w:rStyle w:val="FootnoteReference"/>
        </w:rPr>
        <w:footnoteReference w:id="792"/>
      </w:r>
      <w:r>
        <w:rPr>
          <w:rStyle w:val="FootnoteReference"/>
        </w:rPr>
        <w:footnoteReference w:id="793"/>
      </w:r>
      <w:r>
        <w:rPr>
          <w:rStyle w:val="FootnoteReference"/>
        </w:rPr>
        <w:footnoteReference w:id="794"/>
      </w:r>
    </w:p>
    <w:p>
      <w:pPr>
        <w:pStyle w:val="FirstParagraph"/>
      </w:pPr>
      <w:r>
        <w:rPr>
          <w:i/>
          <w:iCs/>
        </w:rPr>
        <w:t xml:space="preserve">每一种罪在神面前当受什么？</w:t>
      </w:r>
      <w:r>
        <w:br/>
      </w:r>
      <w:r>
        <w:t xml:space="preserve">答：每一种罪，即使是最小的，因为违背神的主权、良善和圣洁，违背他公义的律法，就当受他今生和来世的忿怒与咒诅；除了基督的宝血，没有什么能补赎。</w:t>
      </w:r>
      <w:r>
        <w:rPr>
          <w:rStyle w:val="FootnoteReference"/>
        </w:rPr>
        <w:footnoteReference w:id="795"/>
      </w:r>
    </w:p>
    <w:p>
      <w:pPr>
        <w:pStyle w:val="BodyText"/>
      </w:pPr>
      <w:r>
        <w:rPr>
          <w:i/>
          <w:iCs/>
        </w:rPr>
        <w:t xml:space="preserve">神要求我们做什么，使我们可以逃避因违背律法而当受的忿怒和咒诅？</w:t>
      </w:r>
      <w:r>
        <w:br/>
      </w:r>
      <w:r>
        <w:t xml:space="preserve">答：为使我们可以逃避因违背律法而当受的神的忿怒和咒诅，他要求我们向神悔改，信靠我们的主耶稣基督，殷勤使用基督藉以将他中保之功的益处传递给我们的外在途径。</w:t>
      </w:r>
      <w:r>
        <w:rPr>
          <w:rStyle w:val="FootnoteReference"/>
        </w:rPr>
        <w:footnoteReference w:id="796"/>
      </w:r>
    </w:p>
    <w:p>
      <w:pPr>
        <w:pStyle w:val="BodyText"/>
      </w:pPr>
      <w:r>
        <w:rPr>
          <w:i/>
          <w:iCs/>
        </w:rPr>
        <w:t xml:space="preserve">基督藉着什么外在途径将他中保之功的益处传递给我们？</w:t>
      </w:r>
      <w:r>
        <w:br/>
      </w:r>
      <w:r>
        <w:t xml:space="preserve">答：基督藉以将他中保之功的益处传递给他教会的外在和普通途径，是他的一切规条；特别是圣道、圣礼和祷告：这一切对选民都是有效的，使他们得救。</w:t>
      </w:r>
      <w:r>
        <w:rPr>
          <w:rStyle w:val="FootnoteReference"/>
        </w:rPr>
        <w:footnoteReference w:id="797"/>
      </w:r>
    </w:p>
    <w:p>
      <w:pPr>
        <w:pStyle w:val="BodyText"/>
      </w:pPr>
      <w:r>
        <w:rPr>
          <w:i/>
          <w:iCs/>
        </w:rPr>
        <w:t xml:space="preserve">圣道如何对得救有效？</w:t>
      </w:r>
      <w:r>
        <w:br/>
      </w:r>
      <w:r>
        <w:t xml:space="preserve">答：神的灵使人诵读，特别是宣讲圣道，成为有效的途径，使罪人得着光照、知罪和谦卑；使他们脱离自我，吸引他们归向基督；使他们效法他的形像，降服于他的旨意；坚固他们抵挡试探和败坏；在恩典中建立他们，使他们的心因信得救在圣洁和安慰中坚立。</w:t>
      </w:r>
      <w:r>
        <w:rPr>
          <w:rStyle w:val="FootnoteReference"/>
        </w:rPr>
        <w:footnoteReference w:id="798"/>
      </w:r>
    </w:p>
    <w:p>
      <w:pPr>
        <w:pStyle w:val="BodyText"/>
      </w:pPr>
      <w:r>
        <w:rPr>
          <w:i/>
          <w:iCs/>
        </w:rPr>
        <w:t xml:space="preserve">神的话是否人人都当诵读？</w:t>
      </w:r>
      <w:r>
        <w:br/>
      </w:r>
      <w:r>
        <w:t xml:space="preserve">答：虽然不是人人都可以在会众面前公开诵读圣道，但各种人都有责任私下自己诵读，也要在家庭中诵读：为此目的，圣经要从原文翻译成通用的语言。</w:t>
      </w:r>
      <w:r>
        <w:rPr>
          <w:rStyle w:val="FootnoteReference"/>
        </w:rPr>
        <w:footnoteReference w:id="799"/>
      </w:r>
    </w:p>
    <w:p>
      <w:pPr>
        <w:pStyle w:val="BodyText"/>
      </w:pPr>
      <w:r>
        <w:rPr>
          <w:i/>
          <w:iCs/>
        </w:rPr>
        <w:t xml:space="preserve">应当如何诵读神的话？</w:t>
      </w:r>
      <w:r>
        <w:br/>
      </w:r>
      <w:r>
        <w:t xml:space="preserve">答：诵读圣经要极其尊重地珍视；要坚信这是神的话；也要确信唯有他能使我们明白；要渴望认识、相信并顺服其中所启示的神的旨意；要殷勤并专注于其内容和范围；要默想、应用、克己和祷告。</w:t>
      </w:r>
      <w:r>
        <w:rPr>
          <w:rStyle w:val="FootnoteReference"/>
        </w:rPr>
        <w:footnoteReference w:id="800"/>
      </w:r>
    </w:p>
    <w:p>
      <w:pPr>
        <w:pStyle w:val="BodyText"/>
      </w:pPr>
      <w:r>
        <w:rPr>
          <w:i/>
          <w:iCs/>
        </w:rPr>
        <w:t xml:space="preserve">谁可以讲道？</w:t>
      </w:r>
      <w:r>
        <w:br/>
      </w:r>
      <w:r>
        <w:t xml:space="preserve">答：只有那些有足够恩赐，并经过适当认可和蒙召担任这职分的人才可以讲道。</w:t>
      </w:r>
      <w:r>
        <w:rPr>
          <w:rStyle w:val="FootnoteReference"/>
        </w:rPr>
        <w:footnoteReference w:id="801"/>
      </w:r>
    </w:p>
    <w:p>
      <w:pPr>
        <w:pStyle w:val="BodyText"/>
      </w:pPr>
      <w:r>
        <w:rPr>
          <w:i/>
          <w:iCs/>
        </w:rPr>
        <w:t xml:space="preserve">蒙召的人应当如何讲道？</w:t>
      </w:r>
      <w:r>
        <w:br/>
      </w:r>
      <w:r>
        <w:t xml:space="preserve">答：蒙召在圣道的职事上劳苦的人要讲纯正的道理，要殷勤，无论得时不得时；要明白，不用人的智慧委婉的言语，乃是用圣灵和大能的明证；要忠心，将神的全部旨意表明；要有智慧，按照听众的需要和领受能力；要热心，以炽热的爱爱神和他百姓的灵魂；要真诚，以神的荣耀和他们的归正、造就、得救为目标。</w:t>
      </w:r>
      <w:r>
        <w:rPr>
          <w:rStyle w:val="FootnoteReference"/>
        </w:rPr>
        <w:footnoteReference w:id="802"/>
      </w:r>
    </w:p>
    <w:p>
      <w:pPr>
        <w:pStyle w:val="BodyText"/>
      </w:pPr>
      <w:r>
        <w:rPr>
          <w:i/>
          <w:iCs/>
        </w:rPr>
        <w:t xml:space="preserve">听道的人当尽什么本分？</w:t>
      </w:r>
      <w:r>
        <w:br/>
      </w:r>
      <w:r>
        <w:t xml:space="preserve">答：听道的人当殷勤、预备并祷告地专心听道；用圣经察验所听的；以信心、爱心、温柔和预备的心领受真理，视之为神的话；默想并讨论；存记在心，在生活中结出果子。</w:t>
      </w:r>
      <w:r>
        <w:rPr>
          <w:rStyle w:val="FootnoteReference"/>
        </w:rPr>
        <w:footnoteReference w:id="803"/>
      </w:r>
    </w:p>
    <w:p>
      <w:pPr>
        <w:pStyle w:val="BodyText"/>
      </w:pPr>
      <w:r>
        <w:rPr>
          <w:i/>
          <w:iCs/>
        </w:rPr>
        <w:t xml:space="preserve">圣礼如何成为有效的得救途径？</w:t>
      </w:r>
      <w:r>
        <w:br/>
      </w:r>
      <w:r>
        <w:t xml:space="preserve">答：圣礼成为有效的得救途径，不是因其本身有任何能力，也不是因施行者的虔诚或意向而有任何功效；而是唯独藉着圣灵的工作，和设立圣礼之基督的祝福。</w:t>
      </w:r>
      <w:r>
        <w:rPr>
          <w:rStyle w:val="FootnoteReference"/>
        </w:rPr>
        <w:footnoteReference w:id="804"/>
      </w:r>
    </w:p>
    <w:p>
      <w:pPr>
        <w:pStyle w:val="BodyText"/>
      </w:pPr>
      <w:r>
        <w:rPr>
          <w:i/>
          <w:iCs/>
        </w:rPr>
        <w:t xml:space="preserve">什么是圣礼？</w:t>
      </w:r>
      <w:r>
        <w:br/>
      </w:r>
      <w:r>
        <w:t xml:space="preserve">答：圣礼是基督在他的教会中设立的圣洁规条，为要向恩典之约中的人表明、印证并显明他中保之功的益处；坚固并增进他们的信心和其他一切恩典；约束他们顺服；见证并培养他们彼此的爱心和相交；并使他们与教会以外的人有别。</w:t>
      </w:r>
      <w:r>
        <w:rPr>
          <w:rStyle w:val="FootnoteReference"/>
        </w:rPr>
        <w:footnoteReference w:id="805"/>
      </w:r>
    </w:p>
    <w:p>
      <w:pPr>
        <w:pStyle w:val="BodyText"/>
      </w:pPr>
      <w:r>
        <w:rPr>
          <w:i/>
          <w:iCs/>
        </w:rPr>
        <w:t xml:space="preserve">圣礼包含什么部分？</w:t>
      </w:r>
      <w:r>
        <w:br/>
      </w:r>
      <w:r>
        <w:t xml:space="preserve">答：圣礼包含两个部分：一是按基督的设立所使用的外在可见的记号；另一是由此所表明的内在属灵的恩典。</w:t>
      </w:r>
      <w:r>
        <w:rPr>
          <w:rStyle w:val="FootnoteReference"/>
        </w:rPr>
        <w:footnoteReference w:id="806"/>
      </w:r>
    </w:p>
    <w:p>
      <w:pPr>
        <w:pStyle w:val="BodyText"/>
      </w:pPr>
      <w:r>
        <w:rPr>
          <w:i/>
          <w:iCs/>
        </w:rPr>
        <w:t xml:space="preserve">基督在新约的教会中设立了几个圣礼？</w:t>
      </w:r>
      <w:r>
        <w:br/>
      </w:r>
      <w:r>
        <w:t xml:space="preserve">答：基督在新约的教会中只设立了两个圣礼，就是洗礼和圣餐。</w:t>
      </w:r>
      <w:r>
        <w:rPr>
          <w:rStyle w:val="FootnoteReference"/>
        </w:rPr>
        <w:footnoteReference w:id="807"/>
      </w:r>
    </w:p>
    <w:p>
      <w:pPr>
        <w:pStyle w:val="BodyText"/>
      </w:pPr>
      <w:r>
        <w:rPr>
          <w:i/>
          <w:iCs/>
        </w:rPr>
        <w:t xml:space="preserve">什么是洗礼？</w:t>
      </w:r>
      <w:r>
        <w:br/>
      </w:r>
      <w:r>
        <w:t xml:space="preserve">答：洗礼是新约的圣礼，基督在其中设立奉父、子、圣灵的名用水施洗，作为我们与他联合、因他的血得赦罪、因他的灵得重生的记号和印证；也表明得儿子的名分和复活得永生；藉此受洗的人庄严地被接纳进入有形教会，公开承诺完全唯独属主。</w:t>
      </w:r>
      <w:r>
        <w:rPr>
          <w:rStyle w:val="FootnoteReference"/>
        </w:rPr>
        <w:footnoteReference w:id="808"/>
      </w:r>
    </w:p>
    <w:p>
      <w:pPr>
        <w:pStyle w:val="BodyText"/>
      </w:pPr>
      <w:r>
        <w:rPr>
          <w:i/>
          <w:iCs/>
        </w:rPr>
        <w:t xml:space="preserve">应当给谁施洗？</w:t>
      </w:r>
      <w:r>
        <w:br/>
      </w:r>
      <w:r>
        <w:t xml:space="preserve">答：不可给那些在有形教会以外，与应许之约无分的人施洗，直到他们承认信靠基督并顺服他；但父母双方或一方承认信靠基督并顺服他的婴孩，就在这方面属于圣约之内，应当受洗。</w:t>
      </w:r>
      <w:r>
        <w:rPr>
          <w:rStyle w:val="FootnoteReference"/>
        </w:rPr>
        <w:footnoteReference w:id="809"/>
      </w:r>
    </w:p>
    <w:p>
      <w:pPr>
        <w:pStyle w:val="BodyText"/>
      </w:pPr>
      <w:r>
        <w:rPr>
          <w:i/>
          <w:iCs/>
        </w:rPr>
        <w:t xml:space="preserve">我们当如何善用我们的洗礼？</w:t>
      </w:r>
      <w:r>
        <w:br/>
      </w:r>
      <w:r>
        <w:t xml:space="preserve">答：善用我们洗礼的责任是必要的却常被忽视，我们要终身履行这责任，特别是在受试探的时候，以及在场见证他人受洗时，要认真感恩地思想洗礼的本质，基督设立它的目的，藉此所赐予和印证的特权和益处，以及我们在其中所立的庄严誓约；为我们罪的污秽，未能达到并违背洗礼的恩典和我们的承诺而谦卑；在罪得赦免的确据上长进，并在这圣礼中印证给我们的一切其他福分上长进；从我们所受洗归入的基督的死和复活中得力量，以治死罪恶，使恩典活跃；并努力凭信心而活，在圣洁和公义中为人，如同已将名字献给基督的人；在弟兄之爱中行事，因为是受同一位圣灵的洗归入一个身体。</w:t>
      </w:r>
      <w:r>
        <w:rPr>
          <w:rStyle w:val="FootnoteReference"/>
        </w:rPr>
        <w:footnoteReference w:id="810"/>
      </w:r>
    </w:p>
    <w:p>
      <w:pPr>
        <w:pStyle w:val="BodyText"/>
      </w:pPr>
      <w:r>
        <w:rPr>
          <w:i/>
          <w:iCs/>
        </w:rPr>
        <w:t xml:space="preserve">什么是圣餐？</w:t>
      </w:r>
      <w:r>
        <w:br/>
      </w:r>
      <w:r>
        <w:t xml:space="preserve">答：圣餐是新约的圣礼，在其中按照耶稣基督的设立分发和领受饼和酒，显明他的死；配领圣餐的人以此领受他的身体和血，得着属灵的滋养和恩典上的成长；坚固他们与他的联合和相交；见证并更新他们对神的感恩和委身，以及作为同一奥秘身体的肢体彼此的爱心和团契。</w:t>
      </w:r>
      <w:r>
        <w:rPr>
          <w:rStyle w:val="FootnoteReference"/>
        </w:rPr>
        <w:footnoteReference w:id="811"/>
      </w:r>
    </w:p>
    <w:p>
      <w:pPr>
        <w:pStyle w:val="BodyText"/>
      </w:pPr>
      <w:r>
        <w:rPr>
          <w:i/>
          <w:iCs/>
        </w:rPr>
        <w:t xml:space="preserve">基督如何设立在圣餐中分发和领受饼和酒？</w:t>
      </w:r>
      <w:r>
        <w:br/>
      </w:r>
      <w:r>
        <w:t xml:space="preserve">答：基督设立他话语的执事在施行圣餐时，藉着设立的话语、感恩和祷告，将饼和酒从普通用途分别出来；擘饼，将饼和酒都分给领受的人：领受的人按照同样的设立，拿饼吃，喝酒，感恩记念基督的身体为他们擘开并舍去，他的血为他们流出。</w:t>
      </w:r>
      <w:r>
        <w:rPr>
          <w:rStyle w:val="FootnoteReference"/>
        </w:rPr>
        <w:footnoteReference w:id="812"/>
      </w:r>
    </w:p>
    <w:p>
      <w:pPr>
        <w:pStyle w:val="BodyText"/>
      </w:pPr>
      <w:r>
        <w:rPr>
          <w:i/>
          <w:iCs/>
        </w:rPr>
        <w:t xml:space="preserve">配领圣餐的人如何在其中领受基督的身体和血？</w:t>
      </w:r>
      <w:r>
        <w:br/>
      </w:r>
      <w:r>
        <w:t xml:space="preserve">答：基督的身体和血并非实体或肉身地存在于圣餐的饼和酒之中、之上或之下；然而对领受者的信心而言是属灵地同在，其真实性不亚于这些饼和酒对他们外在感官的真实；因此，配领圣餐的人在其中领受基督的身体和血，不是实体或肉身的方式，而是属灵的方式；然而是真实的，因为他们凭信心领受并将钉十字架的基督和他受死的一切益处应用在自己身上。</w:t>
      </w:r>
      <w:r>
        <w:rPr>
          <w:rStyle w:val="FootnoteReference"/>
        </w:rPr>
        <w:footnoteReference w:id="813"/>
      </w:r>
    </w:p>
    <w:p>
      <w:pPr>
        <w:pStyle w:val="BodyText"/>
      </w:pPr>
      <w:r>
        <w:rPr>
          <w:i/>
          <w:iCs/>
        </w:rPr>
        <w:t xml:space="preserve">领受圣餐的人在来之前当如何预备自己？</w:t>
      </w:r>
      <w:r>
        <w:br/>
      </w:r>
      <w:r>
        <w:t xml:space="preserve">答：领受圣餐的人在来之前当预备自己，省察自己是否在基督里；省察自己的罪和缺乏；省察自己知识、信心、悔改、对神和弟兄的爱、对众人的慈爱、饶恕得罪自己之人的真实性和程度；省察自己对基督的渴慕和新的顺服；并藉着认真默想和热切祷告，更新这些恩典的操练。</w:t>
      </w:r>
      <w:r>
        <w:rPr>
          <w:rStyle w:val="FootnoteReference"/>
        </w:rPr>
        <w:footnoteReference w:id="814"/>
      </w:r>
    </w:p>
    <w:p>
      <w:pPr>
        <w:pStyle w:val="BodyText"/>
      </w:pPr>
      <w:r>
        <w:rPr>
          <w:i/>
          <w:iCs/>
        </w:rPr>
        <w:t xml:space="preserve">怀疑自己是否在基督里，或是否作了适当预备的人可以来领圣餐吗？</w:t>
      </w:r>
      <w:r>
        <w:br/>
      </w:r>
      <w:r>
        <w:t xml:space="preserve">答：怀疑自己是否在基督里，或是否为圣餐作了适当预备的人，虽然还没有这样的确据，但可能真实有分于基督；如果他适当地感受到缺乏这确据，真诚地渴望在基督里被寻见，并离开罪恶，在神看来就是有分的：在这种情况下（因为应许已经作出，这圣礼也是为软弱怀疑的基督徒设立的），他当为自己的不信哀痛，努力解决自己的疑惑；这样行，他就可以也应当来领圣餐，使他可以得着进一步的坚固。</w:t>
      </w:r>
      <w:r>
        <w:rPr>
          <w:rStyle w:val="FootnoteReference"/>
        </w:rPr>
        <w:footnoteReference w:id="815"/>
      </w:r>
    </w:p>
    <w:p>
      <w:pPr>
        <w:pStyle w:val="BodyText"/>
      </w:pPr>
      <w:r>
        <w:rPr>
          <w:i/>
          <w:iCs/>
        </w:rPr>
        <w:t xml:space="preserve">凡承认信仰并愿意来领圣餐的人都可以被拒绝吗？</w:t>
      </w:r>
      <w:r>
        <w:br/>
      </w:r>
      <w:r>
        <w:t xml:space="preserve">答：那些被发现是无知或行为不检点的人，尽管他们承认信仰并愿意来领圣餐，基督所赐给他教会的权柄可以也应当拒绝他们领受这圣礼，直到他们接受教导，并表现出改正。</w:t>
      </w:r>
      <w:r>
        <w:rPr>
          <w:rStyle w:val="FootnoteReference"/>
        </w:rPr>
        <w:footnoteReference w:id="816"/>
      </w:r>
    </w:p>
    <w:p>
      <w:pPr>
        <w:pStyle w:val="BodyText"/>
      </w:pPr>
      <w:r>
        <w:rPr>
          <w:i/>
          <w:iCs/>
        </w:rPr>
        <w:t xml:space="preserve">领受圣餐的人在领受时当尽什么本分？</w:t>
      </w:r>
      <w:r>
        <w:br/>
      </w:r>
      <w:r>
        <w:t xml:space="preserve">答：领受圣餐的人在领受时，当以完全的圣洁敬畏和专注等候神的这项规条，殷勤观察圣礼的饼酒和行动，谨慎分辨主的身体，深情默想他的受死和苦难，由此激发自己积极操练恩典；省察自己并为罪忧伤；切切渴慕基督，凭信心领受他，得着他的丰盛，信靠他的功劳，因他的爱喜乐，为他的恩典感恩；更新与神所立的约，以及对众圣徒的爱。</w:t>
      </w:r>
      <w:r>
        <w:rPr>
          <w:rStyle w:val="FootnoteReference"/>
        </w:rPr>
        <w:footnoteReference w:id="817"/>
      </w:r>
    </w:p>
    <w:p>
      <w:pPr>
        <w:pStyle w:val="BodyText"/>
      </w:pPr>
      <w:r>
        <w:rPr>
          <w:i/>
          <w:iCs/>
        </w:rPr>
        <w:t xml:space="preserve">基督徒领受圣餐后有什么本分？</w:t>
      </w:r>
      <w:r>
        <w:br/>
      </w:r>
      <w:r>
        <w:t xml:space="preserve">答：基督徒领受圣餐后的本分是认真思考自己在其中的表现如何，有什么果效；如果发现得着复兴和安慰，就当为此感谢神，祈求继续保守，警惕退后，履行誓言，鼓励自己常常参加这圣礼；但如果发现没有立即的益处，就当更仔细检讨自己的预备和领受时的态度；如果在这两方面都能在神和自己的良心面前称许，就当耐心等候其果效；但如果看到在任何一方面有亏欠，就当谦卑，以后要更加谨慎殷勤地参加。</w:t>
      </w:r>
      <w:r>
        <w:rPr>
          <w:rStyle w:val="FootnoteReference"/>
        </w:rPr>
        <w:footnoteReference w:id="818"/>
      </w:r>
    </w:p>
    <w:p>
      <w:pPr>
        <w:pStyle w:val="BodyText"/>
      </w:pPr>
      <w:r>
        <w:rPr>
          <w:i/>
          <w:iCs/>
        </w:rPr>
        <w:t xml:space="preserve">洗礼和圣餐这两个圣礼有什么共同之处？</w:t>
      </w:r>
      <w:r>
        <w:br/>
      </w:r>
      <w:r>
        <w:t xml:space="preserve">答：洗礼和圣餐这两个圣礼的共同之处是：两者的设立者都是神；两者的属灵部分都是基督和他的益处；两者都是同一个约的印记，都要由福音的执事施行而非他人；并且要在基督的教会中持续到他再来。</w:t>
      </w:r>
      <w:r>
        <w:rPr>
          <w:rStyle w:val="FootnoteReference"/>
        </w:rPr>
        <w:footnoteReference w:id="819"/>
      </w:r>
    </w:p>
    <w:p>
      <w:pPr>
        <w:pStyle w:val="BodyText"/>
      </w:pPr>
      <w:r>
        <w:rPr>
          <w:i/>
          <w:iCs/>
        </w:rPr>
        <w:t xml:space="preserve">洗礼和圣餐这两个圣礼有什么区别？</w:t>
      </w:r>
      <w:r>
        <w:br/>
      </w:r>
      <w:r>
        <w:t xml:space="preserve">答：洗礼和圣餐这两个圣礼的区别是：洗礼只施行一次，用水作为我们重生并与基督联合的记号和印记，连婴孩都可以受洗；而圣餐要常常施行，用饼和酒作为象征，表明并显明基督是灵魂的属灵粮食，并坚固我们在他里面持续和成长，只限于那些有年龄和能力省察自己的人。</w:t>
      </w:r>
      <w:r>
        <w:rPr>
          <w:rStyle w:val="FootnoteReference"/>
        </w:rPr>
        <w:footnoteReference w:id="820"/>
      </w:r>
    </w:p>
    <w:p>
      <w:pPr>
        <w:pStyle w:val="BodyText"/>
      </w:pPr>
      <w:r>
        <w:rPr>
          <w:i/>
          <w:iCs/>
        </w:rPr>
        <w:t xml:space="preserve">什么是祷告？</w:t>
      </w:r>
      <w:r>
        <w:br/>
      </w:r>
      <w:r>
        <w:t xml:space="preserve">答：祷告是奉基督的名，靠着他的灵的帮助，将我们的心愿献给神；承认我们的罪，感恩承认他的怜悯。</w:t>
      </w:r>
      <w:r>
        <w:rPr>
          <w:rStyle w:val="FootnoteReference"/>
        </w:rPr>
        <w:footnoteReference w:id="821"/>
      </w:r>
    </w:p>
    <w:p>
      <w:pPr>
        <w:pStyle w:val="BodyText"/>
      </w:pPr>
      <w:r>
        <w:rPr>
          <w:i/>
          <w:iCs/>
        </w:rPr>
        <w:t xml:space="preserve">我们只当向神祷告吗？</w:t>
      </w:r>
      <w:r>
        <w:br/>
      </w:r>
      <w:r>
        <w:t xml:space="preserve">答：唯独神能鉴察人心，垂听祈求，赦免罪过，满足众人的心愿；唯独他当受信靠和宗教性的敬拜；祷告是其中特别的一部分，所有人都当单单向他祷告，不可向其他对象祷告。</w:t>
      </w:r>
      <w:r>
        <w:rPr>
          <w:rStyle w:val="FootnoteReference"/>
        </w:rPr>
        <w:footnoteReference w:id="822"/>
      </w:r>
    </w:p>
    <w:p>
      <w:pPr>
        <w:pStyle w:val="BodyText"/>
      </w:pPr>
      <w:r>
        <w:rPr>
          <w:i/>
          <w:iCs/>
        </w:rPr>
        <w:t xml:space="preserve">什么是奉基督的名祷告？</w:t>
      </w:r>
      <w:r>
        <w:br/>
      </w:r>
      <w:r>
        <w:t xml:space="preserve">答：奉基督的名祷告，是遵照他的命令，信靠他的应许，因他的缘故求怜悯；不是仅仅提到他的名，而是从基督和他的中保之工得着祷告的鼓励、胆量、力量和蒙悦纳的盼望。</w:t>
      </w:r>
      <w:r>
        <w:rPr>
          <w:rStyle w:val="FootnoteReference"/>
        </w:rPr>
        <w:footnoteReference w:id="823"/>
      </w:r>
    </w:p>
    <w:p>
      <w:pPr>
        <w:pStyle w:val="BodyText"/>
      </w:pPr>
      <w:r>
        <w:rPr>
          <w:i/>
          <w:iCs/>
        </w:rPr>
        <w:t xml:space="preserve">为什么我们要奉基督的名祷告？</w:t>
      </w:r>
      <w:r>
        <w:br/>
      </w:r>
      <w:r>
        <w:t xml:space="preserve">答：因为人的罪性，以及由此与神的隔绝如此之大，若没有中保就不能来到他面前；并且在天上地下除了基督以外，没有别人被任命或配得做这荣耀的工作，所以我们只当奉他的名祷告。</w:t>
      </w:r>
      <w:r>
        <w:rPr>
          <w:rStyle w:val="FootnoteReference"/>
        </w:rPr>
        <w:footnoteReference w:id="824"/>
      </w:r>
    </w:p>
    <w:p>
      <w:pPr>
        <w:pStyle w:val="BodyText"/>
      </w:pPr>
      <w:r>
        <w:rPr>
          <w:i/>
          <w:iCs/>
        </w:rPr>
        <w:t xml:space="preserve">圣灵如何帮助我们祷告？</w:t>
      </w:r>
      <w:r>
        <w:br/>
      </w:r>
      <w:r>
        <w:t xml:space="preserve">答：因为我们不知道当怎样祷告，圣灵帮助我们的软弱，使我们明白为谁祷告，为何事祷告，如何祷告；并在我们心里运行激发（虽然不是在所有人身上，也不是在任何时候都以同样的程度）那些正确履行这本分所必需的理解、情感和恩典。</w:t>
      </w:r>
      <w:r>
        <w:rPr>
          <w:rStyle w:val="FootnoteReference"/>
        </w:rPr>
        <w:footnoteReference w:id="825"/>
      </w:r>
    </w:p>
    <w:p>
      <w:pPr>
        <w:pStyle w:val="BodyText"/>
      </w:pPr>
      <w:r>
        <w:rPr>
          <w:i/>
          <w:iCs/>
        </w:rPr>
        <w:t xml:space="preserve">我们当为谁祷告？</w:t>
      </w:r>
      <w:r>
        <w:br/>
      </w:r>
      <w:r>
        <w:t xml:space="preserve">答：我们当为地上基督的全教会祷告；为执政者和传道人祷告；为我们自己、弟兄，是的，也为仇敌祷告；为一切活着的人，或将来要活着的人祷告；但不可为死人祷告，也不可为那些明知犯了至于死的罪的人祷告。</w:t>
      </w:r>
      <w:r>
        <w:rPr>
          <w:rStyle w:val="FootnoteReference"/>
        </w:rPr>
        <w:footnoteReference w:id="826"/>
      </w:r>
    </w:p>
    <w:p>
      <w:pPr>
        <w:pStyle w:val="BodyText"/>
      </w:pPr>
      <w:r>
        <w:rPr>
          <w:i/>
          <w:iCs/>
        </w:rPr>
        <w:t xml:space="preserve">我们当为什么事祷告？</w:t>
      </w:r>
      <w:r>
        <w:br/>
      </w:r>
      <w:r>
        <w:t xml:space="preserve">答：我们当为一切有助于神的荣耀、教会的福祉、我们自己或他人益处的事祷告；但不可为任何不合法的事祷告。</w:t>
      </w:r>
      <w:r>
        <w:rPr>
          <w:rStyle w:val="FootnoteReference"/>
        </w:rPr>
        <w:footnoteReference w:id="827"/>
      </w:r>
    </w:p>
    <w:p>
      <w:pPr>
        <w:pStyle w:val="BodyText"/>
      </w:pPr>
      <w:r>
        <w:rPr>
          <w:i/>
          <w:iCs/>
        </w:rPr>
        <w:t xml:space="preserve">我们当如何祷告？</w:t>
      </w:r>
      <w:r>
        <w:br/>
      </w:r>
      <w:r>
        <w:t xml:space="preserve">答：我们当以敬畏的心认识神的威严，深深感到自己的不配、需要和罪；以悔改、感恩和开放的心；以理解、信心、诚实、热切、爱心和恒忍等候他，谦卑顺服他的旨意。</w:t>
      </w:r>
      <w:r>
        <w:rPr>
          <w:rStyle w:val="FootnoteReference"/>
        </w:rPr>
        <w:footnoteReference w:id="828"/>
      </w:r>
    </w:p>
    <w:p>
      <w:pPr>
        <w:pStyle w:val="BodyText"/>
      </w:pPr>
      <w:r>
        <w:rPr>
          <w:i/>
          <w:iCs/>
        </w:rPr>
        <w:t xml:space="preserve">神给了我们什么规则来指导祷告的本分？</w:t>
      </w:r>
      <w:r>
        <w:br/>
      </w:r>
      <w:r>
        <w:t xml:space="preserve">答：神的全部话语都可用来指导我们祷告的本分；但特别的指导规则是我们救主基督教导门徒的祷告文，通常称为主祷文。</w:t>
      </w:r>
      <w:r>
        <w:rPr>
          <w:rStyle w:val="FootnoteReference"/>
        </w:rPr>
        <w:footnoteReference w:id="829"/>
      </w:r>
    </w:p>
    <w:p>
      <w:pPr>
        <w:pStyle w:val="BodyText"/>
      </w:pPr>
      <w:r>
        <w:rPr>
          <w:i/>
          <w:iCs/>
        </w:rPr>
        <w:t xml:space="preserve">主祷文当如何使用？</w:t>
      </w:r>
      <w:r>
        <w:br/>
      </w:r>
      <w:r>
        <w:t xml:space="preserve">答：主祷文不仅是作为模式的指导，按照它来做其他祷告；也可以直接用作祷告，只要是带着理解、信心、敬畏，以及正确履行祷告本分所必需的其他恩典来使用。</w:t>
      </w:r>
      <w:r>
        <w:rPr>
          <w:rStyle w:val="FootnoteReference"/>
        </w:rPr>
        <w:footnoteReference w:id="830"/>
      </w:r>
    </w:p>
    <w:p>
      <w:pPr>
        <w:pStyle w:val="BodyText"/>
      </w:pPr>
      <w:r>
        <w:rPr>
          <w:i/>
          <w:iCs/>
        </w:rPr>
        <w:t xml:space="preserve">主祷文包含几个部分？</w:t>
      </w:r>
      <w:r>
        <w:br/>
      </w:r>
      <w:r>
        <w:t xml:space="preserve">答：主祷文包含三个部分：序言、祈求和结语。</w:t>
      </w:r>
    </w:p>
    <w:p>
      <w:pPr>
        <w:pStyle w:val="BodyText"/>
      </w:pPr>
      <w:r>
        <w:rPr>
          <w:i/>
          <w:iCs/>
        </w:rPr>
        <w:t xml:space="preserve">主祷文的序言教导我们什么？</w:t>
      </w:r>
      <w:r>
        <w:br/>
      </w:r>
      <w:r>
        <w:t xml:space="preserve">答：主祷文的序言（包含在这些话中：</w:t>
      </w:r>
      <w:r>
        <w:t xml:space="preserve">‘</w:t>
      </w:r>
      <w:r>
        <w:t xml:space="preserve">我们在天上的父</w:t>
      </w:r>
      <w:r>
        <w:t xml:space="preserve">’</w:t>
      </w:r>
      <w:r>
        <w:t xml:space="preserve">）教导我们祷告时，要带着确信他父亲般的良善和我们在其中的份，亲近神；要带着敬畏和一切儿女般的心态、属天的情感，适当地认识他至高的权能、威严和恩慈的俯就；也要与人一同祷告，为人祷告。</w:t>
      </w:r>
      <w:r>
        <w:rPr>
          <w:rStyle w:val="FootnoteReference"/>
        </w:rPr>
        <w:footnoteReference w:id="831"/>
      </w:r>
    </w:p>
    <w:p>
      <w:pPr>
        <w:pStyle w:val="BodyText"/>
      </w:pPr>
      <w:r>
        <w:rPr>
          <w:i/>
          <w:iCs/>
        </w:rPr>
        <w:t xml:space="preserve">我们在第一个祈求中祷告什么？</w:t>
      </w:r>
      <w:r>
        <w:br/>
      </w:r>
      <w:r>
        <w:t xml:space="preserve">答：在第一个祈求中（就是’愿人都尊你的名为圣’），承认我们自己和所有人都完全无能也不愿意正确地尊崇神，我们祈求神藉着他的恩典使我们和他人能够认识他、承认他、高度尊重他，他的称号、属性、规条、话语、作为，以及凡他乐意藉以显明自己的事；在思想、言语和行为上荣耀他；求他阻止并除去无神论、无知、拜偶像、亵渎，以及一切不尊崇他的事；并藉着他至高的护理，引导并安排万事归于他的荣耀。</w:t>
      </w:r>
      <w:r>
        <w:rPr>
          <w:rStyle w:val="FootnoteReference"/>
        </w:rPr>
        <w:footnoteReference w:id="832"/>
      </w:r>
    </w:p>
    <w:p>
      <w:pPr>
        <w:pStyle w:val="BodyText"/>
      </w:pPr>
      <w:r>
        <w:rPr>
          <w:i/>
          <w:iCs/>
        </w:rPr>
        <w:t xml:space="preserve">我们在第二个祈求中祷告什么？</w:t>
      </w:r>
      <w:r>
        <w:br/>
      </w:r>
      <w:r>
        <w:t xml:space="preserve">答：在第二个祈求中（就是’愿你的国降临’），承认我们自己和全人类本性上都在罪和撒但的权下，我们祈求罪和撒但的国被毁灭，福音传遍天下，犹太人蒙召，外邦人的数目添满；教会得着一切福音的职分和规条，从败坏中洁净，得到政府官员的支持和维护；基督的规条得以纯正施行，在使那些仍在罪中的人归正，坚固、安慰并造就那些已经归正的人上有功效；基督在这里掌管我们的心，加速他再来的时候，和我们永远与他一同作王的时候；并且求他乐意在全世界行使他权能的国度，最有利于成就这些目的。</w:t>
      </w:r>
      <w:r>
        <w:rPr>
          <w:rStyle w:val="FootnoteReference"/>
        </w:rPr>
        <w:footnoteReference w:id="833"/>
      </w:r>
    </w:p>
    <w:p>
      <w:pPr>
        <w:pStyle w:val="BodyText"/>
      </w:pPr>
      <w:r>
        <w:rPr>
          <w:i/>
          <w:iCs/>
        </w:rPr>
        <w:t xml:space="preserve">我们在第三个祈求中祷告什么？</w:t>
      </w:r>
      <w:r>
        <w:br/>
      </w:r>
      <w:r>
        <w:t xml:space="preserve">答：在第三个祈求中（就是’愿你的旨意行在地上，如同行在天上’），承认我们和所有人本性上不仅完全无能也不愿意认识和遵行神的旨意，反倒倾向于悖逆他的话语，对他的护理发怨言和抱怨，完全倾向于遵行肉体和魔鬼的意思：我们祈求神藉着他的灵除去我们和他人一切的盲目、软弱、不情愿和心里的乖谬；藉着他的恩典使我们能够并愿意认识、遵行并顺服他在一切事上的旨意，带着如同天使在天上那样的谦卑、喜乐、忠心、殷勤、热心、诚实和恒心。</w:t>
      </w:r>
      <w:r>
        <w:rPr>
          <w:rStyle w:val="FootnoteReference"/>
        </w:rPr>
        <w:footnoteReference w:id="834"/>
      </w:r>
    </w:p>
    <w:p>
      <w:pPr>
        <w:pStyle w:val="BodyText"/>
      </w:pPr>
      <w:r>
        <w:rPr>
          <w:i/>
          <w:iCs/>
        </w:rPr>
        <w:t xml:space="preserve">我们在第四个祈求中祷告什么？</w:t>
      </w:r>
      <w:r>
        <w:br/>
      </w:r>
      <w:r>
        <w:t xml:space="preserve">答：在第四个祈求中（就是’我们日用的饮食，今日赐给我们’），承认我们在亚当里，并因自己的罪，已经丧失了对今生一切外在祝福的权利，配受神完全剥夺，在使用这些祝福时受咒诅；这些祝福本身不能维持我们，我们也不配得，也不能靠自己的勤劳获得；反倒倾向于不合法地渴望、获取和使用它们：我们为自己和他人祷告，愿我们和他们天天等候神的护理，使用合法的方法，可以照他白白的恩赐，按他父亲般智慧所看为最好的，享受其中适量的份，在圣洁和安慰中继续使用并蒙福，以此知足；并保守我们脱离一切与我们今生的供应和安慰相违背的事。</w:t>
      </w:r>
      <w:r>
        <w:rPr>
          <w:rStyle w:val="FootnoteReference"/>
        </w:rPr>
        <w:footnoteReference w:id="835"/>
      </w:r>
    </w:p>
    <w:p>
      <w:pPr>
        <w:pStyle w:val="BodyText"/>
      </w:pPr>
      <w:r>
        <w:rPr>
          <w:i/>
          <w:iCs/>
        </w:rPr>
        <w:t xml:space="preserve">我们在第五个祈求中祷告什么？</w:t>
      </w:r>
      <w:r>
        <w:br/>
      </w:r>
      <w:r>
        <w:t xml:space="preserve">答：在第五个祈求中（就是’免我们的债，如同我们免了人的债’），承认我们和所有人都在原罪和本罪上有罪，因此欠了神公义的债；我们或任何其他受造物都不能对这债作丝毫的补偿：我们为自己和他人祷告，求神出于他白白的恩典，藉着基督的顺服和满足，被信心领受和应用，使我们脱离罪的罪责和刑罚，在他的爱子里悦纳我们，继续向我们施恩惠，赦免我们日常的过犯，在赐给我们越来越多赦罪的确据上，使我们充满平安和喜乐；当我们在自己里面有这见证，就是我们从心里饶恕别人的过犯时，我们就更加放胆求，也更加有盼望。</w:t>
      </w:r>
      <w:r>
        <w:rPr>
          <w:rStyle w:val="FootnoteReference"/>
        </w:rPr>
        <w:footnoteReference w:id="836"/>
      </w:r>
    </w:p>
    <w:p>
      <w:pPr>
        <w:pStyle w:val="BodyText"/>
      </w:pPr>
      <w:r>
        <w:rPr>
          <w:i/>
          <w:iCs/>
        </w:rPr>
        <w:t xml:space="preserve">我们在第六个祈求中祷告什么？</w:t>
      </w:r>
      <w:r>
        <w:br/>
      </w:r>
      <w:r>
        <w:t xml:space="preserve">答：在第六个祈求中（就是’不叫我们遇见试探，救我们脱离凶恶’），承认至智、公义、恩慈的神，为了各样圣洁公义的目的，可能安排事情使我们受到攻击、失败，暂时被试探掳去；撒但、世界和肉体随时强有力地引诱我们、陷害我们；我们即使在罪得赦免之后，因着我们的败坏、软弱和缺乏警醒，不仅容易受试探，甚至主动暴露在试探之下；而且我们自己既不能也不愿意抵挡试探，从试探中恢复，并从中得益处；配被撇在试探的权势之下：我们祈求神管理世界和其中的一切，制伏肉体，约束撒但，安排万事，赐下并祝福一切恩典的途径，激发我们警醒地使用这些，使我们和他所有的百姓藉着他的护理得蒙保守不受试探；或者若受试探，藉着他的灵大有能力地扶持我们，使我们能在试探的时候站立得住；或者若跌倒，再次被扶起并得恢复，从中得着成圣的益处：使我们的成圣和救恩得以完全，撒但被践踏在我们脚下，我们完全永远脱离罪、试探和一切的恶。</w:t>
      </w:r>
      <w:r>
        <w:rPr>
          <w:rStyle w:val="FootnoteReference"/>
        </w:rPr>
        <w:footnoteReference w:id="837"/>
      </w:r>
    </w:p>
    <w:p>
      <w:pPr>
        <w:pStyle w:val="BodyText"/>
      </w:pPr>
      <w:r>
        <w:rPr>
          <w:i/>
          <w:iCs/>
        </w:rPr>
        <w:t xml:space="preserve">主祷文的结语教导我们什么？</w:t>
      </w:r>
      <w:r>
        <w:br/>
      </w:r>
      <w:r>
        <w:t xml:space="preserve">答：主祷文的结语（就是’因为国度、权柄、荣耀，全是你的，直到永远。阿们。’）教导我们用论据来加强我们的祈求，这些论据不是来自我们自己或任何其他受造物的价值，而是来自神：并在祷告中加入赞美，将永恒的主权、全能和荣耀的美善单单归给神；因此，既然他能够并愿意帮助我们，我们就因信心放胆恳求他必定这样行，也安静地倚靠他必定成就我们的祈求。并且为了证实这我们的心愿和确信，我们说，阿们。</w:t>
      </w:r>
      <w:r>
        <w:rPr>
          <w:rStyle w:val="FootnoteReference"/>
        </w:rPr>
        <w:footnoteReference w:id="838"/>
      </w:r>
    </w:p>
    <w:bookmarkEnd w:id="8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诗 19:1-3；罗 1:19-20；罗 1:32 并 罗 2:1；罗 2:14-15。</w:t>
      </w:r>
    </w:p>
  </w:footnote>
  <w:footnote w:id="21">
    <w:p>
      <w:pPr>
        <w:pStyle w:val="FootnoteText"/>
      </w:pPr>
      <w:r>
        <w:rPr>
          <w:rStyle w:val="FootnoteReference"/>
        </w:rPr>
        <w:footnoteRef/>
      </w:r>
      <w:r>
        <w:t xml:space="preserve"> </w:t>
      </w:r>
      <w:r>
        <w:t xml:space="preserve">林前 1:21；2:13-14。</w:t>
      </w:r>
    </w:p>
  </w:footnote>
  <w:footnote w:id="22">
    <w:p>
      <w:pPr>
        <w:pStyle w:val="FootnoteText"/>
      </w:pPr>
      <w:r>
        <w:rPr>
          <w:rStyle w:val="FootnoteReference"/>
        </w:rPr>
        <w:footnoteRef/>
      </w:r>
      <w:r>
        <w:t xml:space="preserve"> </w:t>
      </w:r>
      <w:r>
        <w:t xml:space="preserve">来 1:1。</w:t>
      </w:r>
    </w:p>
  </w:footnote>
  <w:footnote w:id="23">
    <w:p>
      <w:pPr>
        <w:pStyle w:val="FootnoteText"/>
      </w:pPr>
      <w:r>
        <w:rPr>
          <w:rStyle w:val="FootnoteReference"/>
        </w:rPr>
        <w:footnoteRef/>
      </w:r>
      <w:r>
        <w:t xml:space="preserve"> </w:t>
      </w:r>
      <w:r>
        <w:t xml:space="preserve">箴 22:19-21；赛 8:19-20；太 4:4,7,10；路 1:3-4；罗 15:4。</w:t>
      </w:r>
    </w:p>
  </w:footnote>
  <w:footnote w:id="24">
    <w:p>
      <w:pPr>
        <w:pStyle w:val="FootnoteText"/>
      </w:pPr>
      <w:r>
        <w:rPr>
          <w:rStyle w:val="FootnoteReference"/>
        </w:rPr>
        <w:footnoteRef/>
      </w:r>
      <w:r>
        <w:t xml:space="preserve"> </w:t>
      </w:r>
      <w:r>
        <w:t xml:space="preserve">提后 3:15；彼后 1:19。</w:t>
      </w:r>
    </w:p>
  </w:footnote>
  <w:footnote w:id="25">
    <w:p>
      <w:pPr>
        <w:pStyle w:val="FootnoteText"/>
      </w:pPr>
      <w:r>
        <w:rPr>
          <w:rStyle w:val="FootnoteReference"/>
        </w:rPr>
        <w:footnoteRef/>
      </w:r>
      <w:r>
        <w:t xml:space="preserve"> </w:t>
      </w:r>
      <w:r>
        <w:t xml:space="preserve">来 1:1-2。</w:t>
      </w:r>
    </w:p>
  </w:footnote>
  <w:footnote w:id="26">
    <w:p>
      <w:pPr>
        <w:pStyle w:val="FootnoteText"/>
      </w:pPr>
      <w:r>
        <w:rPr>
          <w:rStyle w:val="FootnoteReference"/>
        </w:rPr>
        <w:footnoteRef/>
      </w:r>
      <w:r>
        <w:t xml:space="preserve"> </w:t>
      </w:r>
      <w:r>
        <w:t xml:space="preserve">提后 3:16；弗 2:20；启 22:18-19；赛 8:20；路 16:29-31；加 1:8-9；提后 3:15-17。</w:t>
      </w:r>
    </w:p>
  </w:footnote>
  <w:footnote w:id="27">
    <w:p>
      <w:pPr>
        <w:pStyle w:val="FootnoteText"/>
      </w:pPr>
      <w:r>
        <w:rPr>
          <w:rStyle w:val="FootnoteReference"/>
        </w:rPr>
        <w:footnoteRef/>
      </w:r>
      <w:r>
        <w:t xml:space="preserve"> </w:t>
      </w:r>
      <w:r>
        <w:t xml:space="preserve">路 24:27,44；罗 3:2；彼后 1:21。</w:t>
      </w:r>
    </w:p>
  </w:footnote>
  <w:footnote w:id="28">
    <w:p>
      <w:pPr>
        <w:pStyle w:val="FootnoteText"/>
      </w:pPr>
      <w:r>
        <w:rPr>
          <w:rStyle w:val="FootnoteReference"/>
        </w:rPr>
        <w:footnoteRef/>
      </w:r>
      <w:r>
        <w:t xml:space="preserve"> </w:t>
      </w:r>
      <w:r>
        <w:t xml:space="preserve">彼后 1:19-21；提后 3:16；约壹 5:9；帖前 2:13。</w:t>
      </w:r>
    </w:p>
  </w:footnote>
  <w:footnote w:id="29">
    <w:p>
      <w:pPr>
        <w:pStyle w:val="FootnoteText"/>
      </w:pPr>
      <w:r>
        <w:rPr>
          <w:rStyle w:val="FootnoteReference"/>
        </w:rPr>
        <w:footnoteRef/>
      </w:r>
      <w:r>
        <w:t xml:space="preserve"> </w:t>
      </w:r>
      <w:r>
        <w:t xml:space="preserve">提前 3:15；约壹 2:20,27；约 16:13-14；林前 2:10-12；赛 59:21。</w:t>
      </w:r>
    </w:p>
  </w:footnote>
  <w:footnote w:id="30">
    <w:p>
      <w:pPr>
        <w:pStyle w:val="FootnoteText"/>
      </w:pPr>
      <w:r>
        <w:rPr>
          <w:rStyle w:val="FootnoteReference"/>
        </w:rPr>
        <w:footnoteRef/>
      </w:r>
      <w:r>
        <w:t xml:space="preserve"> </w:t>
      </w:r>
      <w:r>
        <w:t xml:space="preserve">提后 3:15-17；加 1:8-9；帖后 2:2。</w:t>
      </w:r>
    </w:p>
  </w:footnote>
  <w:footnote w:id="31">
    <w:p>
      <w:pPr>
        <w:pStyle w:val="FootnoteText"/>
      </w:pPr>
      <w:r>
        <w:rPr>
          <w:rStyle w:val="FootnoteReference"/>
        </w:rPr>
        <w:footnoteRef/>
      </w:r>
      <w:r>
        <w:t xml:space="preserve"> </w:t>
      </w:r>
      <w:r>
        <w:t xml:space="preserve">约 6:45；林前 2:9-12。</w:t>
      </w:r>
    </w:p>
  </w:footnote>
  <w:footnote w:id="32">
    <w:p>
      <w:pPr>
        <w:pStyle w:val="FootnoteText"/>
      </w:pPr>
      <w:r>
        <w:rPr>
          <w:rStyle w:val="FootnoteReference"/>
        </w:rPr>
        <w:footnoteRef/>
      </w:r>
      <w:r>
        <w:t xml:space="preserve"> </w:t>
      </w:r>
      <w:r>
        <w:t xml:space="preserve">林前 11:13-14；14:26,40。</w:t>
      </w:r>
    </w:p>
  </w:footnote>
  <w:footnote w:id="33">
    <w:p>
      <w:pPr>
        <w:pStyle w:val="FootnoteText"/>
      </w:pPr>
      <w:r>
        <w:rPr>
          <w:rStyle w:val="FootnoteReference"/>
        </w:rPr>
        <w:footnoteRef/>
      </w:r>
      <w:r>
        <w:t xml:space="preserve"> </w:t>
      </w:r>
      <w:r>
        <w:t xml:space="preserve">彼后 3:16。</w:t>
      </w:r>
    </w:p>
  </w:footnote>
  <w:footnote w:id="34">
    <w:p>
      <w:pPr>
        <w:pStyle w:val="FootnoteText"/>
      </w:pPr>
      <w:r>
        <w:rPr>
          <w:rStyle w:val="FootnoteReference"/>
        </w:rPr>
        <w:footnoteRef/>
      </w:r>
      <w:r>
        <w:t xml:space="preserve"> </w:t>
      </w:r>
      <w:r>
        <w:t xml:space="preserve">诗 119:105,130；申 30:11-14；赛 8:20；徒 17:11。</w:t>
      </w:r>
    </w:p>
  </w:footnote>
  <w:footnote w:id="35">
    <w:p>
      <w:pPr>
        <w:pStyle w:val="FootnoteText"/>
      </w:pPr>
      <w:r>
        <w:rPr>
          <w:rStyle w:val="FootnoteReference"/>
        </w:rPr>
        <w:footnoteRef/>
      </w:r>
      <w:r>
        <w:t xml:space="preserve"> </w:t>
      </w:r>
      <w:r>
        <w:t xml:space="preserve">太 5:18；诗 119:89；赛 8:20。</w:t>
      </w:r>
    </w:p>
  </w:footnote>
  <w:footnote w:id="36">
    <w:p>
      <w:pPr>
        <w:pStyle w:val="FootnoteText"/>
      </w:pPr>
      <w:r>
        <w:rPr>
          <w:rStyle w:val="FootnoteReference"/>
        </w:rPr>
        <w:footnoteRef/>
      </w:r>
      <w:r>
        <w:t xml:space="preserve"> </w:t>
      </w:r>
      <w:r>
        <w:t xml:space="preserve">徒 15:15；约 5:39,46。</w:t>
      </w:r>
    </w:p>
  </w:footnote>
  <w:footnote w:id="37">
    <w:p>
      <w:pPr>
        <w:pStyle w:val="FootnoteText"/>
      </w:pPr>
      <w:r>
        <w:rPr>
          <w:rStyle w:val="FootnoteReference"/>
        </w:rPr>
        <w:footnoteRef/>
      </w:r>
      <w:r>
        <w:t xml:space="preserve"> </w:t>
      </w:r>
      <w:r>
        <w:t xml:space="preserve">约 5:39。</w:t>
      </w:r>
    </w:p>
  </w:footnote>
  <w:footnote w:id="38">
    <w:p>
      <w:pPr>
        <w:pStyle w:val="FootnoteText"/>
      </w:pPr>
      <w:r>
        <w:rPr>
          <w:rStyle w:val="FootnoteReference"/>
        </w:rPr>
        <w:footnoteRef/>
      </w:r>
      <w:r>
        <w:t xml:space="preserve"> </w:t>
      </w:r>
      <w:r>
        <w:t xml:space="preserve">林前 14:6,9,11-12,24,27-28。</w:t>
      </w:r>
    </w:p>
  </w:footnote>
  <w:footnote w:id="39">
    <w:p>
      <w:pPr>
        <w:pStyle w:val="FootnoteText"/>
      </w:pPr>
      <w:r>
        <w:rPr>
          <w:rStyle w:val="FootnoteReference"/>
        </w:rPr>
        <w:footnoteRef/>
      </w:r>
      <w:r>
        <w:t xml:space="preserve"> </w:t>
      </w:r>
      <w:r>
        <w:t xml:space="preserve">西 3:16；罗 15:4。</w:t>
      </w:r>
    </w:p>
  </w:footnote>
  <w:footnote w:id="40">
    <w:p>
      <w:pPr>
        <w:pStyle w:val="FootnoteText"/>
      </w:pPr>
      <w:r>
        <w:rPr>
          <w:rStyle w:val="FootnoteReference"/>
        </w:rPr>
        <w:footnoteRef/>
      </w:r>
      <w:r>
        <w:t xml:space="preserve"> </w:t>
      </w:r>
      <w:r>
        <w:t xml:space="preserve">彼后 1:20-21；徒 15:15-16。</w:t>
      </w:r>
    </w:p>
  </w:footnote>
  <w:footnote w:id="41">
    <w:p>
      <w:pPr>
        <w:pStyle w:val="FootnoteText"/>
      </w:pPr>
      <w:r>
        <w:rPr>
          <w:rStyle w:val="FootnoteReference"/>
        </w:rPr>
        <w:footnoteRef/>
      </w:r>
      <w:r>
        <w:t xml:space="preserve"> </w:t>
      </w:r>
      <w:r>
        <w:t xml:space="preserve">太 22:29,31；弗 2:20；徒 28:25。</w:t>
      </w:r>
    </w:p>
  </w:footnote>
  <w:footnote w:id="43">
    <w:p>
      <w:pPr>
        <w:pStyle w:val="FootnoteText"/>
      </w:pPr>
      <w:r>
        <w:rPr>
          <w:rStyle w:val="FootnoteReference"/>
        </w:rPr>
        <w:footnoteRef/>
      </w:r>
      <w:r>
        <w:t xml:space="preserve"> </w:t>
      </w:r>
      <w:r>
        <w:t xml:space="preserve">申 6:4；林前 8:4,6。</w:t>
      </w:r>
    </w:p>
  </w:footnote>
  <w:footnote w:id="44">
    <w:p>
      <w:pPr>
        <w:pStyle w:val="FootnoteText"/>
      </w:pPr>
      <w:r>
        <w:rPr>
          <w:rStyle w:val="FootnoteReference"/>
        </w:rPr>
        <w:footnoteRef/>
      </w:r>
      <w:r>
        <w:t xml:space="preserve"> </w:t>
      </w:r>
      <w:r>
        <w:t xml:space="preserve">伯 11:7-9；26:14。</w:t>
      </w:r>
    </w:p>
  </w:footnote>
  <w:footnote w:id="45">
    <w:p>
      <w:pPr>
        <w:pStyle w:val="FootnoteText"/>
      </w:pPr>
      <w:r>
        <w:rPr>
          <w:rStyle w:val="FootnoteReference"/>
        </w:rPr>
        <w:footnoteRef/>
      </w:r>
      <w:r>
        <w:t xml:space="preserve"> </w:t>
      </w:r>
      <w:r>
        <w:t xml:space="preserve">约 4:24。</w:t>
      </w:r>
    </w:p>
  </w:footnote>
  <w:footnote w:id="46">
    <w:p>
      <w:pPr>
        <w:pStyle w:val="FootnoteText"/>
      </w:pPr>
      <w:r>
        <w:rPr>
          <w:rStyle w:val="FootnoteReference"/>
        </w:rPr>
        <w:footnoteRef/>
      </w:r>
      <w:r>
        <w:t xml:space="preserve"> </w:t>
      </w:r>
      <w:r>
        <w:t xml:space="preserve">提前 1:17。</w:t>
      </w:r>
    </w:p>
  </w:footnote>
  <w:footnote w:id="47">
    <w:p>
      <w:pPr>
        <w:pStyle w:val="FootnoteText"/>
      </w:pPr>
      <w:r>
        <w:rPr>
          <w:rStyle w:val="FootnoteReference"/>
        </w:rPr>
        <w:footnoteRef/>
      </w:r>
      <w:r>
        <w:t xml:space="preserve"> </w:t>
      </w:r>
      <w:r>
        <w:t xml:space="preserve">申 4:15-16；约 4:24；路 24:39。</w:t>
      </w:r>
    </w:p>
  </w:footnote>
  <w:footnote w:id="48">
    <w:p>
      <w:pPr>
        <w:pStyle w:val="FootnoteText"/>
      </w:pPr>
      <w:r>
        <w:rPr>
          <w:rStyle w:val="FootnoteReference"/>
        </w:rPr>
        <w:footnoteRef/>
      </w:r>
      <w:r>
        <w:t xml:space="preserve"> </w:t>
      </w:r>
      <w:r>
        <w:t xml:space="preserve">玛 3:6；雅 1:17。</w:t>
      </w:r>
    </w:p>
  </w:footnote>
  <w:footnote w:id="49">
    <w:p>
      <w:pPr>
        <w:pStyle w:val="FootnoteText"/>
      </w:pPr>
      <w:r>
        <w:rPr>
          <w:rStyle w:val="FootnoteReference"/>
        </w:rPr>
        <w:footnoteRef/>
      </w:r>
      <w:r>
        <w:t xml:space="preserve"> </w:t>
      </w:r>
      <w:r>
        <w:t xml:space="preserve">王上 8:27；耶 23:23-24。</w:t>
      </w:r>
    </w:p>
  </w:footnote>
  <w:footnote w:id="50">
    <w:p>
      <w:pPr>
        <w:pStyle w:val="FootnoteText"/>
      </w:pPr>
      <w:r>
        <w:rPr>
          <w:rStyle w:val="FootnoteReference"/>
        </w:rPr>
        <w:footnoteRef/>
      </w:r>
      <w:r>
        <w:t xml:space="preserve"> </w:t>
      </w:r>
      <w:r>
        <w:t xml:space="preserve">诗 90:2；提前 1:17。</w:t>
      </w:r>
    </w:p>
  </w:footnote>
  <w:footnote w:id="51">
    <w:p>
      <w:pPr>
        <w:pStyle w:val="FootnoteText"/>
      </w:pPr>
      <w:r>
        <w:rPr>
          <w:rStyle w:val="FootnoteReference"/>
        </w:rPr>
        <w:footnoteRef/>
      </w:r>
      <w:r>
        <w:t xml:space="preserve"> </w:t>
      </w:r>
      <w:r>
        <w:t xml:space="preserve">诗 145:3。</w:t>
      </w:r>
    </w:p>
  </w:footnote>
  <w:footnote w:id="52">
    <w:p>
      <w:pPr>
        <w:pStyle w:val="FootnoteText"/>
      </w:pPr>
      <w:r>
        <w:rPr>
          <w:rStyle w:val="FootnoteReference"/>
        </w:rPr>
        <w:footnoteRef/>
      </w:r>
      <w:r>
        <w:t xml:space="preserve"> </w:t>
      </w:r>
      <w:r>
        <w:t xml:space="preserve">创 17:1；启 4:8。</w:t>
      </w:r>
    </w:p>
  </w:footnote>
  <w:footnote w:id="53">
    <w:p>
      <w:pPr>
        <w:pStyle w:val="FootnoteText"/>
      </w:pPr>
      <w:r>
        <w:rPr>
          <w:rStyle w:val="FootnoteReference"/>
        </w:rPr>
        <w:footnoteRef/>
      </w:r>
      <w:r>
        <w:t xml:space="preserve"> </w:t>
      </w:r>
      <w:r>
        <w:t xml:space="preserve">罗 16:27。</w:t>
      </w:r>
    </w:p>
  </w:footnote>
  <w:footnote w:id="54">
    <w:p>
      <w:pPr>
        <w:pStyle w:val="FootnoteText"/>
      </w:pPr>
      <w:r>
        <w:rPr>
          <w:rStyle w:val="FootnoteReference"/>
        </w:rPr>
        <w:footnoteRef/>
      </w:r>
      <w:r>
        <w:t xml:space="preserve"> </w:t>
      </w:r>
      <w:r>
        <w:t xml:space="preserve">赛 6:3；启 4:8。</w:t>
      </w:r>
    </w:p>
  </w:footnote>
  <w:footnote w:id="55">
    <w:p>
      <w:pPr>
        <w:pStyle w:val="FootnoteText"/>
      </w:pPr>
      <w:r>
        <w:rPr>
          <w:rStyle w:val="FootnoteReference"/>
        </w:rPr>
        <w:footnoteRef/>
      </w:r>
      <w:r>
        <w:t xml:space="preserve"> </w:t>
      </w:r>
      <w:r>
        <w:t xml:space="preserve">诗 115:3。</w:t>
      </w:r>
    </w:p>
  </w:footnote>
  <w:footnote w:id="56">
    <w:p>
      <w:pPr>
        <w:pStyle w:val="FootnoteText"/>
      </w:pPr>
      <w:r>
        <w:rPr>
          <w:rStyle w:val="FootnoteReference"/>
        </w:rPr>
        <w:footnoteRef/>
      </w:r>
      <w:r>
        <w:t xml:space="preserve"> </w:t>
      </w:r>
      <w:r>
        <w:t xml:space="preserve">出 3:14。</w:t>
      </w:r>
    </w:p>
  </w:footnote>
  <w:footnote w:id="57">
    <w:p>
      <w:pPr>
        <w:pStyle w:val="FootnoteText"/>
      </w:pPr>
      <w:r>
        <w:rPr>
          <w:rStyle w:val="FootnoteReference"/>
        </w:rPr>
        <w:footnoteRef/>
      </w:r>
      <w:r>
        <w:t xml:space="preserve"> </w:t>
      </w:r>
      <w:r>
        <w:t xml:space="preserve">弗 1:11。</w:t>
      </w:r>
    </w:p>
  </w:footnote>
  <w:footnote w:id="58">
    <w:p>
      <w:pPr>
        <w:pStyle w:val="FootnoteText"/>
      </w:pPr>
      <w:r>
        <w:rPr>
          <w:rStyle w:val="FootnoteReference"/>
        </w:rPr>
        <w:footnoteRef/>
      </w:r>
      <w:r>
        <w:t xml:space="preserve"> </w:t>
      </w:r>
      <w:r>
        <w:t xml:space="preserve">箴 16:4；罗 11:36。</w:t>
      </w:r>
    </w:p>
  </w:footnote>
  <w:footnote w:id="59">
    <w:p>
      <w:pPr>
        <w:pStyle w:val="FootnoteText"/>
      </w:pPr>
      <w:r>
        <w:rPr>
          <w:rStyle w:val="FootnoteReference"/>
        </w:rPr>
        <w:footnoteRef/>
      </w:r>
      <w:r>
        <w:t xml:space="preserve"> </w:t>
      </w:r>
      <w:r>
        <w:t xml:space="preserve">约壹 4:8,16。</w:t>
      </w:r>
    </w:p>
  </w:footnote>
  <w:footnote w:id="60">
    <w:p>
      <w:pPr>
        <w:pStyle w:val="FootnoteText"/>
      </w:pPr>
      <w:r>
        <w:rPr>
          <w:rStyle w:val="FootnoteReference"/>
        </w:rPr>
        <w:footnoteRef/>
      </w:r>
      <w:r>
        <w:t xml:space="preserve"> </w:t>
      </w:r>
      <w:r>
        <w:t xml:space="preserve">出 34:6-7。</w:t>
      </w:r>
    </w:p>
  </w:footnote>
  <w:footnote w:id="61">
    <w:p>
      <w:pPr>
        <w:pStyle w:val="FootnoteText"/>
      </w:pPr>
      <w:r>
        <w:rPr>
          <w:rStyle w:val="FootnoteReference"/>
        </w:rPr>
        <w:footnoteRef/>
      </w:r>
      <w:r>
        <w:t xml:space="preserve"> </w:t>
      </w:r>
      <w:r>
        <w:t xml:space="preserve">来 11:6。</w:t>
      </w:r>
    </w:p>
  </w:footnote>
  <w:footnote w:id="62">
    <w:p>
      <w:pPr>
        <w:pStyle w:val="FootnoteText"/>
      </w:pPr>
      <w:r>
        <w:rPr>
          <w:rStyle w:val="FootnoteReference"/>
        </w:rPr>
        <w:footnoteRef/>
      </w:r>
      <w:r>
        <w:t xml:space="preserve"> </w:t>
      </w:r>
      <w:r>
        <w:t xml:space="preserve">尼 9:32-33。</w:t>
      </w:r>
    </w:p>
  </w:footnote>
  <w:footnote w:id="63">
    <w:p>
      <w:pPr>
        <w:pStyle w:val="FootnoteText"/>
      </w:pPr>
      <w:r>
        <w:rPr>
          <w:rStyle w:val="FootnoteReference"/>
        </w:rPr>
        <w:footnoteRef/>
      </w:r>
      <w:r>
        <w:t xml:space="preserve"> </w:t>
      </w:r>
      <w:r>
        <w:t xml:space="preserve">诗 5:5-6。</w:t>
      </w:r>
    </w:p>
  </w:footnote>
  <w:footnote w:id="64">
    <w:p>
      <w:pPr>
        <w:pStyle w:val="FootnoteText"/>
      </w:pPr>
      <w:r>
        <w:rPr>
          <w:rStyle w:val="FootnoteReference"/>
        </w:rPr>
        <w:footnoteRef/>
      </w:r>
      <w:r>
        <w:t xml:space="preserve"> </w:t>
      </w:r>
      <w:r>
        <w:t xml:space="preserve">鸿 1:2-3；出 34:7。</w:t>
      </w:r>
    </w:p>
  </w:footnote>
  <w:footnote w:id="65">
    <w:p>
      <w:pPr>
        <w:pStyle w:val="FootnoteText"/>
      </w:pPr>
      <w:r>
        <w:rPr>
          <w:rStyle w:val="FootnoteReference"/>
        </w:rPr>
        <w:footnoteRef/>
      </w:r>
      <w:r>
        <w:t xml:space="preserve"> </w:t>
      </w:r>
      <w:r>
        <w:t xml:space="preserve">约 5:26。</w:t>
      </w:r>
    </w:p>
  </w:footnote>
  <w:footnote w:id="66">
    <w:p>
      <w:pPr>
        <w:pStyle w:val="FootnoteText"/>
      </w:pPr>
      <w:r>
        <w:rPr>
          <w:rStyle w:val="FootnoteReference"/>
        </w:rPr>
        <w:footnoteRef/>
      </w:r>
      <w:r>
        <w:t xml:space="preserve"> </w:t>
      </w:r>
      <w:r>
        <w:t xml:space="preserve">徒 7:2。</w:t>
      </w:r>
    </w:p>
  </w:footnote>
  <w:footnote w:id="67">
    <w:p>
      <w:pPr>
        <w:pStyle w:val="FootnoteText"/>
      </w:pPr>
      <w:r>
        <w:rPr>
          <w:rStyle w:val="FootnoteReference"/>
        </w:rPr>
        <w:footnoteRef/>
      </w:r>
      <w:r>
        <w:t xml:space="preserve"> </w:t>
      </w:r>
      <w:r>
        <w:t xml:space="preserve">诗 119:68。</w:t>
      </w:r>
    </w:p>
  </w:footnote>
  <w:footnote w:id="68">
    <w:p>
      <w:pPr>
        <w:pStyle w:val="FootnoteText"/>
      </w:pPr>
      <w:r>
        <w:rPr>
          <w:rStyle w:val="FootnoteReference"/>
        </w:rPr>
        <w:footnoteRef/>
      </w:r>
      <w:r>
        <w:t xml:space="preserve"> </w:t>
      </w:r>
      <w:r>
        <w:t xml:space="preserve">提前 6:15；罗 9:5。</w:t>
      </w:r>
    </w:p>
  </w:footnote>
  <w:footnote w:id="69">
    <w:p>
      <w:pPr>
        <w:pStyle w:val="FootnoteText"/>
      </w:pPr>
      <w:r>
        <w:rPr>
          <w:rStyle w:val="FootnoteReference"/>
        </w:rPr>
        <w:footnoteRef/>
      </w:r>
      <w:r>
        <w:t xml:space="preserve"> </w:t>
      </w:r>
      <w:r>
        <w:t xml:space="preserve">徒 17:24-25。</w:t>
      </w:r>
    </w:p>
  </w:footnote>
  <w:footnote w:id="70">
    <w:p>
      <w:pPr>
        <w:pStyle w:val="FootnoteText"/>
      </w:pPr>
      <w:r>
        <w:rPr>
          <w:rStyle w:val="FootnoteReference"/>
        </w:rPr>
        <w:footnoteRef/>
      </w:r>
      <w:r>
        <w:t xml:space="preserve"> </w:t>
      </w:r>
      <w:r>
        <w:t xml:space="preserve">伯 22:2-3。</w:t>
      </w:r>
    </w:p>
  </w:footnote>
  <w:footnote w:id="71">
    <w:p>
      <w:pPr>
        <w:pStyle w:val="FootnoteText"/>
      </w:pPr>
      <w:r>
        <w:rPr>
          <w:rStyle w:val="FootnoteReference"/>
        </w:rPr>
        <w:footnoteRef/>
      </w:r>
      <w:r>
        <w:t xml:space="preserve"> </w:t>
      </w:r>
      <w:r>
        <w:t xml:space="preserve">罗 11:36。</w:t>
      </w:r>
    </w:p>
  </w:footnote>
  <w:footnote w:id="72">
    <w:p>
      <w:pPr>
        <w:pStyle w:val="FootnoteText"/>
      </w:pPr>
      <w:r>
        <w:rPr>
          <w:rStyle w:val="FootnoteReference"/>
        </w:rPr>
        <w:footnoteRef/>
      </w:r>
      <w:r>
        <w:t xml:space="preserve"> </w:t>
      </w:r>
      <w:r>
        <w:t xml:space="preserve">启 4:11；提前 6:15；但 4:25,35。</w:t>
      </w:r>
    </w:p>
  </w:footnote>
  <w:footnote w:id="73">
    <w:p>
      <w:pPr>
        <w:pStyle w:val="FootnoteText"/>
      </w:pPr>
      <w:r>
        <w:rPr>
          <w:rStyle w:val="FootnoteReference"/>
        </w:rPr>
        <w:footnoteRef/>
      </w:r>
      <w:r>
        <w:t xml:space="preserve"> </w:t>
      </w:r>
      <w:r>
        <w:t xml:space="preserve">来 4:13。</w:t>
      </w:r>
    </w:p>
  </w:footnote>
  <w:footnote w:id="74">
    <w:p>
      <w:pPr>
        <w:pStyle w:val="FootnoteText"/>
      </w:pPr>
      <w:r>
        <w:rPr>
          <w:rStyle w:val="FootnoteReference"/>
        </w:rPr>
        <w:footnoteRef/>
      </w:r>
      <w:r>
        <w:t xml:space="preserve"> </w:t>
      </w:r>
      <w:r>
        <w:t xml:space="preserve">罗 11:33-34；诗 147:5。</w:t>
      </w:r>
    </w:p>
  </w:footnote>
  <w:footnote w:id="75">
    <w:p>
      <w:pPr>
        <w:pStyle w:val="FootnoteText"/>
      </w:pPr>
      <w:r>
        <w:rPr>
          <w:rStyle w:val="FootnoteReference"/>
        </w:rPr>
        <w:footnoteRef/>
      </w:r>
      <w:r>
        <w:t xml:space="preserve"> </w:t>
      </w:r>
      <w:r>
        <w:t xml:space="preserve">徒 15:18；结 11:5。</w:t>
      </w:r>
    </w:p>
  </w:footnote>
  <w:footnote w:id="76">
    <w:p>
      <w:pPr>
        <w:pStyle w:val="FootnoteText"/>
      </w:pPr>
      <w:r>
        <w:rPr>
          <w:rStyle w:val="FootnoteReference"/>
        </w:rPr>
        <w:footnoteRef/>
      </w:r>
      <w:r>
        <w:t xml:space="preserve"> </w:t>
      </w:r>
      <w:r>
        <w:t xml:space="preserve">诗 145:17；罗 7:12。</w:t>
      </w:r>
    </w:p>
  </w:footnote>
  <w:footnote w:id="77">
    <w:p>
      <w:pPr>
        <w:pStyle w:val="FootnoteText"/>
      </w:pPr>
      <w:r>
        <w:rPr>
          <w:rStyle w:val="FootnoteReference"/>
        </w:rPr>
        <w:footnoteRef/>
      </w:r>
      <w:r>
        <w:t xml:space="preserve"> </w:t>
      </w:r>
      <w:r>
        <w:t xml:space="preserve">启 5:12-14。</w:t>
      </w:r>
    </w:p>
  </w:footnote>
  <w:footnote w:id="78">
    <w:p>
      <w:pPr>
        <w:pStyle w:val="FootnoteText"/>
      </w:pPr>
      <w:r>
        <w:rPr>
          <w:rStyle w:val="FootnoteReference"/>
        </w:rPr>
        <w:footnoteRef/>
      </w:r>
      <w:r>
        <w:t xml:space="preserve"> </w:t>
      </w:r>
      <w:r>
        <w:t xml:space="preserve">约壹 5:7；太 3:16-17；太 28:19；林后 13:14。</w:t>
      </w:r>
    </w:p>
  </w:footnote>
  <w:footnote w:id="79">
    <w:p>
      <w:pPr>
        <w:pStyle w:val="FootnoteText"/>
      </w:pPr>
      <w:r>
        <w:rPr>
          <w:rStyle w:val="FootnoteReference"/>
        </w:rPr>
        <w:footnoteRef/>
      </w:r>
      <w:r>
        <w:t xml:space="preserve"> </w:t>
      </w:r>
      <w:r>
        <w:t xml:space="preserve">约 1:14,18。</w:t>
      </w:r>
    </w:p>
  </w:footnote>
  <w:footnote w:id="80">
    <w:p>
      <w:pPr>
        <w:pStyle w:val="FootnoteText"/>
      </w:pPr>
      <w:r>
        <w:rPr>
          <w:rStyle w:val="FootnoteReference"/>
        </w:rPr>
        <w:footnoteRef/>
      </w:r>
      <w:r>
        <w:t xml:space="preserve"> </w:t>
      </w:r>
      <w:r>
        <w:t xml:space="preserve">约 15:26；加 4:6。</w:t>
      </w:r>
    </w:p>
  </w:footnote>
  <w:footnote w:id="82">
    <w:p>
      <w:pPr>
        <w:pStyle w:val="FootnoteText"/>
      </w:pPr>
      <w:r>
        <w:rPr>
          <w:rStyle w:val="FootnoteReference"/>
        </w:rPr>
        <w:footnoteRef/>
      </w:r>
      <w:r>
        <w:t xml:space="preserve"> </w:t>
      </w:r>
      <w:r>
        <w:t xml:space="preserve">弗 1:11；罗 11:33；来 6:17；罗 9:15,18。</w:t>
      </w:r>
    </w:p>
  </w:footnote>
  <w:footnote w:id="83">
    <w:p>
      <w:pPr>
        <w:pStyle w:val="FootnoteText"/>
      </w:pPr>
      <w:r>
        <w:rPr>
          <w:rStyle w:val="FootnoteReference"/>
        </w:rPr>
        <w:footnoteRef/>
      </w:r>
      <w:r>
        <w:t xml:space="preserve"> </w:t>
      </w:r>
      <w:r>
        <w:t xml:space="preserve">雅 1:13,17；约壹 1:5。</w:t>
      </w:r>
    </w:p>
  </w:footnote>
  <w:footnote w:id="84">
    <w:p>
      <w:pPr>
        <w:pStyle w:val="FootnoteText"/>
      </w:pPr>
      <w:r>
        <w:rPr>
          <w:rStyle w:val="FootnoteReference"/>
        </w:rPr>
        <w:footnoteRef/>
      </w:r>
      <w:r>
        <w:t xml:space="preserve"> </w:t>
      </w:r>
      <w:r>
        <w:t xml:space="preserve">徒 2:23；太 17:12；徒 4:27-28；约 19:11；箴 16:33。</w:t>
      </w:r>
    </w:p>
  </w:footnote>
  <w:footnote w:id="85">
    <w:p>
      <w:pPr>
        <w:pStyle w:val="FootnoteText"/>
      </w:pPr>
      <w:r>
        <w:rPr>
          <w:rStyle w:val="FootnoteReference"/>
        </w:rPr>
        <w:footnoteRef/>
      </w:r>
      <w:r>
        <w:t xml:space="preserve"> </w:t>
      </w:r>
      <w:r>
        <w:t xml:space="preserve">徒 15:18；撒上 23:11-12；太 11:21,23。</w:t>
      </w:r>
    </w:p>
  </w:footnote>
  <w:footnote w:id="86">
    <w:p>
      <w:pPr>
        <w:pStyle w:val="FootnoteText"/>
      </w:pPr>
      <w:r>
        <w:rPr>
          <w:rStyle w:val="FootnoteReference"/>
        </w:rPr>
        <w:footnoteRef/>
      </w:r>
      <w:r>
        <w:t xml:space="preserve"> </w:t>
      </w:r>
      <w:r>
        <w:t xml:space="preserve">罗 9:11,13,16,18。</w:t>
      </w:r>
    </w:p>
  </w:footnote>
  <w:footnote w:id="87">
    <w:p>
      <w:pPr>
        <w:pStyle w:val="FootnoteText"/>
      </w:pPr>
      <w:r>
        <w:rPr>
          <w:rStyle w:val="FootnoteReference"/>
        </w:rPr>
        <w:footnoteRef/>
      </w:r>
      <w:r>
        <w:t xml:space="preserve"> </w:t>
      </w:r>
      <w:r>
        <w:t xml:space="preserve">提前 5:21；太 25:41；罗 9:22-23；弗 1:5-6；箴 16:4。</w:t>
      </w:r>
    </w:p>
  </w:footnote>
  <w:footnote w:id="88">
    <w:p>
      <w:pPr>
        <w:pStyle w:val="FootnoteText"/>
      </w:pPr>
      <w:r>
        <w:rPr>
          <w:rStyle w:val="FootnoteReference"/>
        </w:rPr>
        <w:footnoteRef/>
      </w:r>
      <w:r>
        <w:t xml:space="preserve"> </w:t>
      </w:r>
      <w:r>
        <w:t xml:space="preserve">提后 2:19；约 13:18。</w:t>
      </w:r>
    </w:p>
  </w:footnote>
  <w:footnote w:id="89">
    <w:p>
      <w:pPr>
        <w:pStyle w:val="FootnoteText"/>
      </w:pPr>
      <w:r>
        <w:rPr>
          <w:rStyle w:val="FootnoteReference"/>
        </w:rPr>
        <w:footnoteRef/>
      </w:r>
      <w:r>
        <w:t xml:space="preserve"> </w:t>
      </w:r>
      <w:r>
        <w:t xml:space="preserve">弗 1:4,9,11；罗 8:30；提后 1:9；帖前 5:9。</w:t>
      </w:r>
    </w:p>
  </w:footnote>
  <w:footnote w:id="90">
    <w:p>
      <w:pPr>
        <w:pStyle w:val="FootnoteText"/>
      </w:pPr>
      <w:r>
        <w:rPr>
          <w:rStyle w:val="FootnoteReference"/>
        </w:rPr>
        <w:footnoteRef/>
      </w:r>
      <w:r>
        <w:t xml:space="preserve"> </w:t>
      </w:r>
      <w:r>
        <w:t xml:space="preserve">罗 9:11,13,16；弗 1:4,9。</w:t>
      </w:r>
    </w:p>
  </w:footnote>
  <w:footnote w:id="91">
    <w:p>
      <w:pPr>
        <w:pStyle w:val="FootnoteText"/>
      </w:pPr>
      <w:r>
        <w:rPr>
          <w:rStyle w:val="FootnoteReference"/>
        </w:rPr>
        <w:footnoteRef/>
      </w:r>
      <w:r>
        <w:t xml:space="preserve"> </w:t>
      </w:r>
      <w:r>
        <w:t xml:space="preserve">弗 1:6,12。</w:t>
      </w:r>
    </w:p>
  </w:footnote>
  <w:footnote w:id="92">
    <w:p>
      <w:pPr>
        <w:pStyle w:val="FootnoteText"/>
      </w:pPr>
      <w:r>
        <w:rPr>
          <w:rStyle w:val="FootnoteReference"/>
        </w:rPr>
        <w:footnoteRef/>
      </w:r>
      <w:r>
        <w:t xml:space="preserve"> </w:t>
      </w:r>
      <w:r>
        <w:t xml:space="preserve">彼前 1:2；弗 1:4-5；2:10；帖后 2:13。</w:t>
      </w:r>
    </w:p>
  </w:footnote>
  <w:footnote w:id="93">
    <w:p>
      <w:pPr>
        <w:pStyle w:val="FootnoteText"/>
      </w:pPr>
      <w:r>
        <w:rPr>
          <w:rStyle w:val="FootnoteReference"/>
        </w:rPr>
        <w:footnoteRef/>
      </w:r>
      <w:r>
        <w:t xml:space="preserve"> </w:t>
      </w:r>
      <w:r>
        <w:t xml:space="preserve">帖前 5:9-10；多 2:14。</w:t>
      </w:r>
    </w:p>
  </w:footnote>
  <w:footnote w:id="94">
    <w:p>
      <w:pPr>
        <w:pStyle w:val="FootnoteText"/>
      </w:pPr>
      <w:r>
        <w:rPr>
          <w:rStyle w:val="FootnoteReference"/>
        </w:rPr>
        <w:footnoteRef/>
      </w:r>
      <w:r>
        <w:t xml:space="preserve"> </w:t>
      </w:r>
      <w:r>
        <w:t xml:space="preserve">罗 8:30；弗 1:5；帖后 2:13。</w:t>
      </w:r>
    </w:p>
  </w:footnote>
  <w:footnote w:id="95">
    <w:p>
      <w:pPr>
        <w:pStyle w:val="FootnoteText"/>
      </w:pPr>
      <w:r>
        <w:rPr>
          <w:rStyle w:val="FootnoteReference"/>
        </w:rPr>
        <w:footnoteRef/>
      </w:r>
      <w:r>
        <w:t xml:space="preserve"> </w:t>
      </w:r>
      <w:r>
        <w:t xml:space="preserve">彼前 1:5。</w:t>
      </w:r>
    </w:p>
  </w:footnote>
  <w:footnote w:id="96">
    <w:p>
      <w:pPr>
        <w:pStyle w:val="FootnoteText"/>
      </w:pPr>
      <w:r>
        <w:rPr>
          <w:rStyle w:val="FootnoteReference"/>
        </w:rPr>
        <w:footnoteRef/>
      </w:r>
      <w:r>
        <w:t xml:space="preserve"> </w:t>
      </w:r>
      <w:r>
        <w:t xml:space="preserve">约 17:9；罗 8:28-39；约 6:64-65；约 10:26；约壹 2:19。</w:t>
      </w:r>
    </w:p>
  </w:footnote>
  <w:footnote w:id="97">
    <w:p>
      <w:pPr>
        <w:pStyle w:val="FootnoteText"/>
      </w:pPr>
      <w:r>
        <w:rPr>
          <w:rStyle w:val="FootnoteReference"/>
        </w:rPr>
        <w:footnoteRef/>
      </w:r>
      <w:r>
        <w:t xml:space="preserve"> </w:t>
      </w:r>
      <w:r>
        <w:t xml:space="preserve">太 11:25-26；罗 9:17-18,21-22；提后 2:19-20；犹 1:4；彼前 2:8。</w:t>
      </w:r>
    </w:p>
  </w:footnote>
  <w:footnote w:id="98">
    <w:p>
      <w:pPr>
        <w:pStyle w:val="FootnoteText"/>
      </w:pPr>
      <w:r>
        <w:rPr>
          <w:rStyle w:val="FootnoteReference"/>
        </w:rPr>
        <w:footnoteRef/>
      </w:r>
      <w:r>
        <w:t xml:space="preserve"> </w:t>
      </w:r>
      <w:r>
        <w:t xml:space="preserve">罗 9:20；罗 11:33；申 29:29。</w:t>
      </w:r>
    </w:p>
  </w:footnote>
  <w:footnote w:id="99">
    <w:p>
      <w:pPr>
        <w:pStyle w:val="FootnoteText"/>
      </w:pPr>
      <w:r>
        <w:rPr>
          <w:rStyle w:val="FootnoteReference"/>
        </w:rPr>
        <w:footnoteRef/>
      </w:r>
      <w:r>
        <w:t xml:space="preserve"> </w:t>
      </w:r>
      <w:r>
        <w:t xml:space="preserve">彼后 1:10。</w:t>
      </w:r>
    </w:p>
  </w:footnote>
  <w:footnote w:id="100">
    <w:p>
      <w:pPr>
        <w:pStyle w:val="FootnoteText"/>
      </w:pPr>
      <w:r>
        <w:rPr>
          <w:rStyle w:val="FootnoteReference"/>
        </w:rPr>
        <w:footnoteRef/>
      </w:r>
      <w:r>
        <w:t xml:space="preserve"> </w:t>
      </w:r>
      <w:r>
        <w:t xml:space="preserve">弗 1:6；罗 11:33；罗 8:33；路 10:20。</w:t>
      </w:r>
    </w:p>
  </w:footnote>
  <w:footnote w:id="102">
    <w:p>
      <w:pPr>
        <w:pStyle w:val="FootnoteText"/>
      </w:pPr>
      <w:r>
        <w:rPr>
          <w:rStyle w:val="FootnoteReference"/>
        </w:rPr>
        <w:footnoteRef/>
      </w:r>
      <w:r>
        <w:t xml:space="preserve"> </w:t>
      </w:r>
      <w:r>
        <w:t xml:space="preserve">弗 1:11；罗 11:33；来 6:17；罗 9:15,18。</w:t>
      </w:r>
    </w:p>
  </w:footnote>
  <w:footnote w:id="103">
    <w:p>
      <w:pPr>
        <w:pStyle w:val="FootnoteText"/>
      </w:pPr>
      <w:r>
        <w:rPr>
          <w:rStyle w:val="FootnoteReference"/>
        </w:rPr>
        <w:footnoteRef/>
      </w:r>
      <w:r>
        <w:t xml:space="preserve"> </w:t>
      </w:r>
      <w:r>
        <w:t xml:space="preserve">雅 1:13,17；约壹 1:5。</w:t>
      </w:r>
    </w:p>
  </w:footnote>
  <w:footnote w:id="104">
    <w:p>
      <w:pPr>
        <w:pStyle w:val="FootnoteText"/>
      </w:pPr>
      <w:r>
        <w:rPr>
          <w:rStyle w:val="FootnoteReference"/>
        </w:rPr>
        <w:footnoteRef/>
      </w:r>
      <w:r>
        <w:t xml:space="preserve"> </w:t>
      </w:r>
      <w:r>
        <w:t xml:space="preserve">徒 2:23；太 17:12；徒 4:27-28；约 19:11；箴 16:33。</w:t>
      </w:r>
    </w:p>
  </w:footnote>
  <w:footnote w:id="105">
    <w:p>
      <w:pPr>
        <w:pStyle w:val="FootnoteText"/>
      </w:pPr>
      <w:r>
        <w:rPr>
          <w:rStyle w:val="FootnoteReference"/>
        </w:rPr>
        <w:footnoteRef/>
      </w:r>
      <w:r>
        <w:t xml:space="preserve"> </w:t>
      </w:r>
      <w:r>
        <w:t xml:space="preserve">徒 15:18；撒上 23:11-12；太 11:21,23。</w:t>
      </w:r>
    </w:p>
  </w:footnote>
  <w:footnote w:id="106">
    <w:p>
      <w:pPr>
        <w:pStyle w:val="FootnoteText"/>
      </w:pPr>
      <w:r>
        <w:rPr>
          <w:rStyle w:val="FootnoteReference"/>
        </w:rPr>
        <w:footnoteRef/>
      </w:r>
      <w:r>
        <w:t xml:space="preserve"> </w:t>
      </w:r>
      <w:r>
        <w:t xml:space="preserve">罗 9:11,13,16,18。</w:t>
      </w:r>
    </w:p>
  </w:footnote>
  <w:footnote w:id="107">
    <w:p>
      <w:pPr>
        <w:pStyle w:val="FootnoteText"/>
      </w:pPr>
      <w:r>
        <w:rPr>
          <w:rStyle w:val="FootnoteReference"/>
        </w:rPr>
        <w:footnoteRef/>
      </w:r>
      <w:r>
        <w:t xml:space="preserve"> </w:t>
      </w:r>
      <w:r>
        <w:t xml:space="preserve">提前 5:21；太 25:41；罗 9:22-23；弗 1:5-6；箴 16:4。</w:t>
      </w:r>
    </w:p>
  </w:footnote>
  <w:footnote w:id="108">
    <w:p>
      <w:pPr>
        <w:pStyle w:val="FootnoteText"/>
      </w:pPr>
      <w:r>
        <w:rPr>
          <w:rStyle w:val="FootnoteReference"/>
        </w:rPr>
        <w:footnoteRef/>
      </w:r>
      <w:r>
        <w:t xml:space="preserve"> </w:t>
      </w:r>
      <w:r>
        <w:t xml:space="preserve">提后 2:19；约 13:18。</w:t>
      </w:r>
    </w:p>
  </w:footnote>
  <w:footnote w:id="109">
    <w:p>
      <w:pPr>
        <w:pStyle w:val="FootnoteText"/>
      </w:pPr>
      <w:r>
        <w:rPr>
          <w:rStyle w:val="FootnoteReference"/>
        </w:rPr>
        <w:footnoteRef/>
      </w:r>
      <w:r>
        <w:t xml:space="preserve"> </w:t>
      </w:r>
      <w:r>
        <w:t xml:space="preserve">弗 1:4,9,11；罗 8:30；提后 1:9；帖前 5:9。</w:t>
      </w:r>
    </w:p>
  </w:footnote>
  <w:footnote w:id="110">
    <w:p>
      <w:pPr>
        <w:pStyle w:val="FootnoteText"/>
      </w:pPr>
      <w:r>
        <w:rPr>
          <w:rStyle w:val="FootnoteReference"/>
        </w:rPr>
        <w:footnoteRef/>
      </w:r>
      <w:r>
        <w:t xml:space="preserve"> </w:t>
      </w:r>
      <w:r>
        <w:t xml:space="preserve">罗 9:11,13,16；弗 1:4,9。</w:t>
      </w:r>
    </w:p>
  </w:footnote>
  <w:footnote w:id="111">
    <w:p>
      <w:pPr>
        <w:pStyle w:val="FootnoteText"/>
      </w:pPr>
      <w:r>
        <w:rPr>
          <w:rStyle w:val="FootnoteReference"/>
        </w:rPr>
        <w:footnoteRef/>
      </w:r>
      <w:r>
        <w:t xml:space="preserve"> </w:t>
      </w:r>
      <w:r>
        <w:t xml:space="preserve">弗 1:6,12。</w:t>
      </w:r>
    </w:p>
  </w:footnote>
  <w:footnote w:id="112">
    <w:p>
      <w:pPr>
        <w:pStyle w:val="FootnoteText"/>
      </w:pPr>
      <w:r>
        <w:rPr>
          <w:rStyle w:val="FootnoteReference"/>
        </w:rPr>
        <w:footnoteRef/>
      </w:r>
      <w:r>
        <w:t xml:space="preserve"> </w:t>
      </w:r>
      <w:r>
        <w:t xml:space="preserve">彼前 1:2；弗 1:4-5；2:10；帖后 2:13。</w:t>
      </w:r>
    </w:p>
  </w:footnote>
  <w:footnote w:id="113">
    <w:p>
      <w:pPr>
        <w:pStyle w:val="FootnoteText"/>
      </w:pPr>
      <w:r>
        <w:rPr>
          <w:rStyle w:val="FootnoteReference"/>
        </w:rPr>
        <w:footnoteRef/>
      </w:r>
      <w:r>
        <w:t xml:space="preserve"> </w:t>
      </w:r>
      <w:r>
        <w:t xml:space="preserve">帖前 5:9-10；多 2:14。</w:t>
      </w:r>
    </w:p>
  </w:footnote>
  <w:footnote w:id="114">
    <w:p>
      <w:pPr>
        <w:pStyle w:val="FootnoteText"/>
      </w:pPr>
      <w:r>
        <w:rPr>
          <w:rStyle w:val="FootnoteReference"/>
        </w:rPr>
        <w:footnoteRef/>
      </w:r>
      <w:r>
        <w:t xml:space="preserve"> </w:t>
      </w:r>
      <w:r>
        <w:t xml:space="preserve">罗 8:30；弗 1:5；帖后 2:13。</w:t>
      </w:r>
    </w:p>
  </w:footnote>
  <w:footnote w:id="115">
    <w:p>
      <w:pPr>
        <w:pStyle w:val="FootnoteText"/>
      </w:pPr>
      <w:r>
        <w:rPr>
          <w:rStyle w:val="FootnoteReference"/>
        </w:rPr>
        <w:footnoteRef/>
      </w:r>
      <w:r>
        <w:t xml:space="preserve"> </w:t>
      </w:r>
      <w:r>
        <w:t xml:space="preserve">彼前 1:5。</w:t>
      </w:r>
    </w:p>
  </w:footnote>
  <w:footnote w:id="116">
    <w:p>
      <w:pPr>
        <w:pStyle w:val="FootnoteText"/>
      </w:pPr>
      <w:r>
        <w:rPr>
          <w:rStyle w:val="FootnoteReference"/>
        </w:rPr>
        <w:footnoteRef/>
      </w:r>
      <w:r>
        <w:t xml:space="preserve"> </w:t>
      </w:r>
      <w:r>
        <w:t xml:space="preserve">约 17:9；罗 8:28-39；约 6:64-65；约 10:26；约壹 2:19。</w:t>
      </w:r>
    </w:p>
  </w:footnote>
  <w:footnote w:id="117">
    <w:p>
      <w:pPr>
        <w:pStyle w:val="FootnoteText"/>
      </w:pPr>
      <w:r>
        <w:rPr>
          <w:rStyle w:val="FootnoteReference"/>
        </w:rPr>
        <w:footnoteRef/>
      </w:r>
      <w:r>
        <w:t xml:space="preserve"> </w:t>
      </w:r>
      <w:r>
        <w:t xml:space="preserve">太 11:25-26；罗 9:17-18,21-22；提后 2:19-20；犹 1:4；彼前 2:8。</w:t>
      </w:r>
    </w:p>
  </w:footnote>
  <w:footnote w:id="118">
    <w:p>
      <w:pPr>
        <w:pStyle w:val="FootnoteText"/>
      </w:pPr>
      <w:r>
        <w:rPr>
          <w:rStyle w:val="FootnoteReference"/>
        </w:rPr>
        <w:footnoteRef/>
      </w:r>
      <w:r>
        <w:t xml:space="preserve"> </w:t>
      </w:r>
      <w:r>
        <w:t xml:space="preserve">罗 9:20；罗 11:33；申 29:29。</w:t>
      </w:r>
    </w:p>
  </w:footnote>
  <w:footnote w:id="119">
    <w:p>
      <w:pPr>
        <w:pStyle w:val="FootnoteText"/>
      </w:pPr>
      <w:r>
        <w:rPr>
          <w:rStyle w:val="FootnoteReference"/>
        </w:rPr>
        <w:footnoteRef/>
      </w:r>
      <w:r>
        <w:t xml:space="preserve"> </w:t>
      </w:r>
      <w:r>
        <w:t xml:space="preserve">彼后 1:10。</w:t>
      </w:r>
    </w:p>
  </w:footnote>
  <w:footnote w:id="120">
    <w:p>
      <w:pPr>
        <w:pStyle w:val="FootnoteText"/>
      </w:pPr>
      <w:r>
        <w:rPr>
          <w:rStyle w:val="FootnoteReference"/>
        </w:rPr>
        <w:footnoteRef/>
      </w:r>
      <w:r>
        <w:t xml:space="preserve"> </w:t>
      </w:r>
      <w:r>
        <w:t xml:space="preserve">弗 1:6；罗 11:33；罗 8:33；路 10:20。</w:t>
      </w:r>
    </w:p>
  </w:footnote>
  <w:footnote w:id="122">
    <w:p>
      <w:pPr>
        <w:pStyle w:val="FootnoteText"/>
      </w:pPr>
      <w:r>
        <w:rPr>
          <w:rStyle w:val="FootnoteReference"/>
        </w:rPr>
        <w:footnoteRef/>
      </w:r>
      <w:r>
        <w:t xml:space="preserve"> </w:t>
      </w:r>
      <w:r>
        <w:t xml:space="preserve">来 1:2；约 1:2-3；创 1:2；伯 26:13；伯 33:4。</w:t>
      </w:r>
    </w:p>
  </w:footnote>
  <w:footnote w:id="123">
    <w:p>
      <w:pPr>
        <w:pStyle w:val="FootnoteText"/>
      </w:pPr>
      <w:r>
        <w:rPr>
          <w:rStyle w:val="FootnoteReference"/>
        </w:rPr>
        <w:footnoteRef/>
      </w:r>
      <w:r>
        <w:t xml:space="preserve"> </w:t>
      </w:r>
      <w:r>
        <w:t xml:space="preserve">罗 1:20；耶 10:12；诗 104:24；诗 33:5-6。</w:t>
      </w:r>
    </w:p>
  </w:footnote>
  <w:footnote w:id="124">
    <w:p>
      <w:pPr>
        <w:pStyle w:val="FootnoteText"/>
      </w:pPr>
      <w:r>
        <w:rPr>
          <w:rStyle w:val="FootnoteReference"/>
        </w:rPr>
        <w:footnoteRef/>
      </w:r>
      <w:r>
        <w:t xml:space="preserve"> </w:t>
      </w:r>
      <w:r>
        <w:t xml:space="preserve">创 1；来 11:3；西 1:16；徒 17:24。</w:t>
      </w:r>
    </w:p>
  </w:footnote>
  <w:footnote w:id="125">
    <w:p>
      <w:pPr>
        <w:pStyle w:val="FootnoteText"/>
      </w:pPr>
      <w:r>
        <w:rPr>
          <w:rStyle w:val="FootnoteReference"/>
        </w:rPr>
        <w:footnoteRef/>
      </w:r>
      <w:r>
        <w:t xml:space="preserve"> </w:t>
      </w:r>
      <w:r>
        <w:t xml:space="preserve">创 1:27。</w:t>
      </w:r>
    </w:p>
  </w:footnote>
  <w:footnote w:id="126">
    <w:p>
      <w:pPr>
        <w:pStyle w:val="FootnoteText"/>
      </w:pPr>
      <w:r>
        <w:rPr>
          <w:rStyle w:val="FootnoteReference"/>
        </w:rPr>
        <w:footnoteRef/>
      </w:r>
      <w:r>
        <w:t xml:space="preserve"> </w:t>
      </w:r>
      <w:r>
        <w:t xml:space="preserve">创 2:7；传 12:7；路 23:43；太 10:28。</w:t>
      </w:r>
    </w:p>
  </w:footnote>
  <w:footnote w:id="127">
    <w:p>
      <w:pPr>
        <w:pStyle w:val="FootnoteText"/>
      </w:pPr>
      <w:r>
        <w:rPr>
          <w:rStyle w:val="FootnoteReference"/>
        </w:rPr>
        <w:footnoteRef/>
      </w:r>
      <w:r>
        <w:t xml:space="preserve"> </w:t>
      </w:r>
      <w:r>
        <w:t xml:space="preserve">创 1:26；西 3:10；弗 4:24。</w:t>
      </w:r>
    </w:p>
  </w:footnote>
  <w:footnote w:id="128">
    <w:p>
      <w:pPr>
        <w:pStyle w:val="FootnoteText"/>
      </w:pPr>
      <w:r>
        <w:rPr>
          <w:rStyle w:val="FootnoteReference"/>
        </w:rPr>
        <w:footnoteRef/>
      </w:r>
      <w:r>
        <w:t xml:space="preserve"> </w:t>
      </w:r>
      <w:r>
        <w:t xml:space="preserve">罗 2:14-15。</w:t>
      </w:r>
    </w:p>
  </w:footnote>
  <w:footnote w:id="129">
    <w:p>
      <w:pPr>
        <w:pStyle w:val="FootnoteText"/>
      </w:pPr>
      <w:r>
        <w:rPr>
          <w:rStyle w:val="FootnoteReference"/>
        </w:rPr>
        <w:footnoteRef/>
      </w:r>
      <w:r>
        <w:t xml:space="preserve"> </w:t>
      </w:r>
      <w:r>
        <w:t xml:space="preserve">传 7:29。</w:t>
      </w:r>
    </w:p>
  </w:footnote>
  <w:footnote w:id="130">
    <w:p>
      <w:pPr>
        <w:pStyle w:val="FootnoteText"/>
      </w:pPr>
      <w:r>
        <w:rPr>
          <w:rStyle w:val="FootnoteReference"/>
        </w:rPr>
        <w:footnoteRef/>
      </w:r>
      <w:r>
        <w:t xml:space="preserve"> </w:t>
      </w:r>
      <w:r>
        <w:t xml:space="preserve">创 3:6；传 7:29。</w:t>
      </w:r>
    </w:p>
  </w:footnote>
  <w:footnote w:id="131">
    <w:p>
      <w:pPr>
        <w:pStyle w:val="FootnoteText"/>
      </w:pPr>
      <w:r>
        <w:rPr>
          <w:rStyle w:val="FootnoteReference"/>
        </w:rPr>
        <w:footnoteRef/>
      </w:r>
      <w:r>
        <w:t xml:space="preserve"> </w:t>
      </w:r>
      <w:r>
        <w:t xml:space="preserve">创 2:17。</w:t>
      </w:r>
    </w:p>
  </w:footnote>
  <w:footnote w:id="132">
    <w:p>
      <w:pPr>
        <w:pStyle w:val="FootnoteText"/>
      </w:pPr>
      <w:r>
        <w:rPr>
          <w:rStyle w:val="FootnoteReference"/>
        </w:rPr>
        <w:footnoteRef/>
      </w:r>
      <w:r>
        <w:t xml:space="preserve"> </w:t>
      </w:r>
      <w:r>
        <w:t xml:space="preserve">创 1:26,28。</w:t>
      </w:r>
    </w:p>
  </w:footnote>
  <w:footnote w:id="134">
    <w:p>
      <w:pPr>
        <w:pStyle w:val="FootnoteText"/>
      </w:pPr>
      <w:r>
        <w:rPr>
          <w:rStyle w:val="FootnoteReference"/>
        </w:rPr>
        <w:footnoteRef/>
      </w:r>
      <w:r>
        <w:t xml:space="preserve"> </w:t>
      </w:r>
      <w:r>
        <w:t xml:space="preserve">来 1:3；但 4:34-35；诗 135:6；徒 17:25-28；伯 38:11；太 10:29-31。</w:t>
      </w:r>
    </w:p>
  </w:footnote>
  <w:footnote w:id="135">
    <w:p>
      <w:pPr>
        <w:pStyle w:val="FootnoteText"/>
      </w:pPr>
      <w:r>
        <w:rPr>
          <w:rStyle w:val="FootnoteReference"/>
        </w:rPr>
        <w:footnoteRef/>
      </w:r>
      <w:r>
        <w:t xml:space="preserve"> </w:t>
      </w:r>
      <w:r>
        <w:t xml:space="preserve">太 10:29-31。</w:t>
      </w:r>
    </w:p>
  </w:footnote>
  <w:footnote w:id="136">
    <w:p>
      <w:pPr>
        <w:pStyle w:val="FootnoteText"/>
      </w:pPr>
      <w:r>
        <w:rPr>
          <w:rStyle w:val="FootnoteReference"/>
        </w:rPr>
        <w:footnoteRef/>
      </w:r>
      <w:r>
        <w:t xml:space="preserve"> </w:t>
      </w:r>
      <w:r>
        <w:t xml:space="preserve">徒 15:18；诗 94:8-11。</w:t>
      </w:r>
    </w:p>
  </w:footnote>
  <w:footnote w:id="137">
    <w:p>
      <w:pPr>
        <w:pStyle w:val="FootnoteText"/>
      </w:pPr>
      <w:r>
        <w:rPr>
          <w:rStyle w:val="FootnoteReference"/>
        </w:rPr>
        <w:footnoteRef/>
      </w:r>
      <w:r>
        <w:t xml:space="preserve"> </w:t>
      </w:r>
      <w:r>
        <w:t xml:space="preserve">弗 1:11；诗 33:10-11。</w:t>
      </w:r>
    </w:p>
  </w:footnote>
  <w:footnote w:id="138">
    <w:p>
      <w:pPr>
        <w:pStyle w:val="FootnoteText"/>
      </w:pPr>
      <w:r>
        <w:rPr>
          <w:rStyle w:val="FootnoteReference"/>
        </w:rPr>
        <w:footnoteRef/>
      </w:r>
      <w:r>
        <w:t xml:space="preserve"> </w:t>
      </w:r>
      <w:r>
        <w:t xml:space="preserve">赛 63:14；弗 3:10；罗 9:17；创 45:7；诗 145:7。</w:t>
      </w:r>
    </w:p>
  </w:footnote>
  <w:footnote w:id="139">
    <w:p>
      <w:pPr>
        <w:pStyle w:val="FootnoteText"/>
      </w:pPr>
      <w:r>
        <w:rPr>
          <w:rStyle w:val="FootnoteReference"/>
        </w:rPr>
        <w:footnoteRef/>
      </w:r>
      <w:r>
        <w:t xml:space="preserve"> </w:t>
      </w:r>
      <w:r>
        <w:t xml:space="preserve">徒 2:23。</w:t>
      </w:r>
    </w:p>
  </w:footnote>
  <w:footnote w:id="140">
    <w:p>
      <w:pPr>
        <w:pStyle w:val="FootnoteText"/>
      </w:pPr>
      <w:r>
        <w:rPr>
          <w:rStyle w:val="FootnoteReference"/>
        </w:rPr>
        <w:footnoteRef/>
      </w:r>
      <w:r>
        <w:t xml:space="preserve"> </w:t>
      </w:r>
      <w:r>
        <w:t xml:space="preserve">创 8:22；耶 31:35；出 21:13；申 19:5；王上 22:28,34；赛 10:6-7。</w:t>
      </w:r>
    </w:p>
  </w:footnote>
  <w:footnote w:id="141">
    <w:p>
      <w:pPr>
        <w:pStyle w:val="FootnoteText"/>
      </w:pPr>
      <w:r>
        <w:rPr>
          <w:rStyle w:val="FootnoteReference"/>
        </w:rPr>
        <w:footnoteRef/>
      </w:r>
      <w:r>
        <w:t xml:space="preserve"> </w:t>
      </w:r>
      <w:r>
        <w:t xml:space="preserve">徒 27:31,44；赛 55:10-11；何 2:21-22。</w:t>
      </w:r>
    </w:p>
  </w:footnote>
  <w:footnote w:id="142">
    <w:p>
      <w:pPr>
        <w:pStyle w:val="FootnoteText"/>
      </w:pPr>
      <w:r>
        <w:rPr>
          <w:rStyle w:val="FootnoteReference"/>
        </w:rPr>
        <w:footnoteRef/>
      </w:r>
      <w:r>
        <w:t xml:space="preserve"> </w:t>
      </w:r>
      <w:r>
        <w:t xml:space="preserve">何 1:7；太 4:4；伯 34:20。</w:t>
      </w:r>
    </w:p>
  </w:footnote>
  <w:footnote w:id="143">
    <w:p>
      <w:pPr>
        <w:pStyle w:val="FootnoteText"/>
      </w:pPr>
      <w:r>
        <w:rPr>
          <w:rStyle w:val="FootnoteReference"/>
        </w:rPr>
        <w:footnoteRef/>
      </w:r>
      <w:r>
        <w:t xml:space="preserve"> </w:t>
      </w:r>
      <w:r>
        <w:t xml:space="preserve">罗 4:19-21。</w:t>
      </w:r>
    </w:p>
  </w:footnote>
  <w:footnote w:id="144">
    <w:p>
      <w:pPr>
        <w:pStyle w:val="FootnoteText"/>
      </w:pPr>
      <w:r>
        <w:rPr>
          <w:rStyle w:val="FootnoteReference"/>
        </w:rPr>
        <w:footnoteRef/>
      </w:r>
      <w:r>
        <w:t xml:space="preserve"> </w:t>
      </w:r>
      <w:r>
        <w:t xml:space="preserve">王下 6:6；但 3:27。</w:t>
      </w:r>
    </w:p>
  </w:footnote>
  <w:footnote w:id="145">
    <w:p>
      <w:pPr>
        <w:pStyle w:val="FootnoteText"/>
      </w:pPr>
      <w:r>
        <w:rPr>
          <w:rStyle w:val="FootnoteReference"/>
        </w:rPr>
        <w:footnoteRef/>
      </w:r>
      <w:r>
        <w:t xml:space="preserve"> </w:t>
      </w:r>
      <w:r>
        <w:t xml:space="preserve">罗 11:32-34；撒下 24:1；代上 10:4,13-14；撒下 16:10；徒 2:23；徒 4:27-28。</w:t>
      </w:r>
    </w:p>
  </w:footnote>
  <w:footnote w:id="146">
    <w:p>
      <w:pPr>
        <w:pStyle w:val="FootnoteText"/>
      </w:pPr>
      <w:r>
        <w:rPr>
          <w:rStyle w:val="FootnoteReference"/>
        </w:rPr>
        <w:footnoteRef/>
      </w:r>
      <w:r>
        <w:t xml:space="preserve"> </w:t>
      </w:r>
      <w:r>
        <w:t xml:space="preserve">徒 14:16。</w:t>
      </w:r>
    </w:p>
  </w:footnote>
  <w:footnote w:id="147">
    <w:p>
      <w:pPr>
        <w:pStyle w:val="FootnoteText"/>
      </w:pPr>
      <w:r>
        <w:rPr>
          <w:rStyle w:val="FootnoteReference"/>
        </w:rPr>
        <w:footnoteRef/>
      </w:r>
      <w:r>
        <w:t xml:space="preserve"> </w:t>
      </w:r>
      <w:r>
        <w:t xml:space="preserve">诗 76:10；王下 19:28。</w:t>
      </w:r>
    </w:p>
  </w:footnote>
  <w:footnote w:id="148">
    <w:p>
      <w:pPr>
        <w:pStyle w:val="FootnoteText"/>
      </w:pPr>
      <w:r>
        <w:rPr>
          <w:rStyle w:val="FootnoteReference"/>
        </w:rPr>
        <w:footnoteRef/>
      </w:r>
      <w:r>
        <w:t xml:space="preserve"> </w:t>
      </w:r>
      <w:r>
        <w:t xml:space="preserve">创 50:20；赛 10:6-7,12。</w:t>
      </w:r>
    </w:p>
  </w:footnote>
  <w:footnote w:id="149">
    <w:p>
      <w:pPr>
        <w:pStyle w:val="FootnoteText"/>
      </w:pPr>
      <w:r>
        <w:rPr>
          <w:rStyle w:val="FootnoteReference"/>
        </w:rPr>
        <w:footnoteRef/>
      </w:r>
      <w:r>
        <w:t xml:space="preserve"> </w:t>
      </w:r>
      <w:r>
        <w:t xml:space="preserve">雅 1:13-14,17；约壹 2:16；诗 50:21。</w:t>
      </w:r>
    </w:p>
  </w:footnote>
  <w:footnote w:id="150">
    <w:p>
      <w:pPr>
        <w:pStyle w:val="FootnoteText"/>
      </w:pPr>
      <w:r>
        <w:rPr>
          <w:rStyle w:val="FootnoteReference"/>
        </w:rPr>
        <w:footnoteRef/>
      </w:r>
      <w:r>
        <w:t xml:space="preserve"> </w:t>
      </w:r>
      <w:r>
        <w:t xml:space="preserve">代下 32:25-26,31；撒下 24:1。</w:t>
      </w:r>
    </w:p>
  </w:footnote>
  <w:footnote w:id="151">
    <w:p>
      <w:pPr>
        <w:pStyle w:val="FootnoteText"/>
      </w:pPr>
      <w:r>
        <w:rPr>
          <w:rStyle w:val="FootnoteReference"/>
        </w:rPr>
        <w:footnoteRef/>
      </w:r>
      <w:r>
        <w:t xml:space="preserve"> </w:t>
      </w:r>
      <w:r>
        <w:t xml:space="preserve">林后 12:7-9；诗 73:1-28；诗 77:1-12；可 14:66-72；约 21:15-17。</w:t>
      </w:r>
    </w:p>
  </w:footnote>
  <w:footnote w:id="152">
    <w:p>
      <w:pPr>
        <w:pStyle w:val="FootnoteText"/>
      </w:pPr>
      <w:r>
        <w:rPr>
          <w:rStyle w:val="FootnoteReference"/>
        </w:rPr>
        <w:footnoteRef/>
      </w:r>
      <w:r>
        <w:t xml:space="preserve"> </w:t>
      </w:r>
      <w:r>
        <w:t xml:space="preserve">罗 1:24,26,28；罗 11:7-8。</w:t>
      </w:r>
    </w:p>
  </w:footnote>
  <w:footnote w:id="153">
    <w:p>
      <w:pPr>
        <w:pStyle w:val="FootnoteText"/>
      </w:pPr>
      <w:r>
        <w:rPr>
          <w:rStyle w:val="FootnoteReference"/>
        </w:rPr>
        <w:footnoteRef/>
      </w:r>
      <w:r>
        <w:t xml:space="preserve"> </w:t>
      </w:r>
      <w:r>
        <w:t xml:space="preserve">申 29:4。</w:t>
      </w:r>
    </w:p>
  </w:footnote>
  <w:footnote w:id="154">
    <w:p>
      <w:pPr>
        <w:pStyle w:val="FootnoteText"/>
      </w:pPr>
      <w:r>
        <w:rPr>
          <w:rStyle w:val="FootnoteReference"/>
        </w:rPr>
        <w:footnoteRef/>
      </w:r>
      <w:r>
        <w:t xml:space="preserve"> </w:t>
      </w:r>
      <w:r>
        <w:t xml:space="preserve">太 13:12；太 25:29。</w:t>
      </w:r>
    </w:p>
  </w:footnote>
  <w:footnote w:id="155">
    <w:p>
      <w:pPr>
        <w:pStyle w:val="FootnoteText"/>
      </w:pPr>
      <w:r>
        <w:rPr>
          <w:rStyle w:val="FootnoteReference"/>
        </w:rPr>
        <w:footnoteRef/>
      </w:r>
      <w:r>
        <w:t xml:space="preserve"> </w:t>
      </w:r>
      <w:r>
        <w:t xml:space="preserve">申 2:30；王下 8:12-13。</w:t>
      </w:r>
    </w:p>
  </w:footnote>
  <w:footnote w:id="156">
    <w:p>
      <w:pPr>
        <w:pStyle w:val="FootnoteText"/>
      </w:pPr>
      <w:r>
        <w:rPr>
          <w:rStyle w:val="FootnoteReference"/>
        </w:rPr>
        <w:footnoteRef/>
      </w:r>
      <w:r>
        <w:t xml:space="preserve"> </w:t>
      </w:r>
      <w:r>
        <w:t xml:space="preserve">诗 81:11-12；帖后 2:10-12。</w:t>
      </w:r>
    </w:p>
  </w:footnote>
  <w:footnote w:id="157">
    <w:p>
      <w:pPr>
        <w:pStyle w:val="FootnoteText"/>
      </w:pPr>
      <w:r>
        <w:rPr>
          <w:rStyle w:val="FootnoteReference"/>
        </w:rPr>
        <w:footnoteRef/>
      </w:r>
      <w:r>
        <w:t xml:space="preserve"> </w:t>
      </w:r>
      <w:r>
        <w:t xml:space="preserve">出 7:3；出 8:15,32；林后 2:15-16；赛 8:14；彼前 2:7-8；赛 6:9-10；徒 28:26-27。</w:t>
      </w:r>
    </w:p>
  </w:footnote>
  <w:footnote w:id="158">
    <w:p>
      <w:pPr>
        <w:pStyle w:val="FootnoteText"/>
      </w:pPr>
      <w:r>
        <w:rPr>
          <w:rStyle w:val="FootnoteReference"/>
        </w:rPr>
        <w:footnoteRef/>
      </w:r>
      <w:r>
        <w:t xml:space="preserve"> </w:t>
      </w:r>
      <w:r>
        <w:t xml:space="preserve">诗 145:9；太 10:29-31。</w:t>
      </w:r>
    </w:p>
  </w:footnote>
  <w:footnote w:id="159">
    <w:p>
      <w:pPr>
        <w:pStyle w:val="FootnoteText"/>
      </w:pPr>
      <w:r>
        <w:rPr>
          <w:rStyle w:val="FootnoteReference"/>
        </w:rPr>
        <w:footnoteRef/>
      </w:r>
      <w:r>
        <w:t xml:space="preserve"> </w:t>
      </w:r>
      <w:r>
        <w:t xml:space="preserve">提前 4:10；摩 9:8-9；赛 43:3-5,14。</w:t>
      </w:r>
    </w:p>
  </w:footnote>
  <w:footnote w:id="161">
    <w:p>
      <w:pPr>
        <w:pStyle w:val="FootnoteText"/>
      </w:pPr>
      <w:r>
        <w:rPr>
          <w:rStyle w:val="FootnoteReference"/>
        </w:rPr>
        <w:footnoteRef/>
      </w:r>
      <w:r>
        <w:t xml:space="preserve"> </w:t>
      </w:r>
      <w:r>
        <w:t xml:space="preserve">创 3:13；林后 11:3。</w:t>
      </w:r>
    </w:p>
  </w:footnote>
  <w:footnote w:id="162">
    <w:p>
      <w:pPr>
        <w:pStyle w:val="FootnoteText"/>
      </w:pPr>
      <w:r>
        <w:rPr>
          <w:rStyle w:val="FootnoteReference"/>
        </w:rPr>
        <w:footnoteRef/>
      </w:r>
      <w:r>
        <w:t xml:space="preserve"> </w:t>
      </w:r>
      <w:r>
        <w:t xml:space="preserve">罗 11:32。</w:t>
      </w:r>
    </w:p>
  </w:footnote>
  <w:footnote w:id="163">
    <w:p>
      <w:pPr>
        <w:pStyle w:val="FootnoteText"/>
      </w:pPr>
      <w:r>
        <w:rPr>
          <w:rStyle w:val="FootnoteReference"/>
        </w:rPr>
        <w:footnoteRef/>
      </w:r>
      <w:r>
        <w:t xml:space="preserve"> </w:t>
      </w:r>
      <w:r>
        <w:t xml:space="preserve">创 3:6-8；传 7:29；罗 3:23。</w:t>
      </w:r>
    </w:p>
  </w:footnote>
  <w:footnote w:id="164">
    <w:p>
      <w:pPr>
        <w:pStyle w:val="FootnoteText"/>
      </w:pPr>
      <w:r>
        <w:rPr>
          <w:rStyle w:val="FootnoteReference"/>
        </w:rPr>
        <w:footnoteRef/>
      </w:r>
      <w:r>
        <w:t xml:space="preserve"> </w:t>
      </w:r>
      <w:r>
        <w:t xml:space="preserve">创 2:17；弗 2:1。</w:t>
      </w:r>
    </w:p>
  </w:footnote>
  <w:footnote w:id="165">
    <w:p>
      <w:pPr>
        <w:pStyle w:val="FootnoteText"/>
      </w:pPr>
      <w:r>
        <w:rPr>
          <w:rStyle w:val="FootnoteReference"/>
        </w:rPr>
        <w:footnoteRef/>
      </w:r>
      <w:r>
        <w:t xml:space="preserve"> </w:t>
      </w:r>
      <w:r>
        <w:t xml:space="preserve">多 1:15；创 6:5；耶 17:9；罗 3:10-18。</w:t>
      </w:r>
    </w:p>
  </w:footnote>
  <w:footnote w:id="166">
    <w:p>
      <w:pPr>
        <w:pStyle w:val="FootnoteText"/>
      </w:pPr>
      <w:r>
        <w:rPr>
          <w:rStyle w:val="FootnoteReference"/>
        </w:rPr>
        <w:footnoteRef/>
      </w:r>
      <w:r>
        <w:t xml:space="preserve"> </w:t>
      </w:r>
      <w:r>
        <w:t xml:space="preserve">创 1:27-28；创 2:16-17；徒 17:26；罗 5:12,15-19；林前 15:21-22,45,49。</w:t>
      </w:r>
    </w:p>
  </w:footnote>
  <w:footnote w:id="167">
    <w:p>
      <w:pPr>
        <w:pStyle w:val="FootnoteText"/>
      </w:pPr>
      <w:r>
        <w:rPr>
          <w:rStyle w:val="FootnoteReference"/>
        </w:rPr>
        <w:footnoteRef/>
      </w:r>
      <w:r>
        <w:t xml:space="preserve"> </w:t>
      </w:r>
      <w:r>
        <w:t xml:space="preserve">诗 51:5；创 5:3；伯 14:4；伯 15:14。</w:t>
      </w:r>
    </w:p>
  </w:footnote>
  <w:footnote w:id="168">
    <w:p>
      <w:pPr>
        <w:pStyle w:val="FootnoteText"/>
      </w:pPr>
      <w:r>
        <w:rPr>
          <w:rStyle w:val="FootnoteReference"/>
        </w:rPr>
        <w:footnoteRef/>
      </w:r>
      <w:r>
        <w:t xml:space="preserve"> </w:t>
      </w:r>
      <w:r>
        <w:t xml:space="preserve">罗 5:6；罗 8:7-8；西 1:21。</w:t>
      </w:r>
    </w:p>
  </w:footnote>
  <w:footnote w:id="169">
    <w:p>
      <w:pPr>
        <w:pStyle w:val="FootnoteText"/>
      </w:pPr>
      <w:r>
        <w:rPr>
          <w:rStyle w:val="FootnoteReference"/>
        </w:rPr>
        <w:footnoteRef/>
      </w:r>
      <w:r>
        <w:t xml:space="preserve"> </w:t>
      </w:r>
      <w:r>
        <w:t xml:space="preserve">创 6:5；创 8:21；罗 3:10-12。</w:t>
      </w:r>
    </w:p>
  </w:footnote>
  <w:footnote w:id="170">
    <w:p>
      <w:pPr>
        <w:pStyle w:val="FootnoteText"/>
      </w:pPr>
      <w:r>
        <w:rPr>
          <w:rStyle w:val="FootnoteReference"/>
        </w:rPr>
        <w:footnoteRef/>
      </w:r>
      <w:r>
        <w:t xml:space="preserve"> </w:t>
      </w:r>
      <w:r>
        <w:t xml:space="preserve">雅 1:14-15；弗 2:2-3；太 15:19。</w:t>
      </w:r>
    </w:p>
  </w:footnote>
  <w:footnote w:id="171">
    <w:p>
      <w:pPr>
        <w:pStyle w:val="FootnoteText"/>
      </w:pPr>
      <w:r>
        <w:rPr>
          <w:rStyle w:val="FootnoteReference"/>
        </w:rPr>
        <w:footnoteRef/>
      </w:r>
      <w:r>
        <w:t xml:space="preserve"> </w:t>
      </w:r>
      <w:r>
        <w:t xml:space="preserve">约壹 1:8,10；罗 7:14,17-18,23；雅 3:2；箴 20:9；传 7:20。</w:t>
      </w:r>
    </w:p>
  </w:footnote>
  <w:footnote w:id="172">
    <w:p>
      <w:pPr>
        <w:pStyle w:val="FootnoteText"/>
      </w:pPr>
      <w:r>
        <w:rPr>
          <w:rStyle w:val="FootnoteReference"/>
        </w:rPr>
        <w:footnoteRef/>
      </w:r>
      <w:r>
        <w:t xml:space="preserve"> </w:t>
      </w:r>
      <w:r>
        <w:t xml:space="preserve">罗 7:5,7-8,25；加 5:17。</w:t>
      </w:r>
    </w:p>
  </w:footnote>
  <w:footnote w:id="173">
    <w:p>
      <w:pPr>
        <w:pStyle w:val="FootnoteText"/>
      </w:pPr>
      <w:r>
        <w:rPr>
          <w:rStyle w:val="FootnoteReference"/>
        </w:rPr>
        <w:footnoteRef/>
      </w:r>
      <w:r>
        <w:t xml:space="preserve"> </w:t>
      </w:r>
      <w:r>
        <w:t xml:space="preserve">约壹 3:4。</w:t>
      </w:r>
    </w:p>
  </w:footnote>
  <w:footnote w:id="174">
    <w:p>
      <w:pPr>
        <w:pStyle w:val="FootnoteText"/>
      </w:pPr>
      <w:r>
        <w:rPr>
          <w:rStyle w:val="FootnoteReference"/>
        </w:rPr>
        <w:footnoteRef/>
      </w:r>
      <w:r>
        <w:t xml:space="preserve"> </w:t>
      </w:r>
      <w:r>
        <w:t xml:space="preserve">罗 2:15；罗 3:9,19。</w:t>
      </w:r>
    </w:p>
  </w:footnote>
  <w:footnote w:id="175">
    <w:p>
      <w:pPr>
        <w:pStyle w:val="FootnoteText"/>
      </w:pPr>
      <w:r>
        <w:rPr>
          <w:rStyle w:val="FootnoteReference"/>
        </w:rPr>
        <w:footnoteRef/>
      </w:r>
      <w:r>
        <w:t xml:space="preserve"> </w:t>
      </w:r>
      <w:r>
        <w:t xml:space="preserve">弗 2:3。</w:t>
      </w:r>
    </w:p>
  </w:footnote>
  <w:footnote w:id="176">
    <w:p>
      <w:pPr>
        <w:pStyle w:val="FootnoteText"/>
      </w:pPr>
      <w:r>
        <w:rPr>
          <w:rStyle w:val="FootnoteReference"/>
        </w:rPr>
        <w:footnoteRef/>
      </w:r>
      <w:r>
        <w:t xml:space="preserve"> </w:t>
      </w:r>
      <w:r>
        <w:t xml:space="preserve">加 3:10。</w:t>
      </w:r>
    </w:p>
  </w:footnote>
  <w:footnote w:id="177">
    <w:p>
      <w:pPr>
        <w:pStyle w:val="FootnoteText"/>
      </w:pPr>
      <w:r>
        <w:rPr>
          <w:rStyle w:val="FootnoteReference"/>
        </w:rPr>
        <w:footnoteRef/>
      </w:r>
      <w:r>
        <w:t xml:space="preserve"> </w:t>
      </w:r>
      <w:r>
        <w:t xml:space="preserve">罗 6:23。</w:t>
      </w:r>
    </w:p>
  </w:footnote>
  <w:footnote w:id="178">
    <w:p>
      <w:pPr>
        <w:pStyle w:val="FootnoteText"/>
      </w:pPr>
      <w:r>
        <w:rPr>
          <w:rStyle w:val="FootnoteReference"/>
        </w:rPr>
        <w:footnoteRef/>
      </w:r>
      <w:r>
        <w:t xml:space="preserve"> </w:t>
      </w:r>
      <w:r>
        <w:t xml:space="preserve">弗 4:18。</w:t>
      </w:r>
    </w:p>
  </w:footnote>
  <w:footnote w:id="179">
    <w:p>
      <w:pPr>
        <w:pStyle w:val="FootnoteText"/>
      </w:pPr>
      <w:r>
        <w:rPr>
          <w:rStyle w:val="FootnoteReference"/>
        </w:rPr>
        <w:footnoteRef/>
      </w:r>
      <w:r>
        <w:t xml:space="preserve"> </w:t>
      </w:r>
      <w:r>
        <w:t xml:space="preserve">哀 3:39；罗 8:20。</w:t>
      </w:r>
    </w:p>
  </w:footnote>
  <w:footnote w:id="180">
    <w:p>
      <w:pPr>
        <w:pStyle w:val="FootnoteText"/>
      </w:pPr>
      <w:r>
        <w:rPr>
          <w:rStyle w:val="FootnoteReference"/>
        </w:rPr>
        <w:footnoteRef/>
      </w:r>
      <w:r>
        <w:t xml:space="preserve"> </w:t>
      </w:r>
      <w:r>
        <w:t xml:space="preserve">太 25:41；帖后 1:9。</w:t>
      </w:r>
    </w:p>
  </w:footnote>
  <w:footnote w:id="182">
    <w:p>
      <w:pPr>
        <w:pStyle w:val="FootnoteText"/>
      </w:pPr>
      <w:r>
        <w:rPr>
          <w:rStyle w:val="FootnoteReference"/>
        </w:rPr>
        <w:footnoteRef/>
      </w:r>
      <w:r>
        <w:t xml:space="preserve"> </w:t>
      </w:r>
      <w:r>
        <w:t xml:space="preserve">赛 40:13-17；伯 9:32-33；撒上 2:25；诗 113:5-6；徒 17:24-25。</w:t>
      </w:r>
    </w:p>
  </w:footnote>
  <w:footnote w:id="183">
    <w:p>
      <w:pPr>
        <w:pStyle w:val="FootnoteText"/>
      </w:pPr>
      <w:r>
        <w:rPr>
          <w:rStyle w:val="FootnoteReference"/>
        </w:rPr>
        <w:footnoteRef/>
      </w:r>
      <w:r>
        <w:t xml:space="preserve"> </w:t>
      </w:r>
      <w:r>
        <w:t xml:space="preserve">加 3:12。</w:t>
      </w:r>
    </w:p>
  </w:footnote>
  <w:footnote w:id="184">
    <w:p>
      <w:pPr>
        <w:pStyle w:val="FootnoteText"/>
      </w:pPr>
      <w:r>
        <w:rPr>
          <w:rStyle w:val="FootnoteReference"/>
        </w:rPr>
        <w:footnoteRef/>
      </w:r>
      <w:r>
        <w:t xml:space="preserve"> </w:t>
      </w:r>
      <w:r>
        <w:t xml:space="preserve">罗 10:5；罗 5:12-20。</w:t>
      </w:r>
    </w:p>
  </w:footnote>
  <w:footnote w:id="185">
    <w:p>
      <w:pPr>
        <w:pStyle w:val="FootnoteText"/>
      </w:pPr>
      <w:r>
        <w:rPr>
          <w:rStyle w:val="FootnoteReference"/>
        </w:rPr>
        <w:footnoteRef/>
      </w:r>
      <w:r>
        <w:t xml:space="preserve"> </w:t>
      </w:r>
      <w:r>
        <w:t xml:space="preserve">创 2:17；加 3:10。</w:t>
      </w:r>
    </w:p>
  </w:footnote>
  <w:footnote w:id="186">
    <w:p>
      <w:pPr>
        <w:pStyle w:val="FootnoteText"/>
      </w:pPr>
      <w:r>
        <w:rPr>
          <w:rStyle w:val="FootnoteReference"/>
        </w:rPr>
        <w:footnoteRef/>
      </w:r>
      <w:r>
        <w:t xml:space="preserve"> </w:t>
      </w:r>
      <w:r>
        <w:t xml:space="preserve">加 3:21；罗 8:3；创 3:15；赛 42:6。</w:t>
      </w:r>
    </w:p>
  </w:footnote>
  <w:footnote w:id="187">
    <w:p>
      <w:pPr>
        <w:pStyle w:val="FootnoteText"/>
      </w:pPr>
      <w:r>
        <w:rPr>
          <w:rStyle w:val="FootnoteReference"/>
        </w:rPr>
        <w:footnoteRef/>
      </w:r>
      <w:r>
        <w:t xml:space="preserve"> </w:t>
      </w:r>
      <w:r>
        <w:t xml:space="preserve">可 16:15-16；约 3:16；罗 10:6,9；加 3:11。</w:t>
      </w:r>
    </w:p>
  </w:footnote>
  <w:footnote w:id="188">
    <w:p>
      <w:pPr>
        <w:pStyle w:val="FootnoteText"/>
      </w:pPr>
      <w:r>
        <w:rPr>
          <w:rStyle w:val="FootnoteReference"/>
        </w:rPr>
        <w:footnoteRef/>
      </w:r>
      <w:r>
        <w:t xml:space="preserve"> </w:t>
      </w:r>
      <w:r>
        <w:t xml:space="preserve">结 36:26-27；约 6:44-45。</w:t>
      </w:r>
    </w:p>
  </w:footnote>
  <w:footnote w:id="189">
    <w:p>
      <w:pPr>
        <w:pStyle w:val="FootnoteText"/>
      </w:pPr>
      <w:r>
        <w:rPr>
          <w:rStyle w:val="FootnoteReference"/>
        </w:rPr>
        <w:footnoteRef/>
      </w:r>
      <w:r>
        <w:t xml:space="preserve"> </w:t>
      </w:r>
      <w:r>
        <w:t xml:space="preserve">来 9:15-17；来 7:22；路 22:20；林前 11:25。</w:t>
      </w:r>
    </w:p>
  </w:footnote>
  <w:footnote w:id="190">
    <w:p>
      <w:pPr>
        <w:pStyle w:val="FootnoteText"/>
      </w:pPr>
      <w:r>
        <w:rPr>
          <w:rStyle w:val="FootnoteReference"/>
        </w:rPr>
        <w:footnoteRef/>
      </w:r>
      <w:r>
        <w:t xml:space="preserve"> </w:t>
      </w:r>
      <w:r>
        <w:t xml:space="preserve">林后 3:6-9。</w:t>
      </w:r>
    </w:p>
  </w:footnote>
  <w:footnote w:id="191">
    <w:p>
      <w:pPr>
        <w:pStyle w:val="FootnoteText"/>
      </w:pPr>
      <w:r>
        <w:rPr>
          <w:rStyle w:val="FootnoteReference"/>
        </w:rPr>
        <w:footnoteRef/>
      </w:r>
      <w:r>
        <w:t xml:space="preserve"> </w:t>
      </w:r>
      <w:r>
        <w:t xml:space="preserve">来 8:6；来 10:1；罗 4:11；西 2:11-12；林前 5:7。</w:t>
      </w:r>
    </w:p>
  </w:footnote>
  <w:footnote w:id="192">
    <w:p>
      <w:pPr>
        <w:pStyle w:val="FootnoteText"/>
      </w:pPr>
      <w:r>
        <w:rPr>
          <w:rStyle w:val="FootnoteReference"/>
        </w:rPr>
        <w:footnoteRef/>
      </w:r>
      <w:r>
        <w:t xml:space="preserve"> </w:t>
      </w:r>
      <w:r>
        <w:t xml:space="preserve">林前 10:1-4；来 11:13；约 8:56。</w:t>
      </w:r>
    </w:p>
  </w:footnote>
  <w:footnote w:id="193">
    <w:p>
      <w:pPr>
        <w:pStyle w:val="FootnoteText"/>
      </w:pPr>
      <w:r>
        <w:rPr>
          <w:rStyle w:val="FootnoteReference"/>
        </w:rPr>
        <w:footnoteRef/>
      </w:r>
      <w:r>
        <w:t xml:space="preserve"> </w:t>
      </w:r>
      <w:r>
        <w:t xml:space="preserve">加 3:7-9,14。</w:t>
      </w:r>
    </w:p>
  </w:footnote>
  <w:footnote w:id="194">
    <w:p>
      <w:pPr>
        <w:pStyle w:val="FootnoteText"/>
      </w:pPr>
      <w:r>
        <w:rPr>
          <w:rStyle w:val="FootnoteReference"/>
        </w:rPr>
        <w:footnoteRef/>
      </w:r>
      <w:r>
        <w:t xml:space="preserve"> </w:t>
      </w:r>
      <w:r>
        <w:t xml:space="preserve">加 3:14。</w:t>
      </w:r>
    </w:p>
  </w:footnote>
  <w:footnote w:id="195">
    <w:p>
      <w:pPr>
        <w:pStyle w:val="FootnoteText"/>
      </w:pPr>
      <w:r>
        <w:rPr>
          <w:rStyle w:val="FootnoteReference"/>
        </w:rPr>
        <w:footnoteRef/>
      </w:r>
      <w:r>
        <w:t xml:space="preserve"> </w:t>
      </w:r>
      <w:r>
        <w:t xml:space="preserve">可 16:15-16；太 28:19-20；林前 11:23-25。</w:t>
      </w:r>
    </w:p>
  </w:footnote>
  <w:footnote w:id="196">
    <w:p>
      <w:pPr>
        <w:pStyle w:val="FootnoteText"/>
      </w:pPr>
      <w:r>
        <w:rPr>
          <w:rStyle w:val="FootnoteReference"/>
        </w:rPr>
        <w:footnoteRef/>
      </w:r>
      <w:r>
        <w:t xml:space="preserve"> </w:t>
      </w:r>
      <w:r>
        <w:t xml:space="preserve">来 12:22-28；耶 31:33-34。</w:t>
      </w:r>
    </w:p>
  </w:footnote>
  <w:footnote w:id="197">
    <w:p>
      <w:pPr>
        <w:pStyle w:val="FootnoteText"/>
      </w:pPr>
      <w:r>
        <w:rPr>
          <w:rStyle w:val="FootnoteReference"/>
        </w:rPr>
        <w:footnoteRef/>
      </w:r>
      <w:r>
        <w:t xml:space="preserve"> </w:t>
      </w:r>
      <w:r>
        <w:t xml:space="preserve">太 28:19；弗 2:15-19。</w:t>
      </w:r>
    </w:p>
  </w:footnote>
  <w:footnote w:id="198">
    <w:p>
      <w:pPr>
        <w:pStyle w:val="FootnoteText"/>
      </w:pPr>
      <w:r>
        <w:rPr>
          <w:rStyle w:val="FootnoteReference"/>
        </w:rPr>
        <w:footnoteRef/>
      </w:r>
      <w:r>
        <w:t xml:space="preserve"> </w:t>
      </w:r>
      <w:r>
        <w:t xml:space="preserve">路 22:20。</w:t>
      </w:r>
    </w:p>
  </w:footnote>
  <w:footnote w:id="199">
    <w:p>
      <w:pPr>
        <w:pStyle w:val="FootnoteText"/>
      </w:pPr>
      <w:r>
        <w:rPr>
          <w:rStyle w:val="FootnoteReference"/>
        </w:rPr>
        <w:footnoteRef/>
      </w:r>
      <w:r>
        <w:t xml:space="preserve"> </w:t>
      </w:r>
      <w:r>
        <w:t xml:space="preserve">加 3:14,16；徒 15:11；罗 3:21-23,30；诗 32:1。</w:t>
      </w:r>
    </w:p>
  </w:footnote>
  <w:footnote w:id="201">
    <w:p>
      <w:pPr>
        <w:pStyle w:val="FootnoteText"/>
      </w:pPr>
      <w:r>
        <w:rPr>
          <w:rStyle w:val="FootnoteReference"/>
        </w:rPr>
        <w:footnoteRef/>
      </w:r>
      <w:r>
        <w:t xml:space="preserve"> </w:t>
      </w:r>
      <w:r>
        <w:t xml:space="preserve">赛 42:1；彼前 1:19-20；约 3:16；提前 2:5。</w:t>
      </w:r>
    </w:p>
  </w:footnote>
  <w:footnote w:id="202">
    <w:p>
      <w:pPr>
        <w:pStyle w:val="FootnoteText"/>
      </w:pPr>
      <w:r>
        <w:rPr>
          <w:rStyle w:val="FootnoteReference"/>
        </w:rPr>
        <w:footnoteRef/>
      </w:r>
      <w:r>
        <w:t xml:space="preserve"> </w:t>
      </w:r>
      <w:r>
        <w:t xml:space="preserve">徒 3:22。</w:t>
      </w:r>
    </w:p>
  </w:footnote>
  <w:footnote w:id="203">
    <w:p>
      <w:pPr>
        <w:pStyle w:val="FootnoteText"/>
      </w:pPr>
      <w:r>
        <w:rPr>
          <w:rStyle w:val="FootnoteReference"/>
        </w:rPr>
        <w:footnoteRef/>
      </w:r>
      <w:r>
        <w:t xml:space="preserve"> </w:t>
      </w:r>
      <w:r>
        <w:t xml:space="preserve">来 5:5-6。</w:t>
      </w:r>
    </w:p>
  </w:footnote>
  <w:footnote w:id="204">
    <w:p>
      <w:pPr>
        <w:pStyle w:val="FootnoteText"/>
      </w:pPr>
      <w:r>
        <w:rPr>
          <w:rStyle w:val="FootnoteReference"/>
        </w:rPr>
        <w:footnoteRef/>
      </w:r>
      <w:r>
        <w:t xml:space="preserve"> </w:t>
      </w:r>
      <w:r>
        <w:t xml:space="preserve">诗 2:6；路 1:33。</w:t>
      </w:r>
    </w:p>
  </w:footnote>
  <w:footnote w:id="205">
    <w:p>
      <w:pPr>
        <w:pStyle w:val="FootnoteText"/>
      </w:pPr>
      <w:r>
        <w:rPr>
          <w:rStyle w:val="FootnoteReference"/>
        </w:rPr>
        <w:footnoteRef/>
      </w:r>
      <w:r>
        <w:t xml:space="preserve"> </w:t>
      </w:r>
      <w:r>
        <w:t xml:space="preserve">弗 5:23。</w:t>
      </w:r>
    </w:p>
  </w:footnote>
  <w:footnote w:id="206">
    <w:p>
      <w:pPr>
        <w:pStyle w:val="FootnoteText"/>
      </w:pPr>
      <w:r>
        <w:rPr>
          <w:rStyle w:val="FootnoteReference"/>
        </w:rPr>
        <w:footnoteRef/>
      </w:r>
      <w:r>
        <w:t xml:space="preserve"> </w:t>
      </w:r>
      <w:r>
        <w:t xml:space="preserve">来 1:2。</w:t>
      </w:r>
    </w:p>
  </w:footnote>
  <w:footnote w:id="207">
    <w:p>
      <w:pPr>
        <w:pStyle w:val="FootnoteText"/>
      </w:pPr>
      <w:r>
        <w:rPr>
          <w:rStyle w:val="FootnoteReference"/>
        </w:rPr>
        <w:footnoteRef/>
      </w:r>
      <w:r>
        <w:t xml:space="preserve"> </w:t>
      </w:r>
      <w:r>
        <w:t xml:space="preserve">徒 17:31。</w:t>
      </w:r>
    </w:p>
  </w:footnote>
  <w:footnote w:id="208">
    <w:p>
      <w:pPr>
        <w:pStyle w:val="FootnoteText"/>
      </w:pPr>
      <w:r>
        <w:rPr>
          <w:rStyle w:val="FootnoteReference"/>
        </w:rPr>
        <w:footnoteRef/>
      </w:r>
      <w:r>
        <w:t xml:space="preserve"> </w:t>
      </w:r>
      <w:r>
        <w:t xml:space="preserve">约 17:6；诗 22:30；赛 53:10；提前 2:6；赛 55:4-5；林前 1:30。</w:t>
      </w:r>
    </w:p>
  </w:footnote>
  <w:footnote w:id="209">
    <w:p>
      <w:pPr>
        <w:pStyle w:val="FootnoteText"/>
      </w:pPr>
      <w:r>
        <w:rPr>
          <w:rStyle w:val="FootnoteReference"/>
        </w:rPr>
        <w:footnoteRef/>
      </w:r>
      <w:r>
        <w:t xml:space="preserve"> </w:t>
      </w:r>
      <w:r>
        <w:t xml:space="preserve">约 1:1,14；约壹 5:20；腓 2:6；加 4:4。</w:t>
      </w:r>
    </w:p>
  </w:footnote>
  <w:footnote w:id="210">
    <w:p>
      <w:pPr>
        <w:pStyle w:val="FootnoteText"/>
      </w:pPr>
      <w:r>
        <w:rPr>
          <w:rStyle w:val="FootnoteReference"/>
        </w:rPr>
        <w:footnoteRef/>
      </w:r>
      <w:r>
        <w:t xml:space="preserve"> </w:t>
      </w:r>
      <w:r>
        <w:t xml:space="preserve">来 2:14,16-17；来 4:15。</w:t>
      </w:r>
    </w:p>
  </w:footnote>
  <w:footnote w:id="211">
    <w:p>
      <w:pPr>
        <w:pStyle w:val="FootnoteText"/>
      </w:pPr>
      <w:r>
        <w:rPr>
          <w:rStyle w:val="FootnoteReference"/>
        </w:rPr>
        <w:footnoteRef/>
      </w:r>
      <w:r>
        <w:t xml:space="preserve"> </w:t>
      </w:r>
      <w:r>
        <w:t xml:space="preserve">路 1:27,31,35；加 4:4。</w:t>
      </w:r>
    </w:p>
  </w:footnote>
  <w:footnote w:id="212">
    <w:p>
      <w:pPr>
        <w:pStyle w:val="FootnoteText"/>
      </w:pPr>
      <w:r>
        <w:rPr>
          <w:rStyle w:val="FootnoteReference"/>
        </w:rPr>
        <w:footnoteRef/>
      </w:r>
      <w:r>
        <w:t xml:space="preserve"> </w:t>
      </w:r>
      <w:r>
        <w:t xml:space="preserve">路 1:35；西 2:9；罗 9:5；提前 3:16；彼前 3:18。</w:t>
      </w:r>
    </w:p>
  </w:footnote>
  <w:footnote w:id="213">
    <w:p>
      <w:pPr>
        <w:pStyle w:val="FootnoteText"/>
      </w:pPr>
      <w:r>
        <w:rPr>
          <w:rStyle w:val="FootnoteReference"/>
        </w:rPr>
        <w:footnoteRef/>
      </w:r>
      <w:r>
        <w:t xml:space="preserve"> </w:t>
      </w:r>
      <w:r>
        <w:t xml:space="preserve">罗 1:3-4；提前 2:5。</w:t>
      </w:r>
    </w:p>
  </w:footnote>
  <w:footnote w:id="214">
    <w:p>
      <w:pPr>
        <w:pStyle w:val="FootnoteText"/>
      </w:pPr>
      <w:r>
        <w:rPr>
          <w:rStyle w:val="FootnoteReference"/>
        </w:rPr>
        <w:footnoteRef/>
      </w:r>
      <w:r>
        <w:t xml:space="preserve"> </w:t>
      </w:r>
      <w:r>
        <w:t xml:space="preserve">诗 45:7；约 3:34。</w:t>
      </w:r>
    </w:p>
  </w:footnote>
  <w:footnote w:id="215">
    <w:p>
      <w:pPr>
        <w:pStyle w:val="FootnoteText"/>
      </w:pPr>
      <w:r>
        <w:rPr>
          <w:rStyle w:val="FootnoteReference"/>
        </w:rPr>
        <w:footnoteRef/>
      </w:r>
      <w:r>
        <w:t xml:space="preserve"> </w:t>
      </w:r>
      <w:r>
        <w:t xml:space="preserve">西 2:3。</w:t>
      </w:r>
    </w:p>
  </w:footnote>
  <w:footnote w:id="216">
    <w:p>
      <w:pPr>
        <w:pStyle w:val="FootnoteText"/>
      </w:pPr>
      <w:r>
        <w:rPr>
          <w:rStyle w:val="FootnoteReference"/>
        </w:rPr>
        <w:footnoteRef/>
      </w:r>
      <w:r>
        <w:t xml:space="preserve"> </w:t>
      </w:r>
      <w:r>
        <w:t xml:space="preserve">西 1:19。</w:t>
      </w:r>
    </w:p>
  </w:footnote>
  <w:footnote w:id="217">
    <w:p>
      <w:pPr>
        <w:pStyle w:val="FootnoteText"/>
      </w:pPr>
      <w:r>
        <w:rPr>
          <w:rStyle w:val="FootnoteReference"/>
        </w:rPr>
        <w:footnoteRef/>
      </w:r>
      <w:r>
        <w:t xml:space="preserve"> </w:t>
      </w:r>
      <w:r>
        <w:t xml:space="preserve">来 7:26；约 1:14。</w:t>
      </w:r>
    </w:p>
  </w:footnote>
  <w:footnote w:id="218">
    <w:p>
      <w:pPr>
        <w:pStyle w:val="FootnoteText"/>
      </w:pPr>
      <w:r>
        <w:rPr>
          <w:rStyle w:val="FootnoteReference"/>
        </w:rPr>
        <w:footnoteRef/>
      </w:r>
      <w:r>
        <w:t xml:space="preserve"> </w:t>
      </w:r>
      <w:r>
        <w:t xml:space="preserve">来 7:22；来 9:14-15。</w:t>
      </w:r>
    </w:p>
  </w:footnote>
  <w:footnote w:id="219">
    <w:p>
      <w:pPr>
        <w:pStyle w:val="FootnoteText"/>
      </w:pPr>
      <w:r>
        <w:rPr>
          <w:rStyle w:val="FootnoteReference"/>
        </w:rPr>
        <w:footnoteRef/>
      </w:r>
      <w:r>
        <w:t xml:space="preserve"> </w:t>
      </w:r>
      <w:r>
        <w:t xml:space="preserve">来 5:4-5。</w:t>
      </w:r>
    </w:p>
  </w:footnote>
  <w:footnote w:id="220">
    <w:p>
      <w:pPr>
        <w:pStyle w:val="FootnoteText"/>
      </w:pPr>
      <w:r>
        <w:rPr>
          <w:rStyle w:val="FootnoteReference"/>
        </w:rPr>
        <w:footnoteRef/>
      </w:r>
      <w:r>
        <w:t xml:space="preserve"> </w:t>
      </w:r>
      <w:r>
        <w:t xml:space="preserve">约 5:22,27；太 28:18；徒 2:36。</w:t>
      </w:r>
    </w:p>
  </w:footnote>
  <w:footnote w:id="221">
    <w:p>
      <w:pPr>
        <w:pStyle w:val="FootnoteText"/>
      </w:pPr>
      <w:r>
        <w:rPr>
          <w:rStyle w:val="FootnoteReference"/>
        </w:rPr>
        <w:footnoteRef/>
      </w:r>
      <w:r>
        <w:t xml:space="preserve"> </w:t>
      </w:r>
      <w:r>
        <w:t xml:space="preserve">诗 40:7-8；来 10:5-10；约 10:18；腓 2:8。</w:t>
      </w:r>
    </w:p>
  </w:footnote>
  <w:footnote w:id="222">
    <w:p>
      <w:pPr>
        <w:pStyle w:val="FootnoteText"/>
      </w:pPr>
      <w:r>
        <w:rPr>
          <w:rStyle w:val="FootnoteReference"/>
        </w:rPr>
        <w:footnoteRef/>
      </w:r>
      <w:r>
        <w:t xml:space="preserve"> </w:t>
      </w:r>
      <w:r>
        <w:t xml:space="preserve">加 4:4。</w:t>
      </w:r>
    </w:p>
  </w:footnote>
  <w:footnote w:id="223">
    <w:p>
      <w:pPr>
        <w:pStyle w:val="FootnoteText"/>
      </w:pPr>
      <w:r>
        <w:rPr>
          <w:rStyle w:val="FootnoteReference"/>
        </w:rPr>
        <w:footnoteRef/>
      </w:r>
      <w:r>
        <w:t xml:space="preserve"> </w:t>
      </w:r>
      <w:r>
        <w:t xml:space="preserve">太 5:17；罗 5:19。</w:t>
      </w:r>
    </w:p>
  </w:footnote>
  <w:footnote w:id="224">
    <w:p>
      <w:pPr>
        <w:pStyle w:val="FootnoteText"/>
      </w:pPr>
      <w:r>
        <w:rPr>
          <w:rStyle w:val="FootnoteReference"/>
        </w:rPr>
        <w:footnoteRef/>
      </w:r>
      <w:r>
        <w:t xml:space="preserve"> </w:t>
      </w:r>
      <w:r>
        <w:t xml:space="preserve">太 26:37-38；路 22:44；太 27:46。</w:t>
      </w:r>
    </w:p>
  </w:footnote>
  <w:footnote w:id="225">
    <w:p>
      <w:pPr>
        <w:pStyle w:val="FootnoteText"/>
      </w:pPr>
      <w:r>
        <w:rPr>
          <w:rStyle w:val="FootnoteReference"/>
        </w:rPr>
        <w:footnoteRef/>
      </w:r>
      <w:r>
        <w:t xml:space="preserve"> </w:t>
      </w:r>
      <w:r>
        <w:t xml:space="preserve">太 26:67-68；太 27:27-50。</w:t>
      </w:r>
    </w:p>
  </w:footnote>
  <w:footnote w:id="226">
    <w:p>
      <w:pPr>
        <w:pStyle w:val="FootnoteText"/>
      </w:pPr>
      <w:r>
        <w:rPr>
          <w:rStyle w:val="FootnoteReference"/>
        </w:rPr>
        <w:footnoteRef/>
      </w:r>
      <w:r>
        <w:t xml:space="preserve"> </w:t>
      </w:r>
      <w:r>
        <w:t xml:space="preserve">腓 2:8。</w:t>
      </w:r>
    </w:p>
  </w:footnote>
  <w:footnote w:id="227">
    <w:p>
      <w:pPr>
        <w:pStyle w:val="FootnoteText"/>
      </w:pPr>
      <w:r>
        <w:rPr>
          <w:rStyle w:val="FootnoteReference"/>
        </w:rPr>
        <w:footnoteRef/>
      </w:r>
      <w:r>
        <w:t xml:space="preserve"> </w:t>
      </w:r>
      <w:r>
        <w:t xml:space="preserve">徒 2:23-24,27；徒 13:37；罗 6:9。</w:t>
      </w:r>
    </w:p>
  </w:footnote>
  <w:footnote w:id="228">
    <w:p>
      <w:pPr>
        <w:pStyle w:val="FootnoteText"/>
      </w:pPr>
      <w:r>
        <w:rPr>
          <w:rStyle w:val="FootnoteReference"/>
        </w:rPr>
        <w:footnoteRef/>
      </w:r>
      <w:r>
        <w:t xml:space="preserve"> </w:t>
      </w:r>
      <w:r>
        <w:t xml:space="preserve">林前 15:3-5。</w:t>
      </w:r>
    </w:p>
  </w:footnote>
  <w:footnote w:id="229">
    <w:p>
      <w:pPr>
        <w:pStyle w:val="FootnoteText"/>
      </w:pPr>
      <w:r>
        <w:rPr>
          <w:rStyle w:val="FootnoteReference"/>
        </w:rPr>
        <w:footnoteRef/>
      </w:r>
      <w:r>
        <w:t xml:space="preserve"> </w:t>
      </w:r>
      <w:r>
        <w:t xml:space="preserve">约 20:25,27。</w:t>
      </w:r>
    </w:p>
  </w:footnote>
  <w:footnote w:id="230">
    <w:p>
      <w:pPr>
        <w:pStyle w:val="FootnoteText"/>
      </w:pPr>
      <w:r>
        <w:rPr>
          <w:rStyle w:val="FootnoteReference"/>
        </w:rPr>
        <w:footnoteRef/>
      </w:r>
      <w:r>
        <w:t xml:space="preserve"> </w:t>
      </w:r>
      <w:r>
        <w:t xml:space="preserve">可 16:19。</w:t>
      </w:r>
    </w:p>
  </w:footnote>
  <w:footnote w:id="231">
    <w:p>
      <w:pPr>
        <w:pStyle w:val="FootnoteText"/>
      </w:pPr>
      <w:r>
        <w:rPr>
          <w:rStyle w:val="FootnoteReference"/>
        </w:rPr>
        <w:footnoteRef/>
      </w:r>
      <w:r>
        <w:t xml:space="preserve"> </w:t>
      </w:r>
      <w:r>
        <w:t xml:space="preserve">罗 8:34；来 9:24；来 7:25。</w:t>
      </w:r>
    </w:p>
  </w:footnote>
  <w:footnote w:id="232">
    <w:p>
      <w:pPr>
        <w:pStyle w:val="FootnoteText"/>
      </w:pPr>
      <w:r>
        <w:rPr>
          <w:rStyle w:val="FootnoteReference"/>
        </w:rPr>
        <w:footnoteRef/>
      </w:r>
      <w:r>
        <w:t xml:space="preserve"> </w:t>
      </w:r>
      <w:r>
        <w:t xml:space="preserve">罗 14:9-10；徒 1:11；徒 10:42；太 13:40-42；犹 6；彼后 2:4。</w:t>
      </w:r>
    </w:p>
  </w:footnote>
  <w:footnote w:id="233">
    <w:p>
      <w:pPr>
        <w:pStyle w:val="FootnoteText"/>
      </w:pPr>
      <w:r>
        <w:rPr>
          <w:rStyle w:val="FootnoteReference"/>
        </w:rPr>
        <w:footnoteRef/>
      </w:r>
      <w:r>
        <w:t xml:space="preserve"> </w:t>
      </w:r>
      <w:r>
        <w:t xml:space="preserve">罗 5:19；来 9:14,16；来 10:14；弗 5:2；罗 3:25-26。</w:t>
      </w:r>
    </w:p>
  </w:footnote>
  <w:footnote w:id="234">
    <w:p>
      <w:pPr>
        <w:pStyle w:val="FootnoteText"/>
      </w:pPr>
      <w:r>
        <w:rPr>
          <w:rStyle w:val="FootnoteReference"/>
        </w:rPr>
        <w:footnoteRef/>
      </w:r>
      <w:r>
        <w:t xml:space="preserve"> </w:t>
      </w:r>
      <w:r>
        <w:t xml:space="preserve">但 9:24,26；西 1:19-20；弗 1:11,14；约 17:2；来 9:15。</w:t>
      </w:r>
    </w:p>
  </w:footnote>
  <w:footnote w:id="235">
    <w:p>
      <w:pPr>
        <w:pStyle w:val="FootnoteText"/>
      </w:pPr>
      <w:r>
        <w:rPr>
          <w:rStyle w:val="FootnoteReference"/>
        </w:rPr>
        <w:footnoteRef/>
      </w:r>
      <w:r>
        <w:t xml:space="preserve"> </w:t>
      </w:r>
      <w:r>
        <w:t xml:space="preserve">加 4:4-5；创 3:15；林前 10:4；来 4:2；彼前 1:10-11。</w:t>
      </w:r>
    </w:p>
  </w:footnote>
  <w:footnote w:id="236">
    <w:p>
      <w:pPr>
        <w:pStyle w:val="FootnoteText"/>
      </w:pPr>
      <w:r>
        <w:rPr>
          <w:rStyle w:val="FootnoteReference"/>
        </w:rPr>
        <w:footnoteRef/>
      </w:r>
      <w:r>
        <w:t xml:space="preserve"> </w:t>
      </w:r>
      <w:r>
        <w:t xml:space="preserve">启 13:8。</w:t>
      </w:r>
    </w:p>
  </w:footnote>
  <w:footnote w:id="237">
    <w:p>
      <w:pPr>
        <w:pStyle w:val="FootnoteText"/>
      </w:pPr>
      <w:r>
        <w:rPr>
          <w:rStyle w:val="FootnoteReference"/>
        </w:rPr>
        <w:footnoteRef/>
      </w:r>
      <w:r>
        <w:t xml:space="preserve"> </w:t>
      </w:r>
      <w:r>
        <w:t xml:space="preserve">来 13:8。</w:t>
      </w:r>
    </w:p>
  </w:footnote>
  <w:footnote w:id="238">
    <w:p>
      <w:pPr>
        <w:pStyle w:val="FootnoteText"/>
      </w:pPr>
      <w:r>
        <w:rPr>
          <w:rStyle w:val="FootnoteReference"/>
        </w:rPr>
        <w:footnoteRef/>
      </w:r>
      <w:r>
        <w:t xml:space="preserve"> </w:t>
      </w:r>
      <w:r>
        <w:t xml:space="preserve">来 9:14；彼前 3:18。</w:t>
      </w:r>
    </w:p>
  </w:footnote>
  <w:footnote w:id="239">
    <w:p>
      <w:pPr>
        <w:pStyle w:val="FootnoteText"/>
      </w:pPr>
      <w:r>
        <w:rPr>
          <w:rStyle w:val="FootnoteReference"/>
        </w:rPr>
        <w:footnoteRef/>
      </w:r>
      <w:r>
        <w:t xml:space="preserve"> </w:t>
      </w:r>
      <w:r>
        <w:t xml:space="preserve">徒 20:28；约 3:13；约壹 3:16。</w:t>
      </w:r>
    </w:p>
  </w:footnote>
  <w:footnote w:id="240">
    <w:p>
      <w:pPr>
        <w:pStyle w:val="FootnoteText"/>
      </w:pPr>
      <w:r>
        <w:rPr>
          <w:rStyle w:val="FootnoteReference"/>
        </w:rPr>
        <w:footnoteRef/>
      </w:r>
      <w:r>
        <w:t xml:space="preserve"> </w:t>
      </w:r>
      <w:r>
        <w:t xml:space="preserve">约 6:37,39；约 10:15-16。</w:t>
      </w:r>
    </w:p>
  </w:footnote>
  <w:footnote w:id="241">
    <w:p>
      <w:pPr>
        <w:pStyle w:val="FootnoteText"/>
      </w:pPr>
      <w:r>
        <w:rPr>
          <w:rStyle w:val="FootnoteReference"/>
        </w:rPr>
        <w:footnoteRef/>
      </w:r>
      <w:r>
        <w:t xml:space="preserve"> </w:t>
      </w:r>
      <w:r>
        <w:t xml:space="preserve">约壹 2:1-2；罗 8:34。</w:t>
      </w:r>
    </w:p>
  </w:footnote>
  <w:footnote w:id="242">
    <w:p>
      <w:pPr>
        <w:pStyle w:val="FootnoteText"/>
      </w:pPr>
      <w:r>
        <w:rPr>
          <w:rStyle w:val="FootnoteReference"/>
        </w:rPr>
        <w:footnoteRef/>
      </w:r>
      <w:r>
        <w:t xml:space="preserve"> </w:t>
      </w:r>
      <w:r>
        <w:t xml:space="preserve">约 15:15；弗 1:7-9；约 17:6。</w:t>
      </w:r>
    </w:p>
  </w:footnote>
  <w:footnote w:id="243">
    <w:p>
      <w:pPr>
        <w:pStyle w:val="FootnoteText"/>
      </w:pPr>
      <w:r>
        <w:rPr>
          <w:rStyle w:val="FootnoteReference"/>
        </w:rPr>
        <w:footnoteRef/>
      </w:r>
      <w:r>
        <w:t xml:space="preserve"> </w:t>
      </w:r>
      <w:r>
        <w:t xml:space="preserve">约 14:16；来 12:2；林后 4:13；罗 8:9,14；罗 15:18-19；约 17:17。</w:t>
      </w:r>
    </w:p>
  </w:footnote>
  <w:footnote w:id="244">
    <w:p>
      <w:pPr>
        <w:pStyle w:val="FootnoteText"/>
      </w:pPr>
      <w:r>
        <w:rPr>
          <w:rStyle w:val="FootnoteReference"/>
        </w:rPr>
        <w:footnoteRef/>
      </w:r>
      <w:r>
        <w:t xml:space="preserve"> </w:t>
      </w:r>
      <w:r>
        <w:t xml:space="preserve">诗 110:1；林前 15:25-26；西 2:15。</w:t>
      </w:r>
    </w:p>
  </w:footnote>
  <w:footnote w:id="245">
    <w:p>
      <w:pPr>
        <w:pStyle w:val="FootnoteText"/>
      </w:pPr>
      <w:r>
        <w:rPr>
          <w:rStyle w:val="FootnoteReference"/>
        </w:rPr>
        <w:footnoteRef/>
      </w:r>
      <w:r>
        <w:t xml:space="preserve"> </w:t>
      </w:r>
      <w:r>
        <w:t xml:space="preserve">约 3:8；弗 1:8。</w:t>
      </w:r>
    </w:p>
  </w:footnote>
  <w:footnote w:id="247">
    <w:p>
      <w:pPr>
        <w:pStyle w:val="FootnoteText"/>
      </w:pPr>
      <w:r>
        <w:rPr>
          <w:rStyle w:val="FootnoteReference"/>
        </w:rPr>
        <w:footnoteRef/>
      </w:r>
      <w:r>
        <w:t xml:space="preserve"> </w:t>
      </w:r>
      <w:r>
        <w:t xml:space="preserve">太 17:12；雅 1:14；申 30:19。</w:t>
      </w:r>
    </w:p>
  </w:footnote>
  <w:footnote w:id="248">
    <w:p>
      <w:pPr>
        <w:pStyle w:val="FootnoteText"/>
      </w:pPr>
      <w:r>
        <w:rPr>
          <w:rStyle w:val="FootnoteReference"/>
        </w:rPr>
        <w:footnoteRef/>
      </w:r>
      <w:r>
        <w:t xml:space="preserve"> </w:t>
      </w:r>
      <w:r>
        <w:t xml:space="preserve">传 7:29；创 1:26。</w:t>
      </w:r>
    </w:p>
  </w:footnote>
  <w:footnote w:id="249">
    <w:p>
      <w:pPr>
        <w:pStyle w:val="FootnoteText"/>
      </w:pPr>
      <w:r>
        <w:rPr>
          <w:rStyle w:val="FootnoteReference"/>
        </w:rPr>
        <w:footnoteRef/>
      </w:r>
      <w:r>
        <w:t xml:space="preserve"> </w:t>
      </w:r>
      <w:r>
        <w:t xml:space="preserve">创 2:16-17；创 3:6。</w:t>
      </w:r>
    </w:p>
  </w:footnote>
  <w:footnote w:id="250">
    <w:p>
      <w:pPr>
        <w:pStyle w:val="FootnoteText"/>
      </w:pPr>
      <w:r>
        <w:rPr>
          <w:rStyle w:val="FootnoteReference"/>
        </w:rPr>
        <w:footnoteRef/>
      </w:r>
      <w:r>
        <w:t xml:space="preserve"> </w:t>
      </w:r>
      <w:r>
        <w:t xml:space="preserve">罗 5:6；罗 8:7；约 15:5。</w:t>
      </w:r>
    </w:p>
  </w:footnote>
  <w:footnote w:id="251">
    <w:p>
      <w:pPr>
        <w:pStyle w:val="FootnoteText"/>
      </w:pPr>
      <w:r>
        <w:rPr>
          <w:rStyle w:val="FootnoteReference"/>
        </w:rPr>
        <w:footnoteRef/>
      </w:r>
      <w:r>
        <w:t xml:space="preserve"> </w:t>
      </w:r>
      <w:r>
        <w:t xml:space="preserve">罗 3:10,12。</w:t>
      </w:r>
    </w:p>
  </w:footnote>
  <w:footnote w:id="252">
    <w:p>
      <w:pPr>
        <w:pStyle w:val="FootnoteText"/>
      </w:pPr>
      <w:r>
        <w:rPr>
          <w:rStyle w:val="FootnoteReference"/>
        </w:rPr>
        <w:footnoteRef/>
      </w:r>
      <w:r>
        <w:t xml:space="preserve"> </w:t>
      </w:r>
      <w:r>
        <w:t xml:space="preserve">弗 2:1,5；西 2:13。</w:t>
      </w:r>
    </w:p>
  </w:footnote>
  <w:footnote w:id="253">
    <w:p>
      <w:pPr>
        <w:pStyle w:val="FootnoteText"/>
      </w:pPr>
      <w:r>
        <w:rPr>
          <w:rStyle w:val="FootnoteReference"/>
        </w:rPr>
        <w:footnoteRef/>
      </w:r>
      <w:r>
        <w:t xml:space="preserve"> </w:t>
      </w:r>
      <w:r>
        <w:t xml:space="preserve">约 6:44,65；弗 2:2-5；林前 2:14；多 3:3-5。</w:t>
      </w:r>
    </w:p>
  </w:footnote>
  <w:footnote w:id="254">
    <w:p>
      <w:pPr>
        <w:pStyle w:val="FootnoteText"/>
      </w:pPr>
      <w:r>
        <w:rPr>
          <w:rStyle w:val="FootnoteReference"/>
        </w:rPr>
        <w:footnoteRef/>
      </w:r>
      <w:r>
        <w:t xml:space="preserve"> </w:t>
      </w:r>
      <w:r>
        <w:t xml:space="preserve">西 1:13；约 8:34,36。</w:t>
      </w:r>
    </w:p>
  </w:footnote>
  <w:footnote w:id="255">
    <w:p>
      <w:pPr>
        <w:pStyle w:val="FootnoteText"/>
      </w:pPr>
      <w:r>
        <w:rPr>
          <w:rStyle w:val="FootnoteReference"/>
        </w:rPr>
        <w:footnoteRef/>
      </w:r>
      <w:r>
        <w:t xml:space="preserve"> </w:t>
      </w:r>
      <w:r>
        <w:t xml:space="preserve">腓 2:13；罗 6:18,22。</w:t>
      </w:r>
    </w:p>
  </w:footnote>
  <w:footnote w:id="256">
    <w:p>
      <w:pPr>
        <w:pStyle w:val="FootnoteText"/>
      </w:pPr>
      <w:r>
        <w:rPr>
          <w:rStyle w:val="FootnoteReference"/>
        </w:rPr>
        <w:footnoteRef/>
      </w:r>
      <w:r>
        <w:t xml:space="preserve"> </w:t>
      </w:r>
      <w:r>
        <w:t xml:space="preserve">加 5:17；罗 7:15,18-19,21-23。</w:t>
      </w:r>
    </w:p>
  </w:footnote>
  <w:footnote w:id="257">
    <w:p>
      <w:pPr>
        <w:pStyle w:val="FootnoteText"/>
      </w:pPr>
      <w:r>
        <w:rPr>
          <w:rStyle w:val="FootnoteReference"/>
        </w:rPr>
        <w:footnoteRef/>
      </w:r>
      <w:r>
        <w:t xml:space="preserve"> </w:t>
      </w:r>
      <w:r>
        <w:t xml:space="preserve">弗 4:13；来 12:23；约壹 3:2；犹 24。</w:t>
      </w:r>
    </w:p>
  </w:footnote>
  <w:footnote w:id="259">
    <w:p>
      <w:pPr>
        <w:pStyle w:val="FootnoteText"/>
      </w:pPr>
      <w:r>
        <w:rPr>
          <w:rStyle w:val="FootnoteReference"/>
        </w:rPr>
        <w:footnoteRef/>
      </w:r>
      <w:r>
        <w:t xml:space="preserve"> </w:t>
      </w:r>
      <w:r>
        <w:t xml:space="preserve">罗 8:30；罗 11:7；弗 1:10-11。</w:t>
      </w:r>
    </w:p>
  </w:footnote>
  <w:footnote w:id="260">
    <w:p>
      <w:pPr>
        <w:pStyle w:val="FootnoteText"/>
      </w:pPr>
      <w:r>
        <w:rPr>
          <w:rStyle w:val="FootnoteReference"/>
        </w:rPr>
        <w:footnoteRef/>
      </w:r>
      <w:r>
        <w:t xml:space="preserve"> </w:t>
      </w:r>
      <w:r>
        <w:t xml:space="preserve">帖后 2:13-14；林后 3:3,6。</w:t>
      </w:r>
    </w:p>
  </w:footnote>
  <w:footnote w:id="261">
    <w:p>
      <w:pPr>
        <w:pStyle w:val="FootnoteText"/>
      </w:pPr>
      <w:r>
        <w:rPr>
          <w:rStyle w:val="FootnoteReference"/>
        </w:rPr>
        <w:footnoteRef/>
      </w:r>
      <w:r>
        <w:t xml:space="preserve"> </w:t>
      </w:r>
      <w:r>
        <w:t xml:space="preserve">罗 8:2；弗 2:1-5；提后 1:9-10。</w:t>
      </w:r>
    </w:p>
  </w:footnote>
  <w:footnote w:id="262">
    <w:p>
      <w:pPr>
        <w:pStyle w:val="FootnoteText"/>
      </w:pPr>
      <w:r>
        <w:rPr>
          <w:rStyle w:val="FootnoteReference"/>
        </w:rPr>
        <w:footnoteRef/>
      </w:r>
      <w:r>
        <w:t xml:space="preserve"> </w:t>
      </w:r>
      <w:r>
        <w:t xml:space="preserve">徒 26:18；林前 2:10,12；弗 1:17-18。</w:t>
      </w:r>
    </w:p>
  </w:footnote>
  <w:footnote w:id="263">
    <w:p>
      <w:pPr>
        <w:pStyle w:val="FootnoteText"/>
      </w:pPr>
      <w:r>
        <w:rPr>
          <w:rStyle w:val="FootnoteReference"/>
        </w:rPr>
        <w:footnoteRef/>
      </w:r>
      <w:r>
        <w:t xml:space="preserve"> </w:t>
      </w:r>
      <w:r>
        <w:t xml:space="preserve">结 36:26。</w:t>
      </w:r>
    </w:p>
  </w:footnote>
  <w:footnote w:id="264">
    <w:p>
      <w:pPr>
        <w:pStyle w:val="FootnoteText"/>
      </w:pPr>
      <w:r>
        <w:rPr>
          <w:rStyle w:val="FootnoteReference"/>
        </w:rPr>
        <w:footnoteRef/>
      </w:r>
      <w:r>
        <w:t xml:space="preserve"> </w:t>
      </w:r>
      <w:r>
        <w:t xml:space="preserve">结 11:19；腓 2:13；申 30:6；结 36:27。</w:t>
      </w:r>
    </w:p>
  </w:footnote>
  <w:footnote w:id="265">
    <w:p>
      <w:pPr>
        <w:pStyle w:val="FootnoteText"/>
      </w:pPr>
      <w:r>
        <w:rPr>
          <w:rStyle w:val="FootnoteReference"/>
        </w:rPr>
        <w:footnoteRef/>
      </w:r>
      <w:r>
        <w:t xml:space="preserve"> </w:t>
      </w:r>
      <w:r>
        <w:t xml:space="preserve">约 6:44-45；弗 1:19。</w:t>
      </w:r>
    </w:p>
  </w:footnote>
  <w:footnote w:id="266">
    <w:p>
      <w:pPr>
        <w:pStyle w:val="FootnoteText"/>
      </w:pPr>
      <w:r>
        <w:rPr>
          <w:rStyle w:val="FootnoteReference"/>
        </w:rPr>
        <w:footnoteRef/>
      </w:r>
      <w:r>
        <w:t xml:space="preserve"> </w:t>
      </w:r>
      <w:r>
        <w:t xml:space="preserve">提后 1:9；多 3:4-5；弗 2:4-5,8-9；罗 9:11。</w:t>
      </w:r>
    </w:p>
  </w:footnote>
  <w:footnote w:id="267">
    <w:p>
      <w:pPr>
        <w:pStyle w:val="FootnoteText"/>
      </w:pPr>
      <w:r>
        <w:rPr>
          <w:rStyle w:val="FootnoteReference"/>
        </w:rPr>
        <w:footnoteRef/>
      </w:r>
      <w:r>
        <w:t xml:space="preserve"> </w:t>
      </w:r>
      <w:r>
        <w:t xml:space="preserve">林前 2:14；罗 8:7；弗 2:5。</w:t>
      </w:r>
    </w:p>
  </w:footnote>
  <w:footnote w:id="268">
    <w:p>
      <w:pPr>
        <w:pStyle w:val="FootnoteText"/>
      </w:pPr>
      <w:r>
        <w:rPr>
          <w:rStyle w:val="FootnoteReference"/>
        </w:rPr>
        <w:footnoteRef/>
      </w:r>
      <w:r>
        <w:t xml:space="preserve"> </w:t>
      </w:r>
      <w:r>
        <w:t xml:space="preserve">约 6:37；结 36:27；约 5:25。</w:t>
      </w:r>
    </w:p>
  </w:footnote>
  <w:footnote w:id="269">
    <w:p>
      <w:pPr>
        <w:pStyle w:val="FootnoteText"/>
      </w:pPr>
      <w:r>
        <w:rPr>
          <w:rStyle w:val="FootnoteReference"/>
        </w:rPr>
        <w:footnoteRef/>
      </w:r>
      <w:r>
        <w:t xml:space="preserve"> </w:t>
      </w:r>
      <w:r>
        <w:t xml:space="preserve">路 18:15-16；徒 2:38-39；约 3:3,5；约壹 5:12。</w:t>
      </w:r>
    </w:p>
  </w:footnote>
  <w:footnote w:id="270">
    <w:p>
      <w:pPr>
        <w:pStyle w:val="FootnoteText"/>
      </w:pPr>
      <w:r>
        <w:rPr>
          <w:rStyle w:val="FootnoteReference"/>
        </w:rPr>
        <w:footnoteRef/>
      </w:r>
      <w:r>
        <w:t xml:space="preserve"> </w:t>
      </w:r>
      <w:r>
        <w:t xml:space="preserve">约 3:8。</w:t>
      </w:r>
    </w:p>
  </w:footnote>
  <w:footnote w:id="271">
    <w:p>
      <w:pPr>
        <w:pStyle w:val="FootnoteText"/>
      </w:pPr>
      <w:r>
        <w:rPr>
          <w:rStyle w:val="FootnoteReference"/>
        </w:rPr>
        <w:footnoteRef/>
      </w:r>
      <w:r>
        <w:t xml:space="preserve"> </w:t>
      </w:r>
      <w:r>
        <w:t xml:space="preserve">约壹 5:12；徒 4:12。</w:t>
      </w:r>
    </w:p>
  </w:footnote>
  <w:footnote w:id="272">
    <w:p>
      <w:pPr>
        <w:pStyle w:val="FootnoteText"/>
      </w:pPr>
      <w:r>
        <w:rPr>
          <w:rStyle w:val="FootnoteReference"/>
        </w:rPr>
        <w:footnoteRef/>
      </w:r>
      <w:r>
        <w:t xml:space="preserve"> </w:t>
      </w:r>
      <w:r>
        <w:t xml:space="preserve">太 22:14。</w:t>
      </w:r>
    </w:p>
  </w:footnote>
  <w:footnote w:id="273">
    <w:p>
      <w:pPr>
        <w:pStyle w:val="FootnoteText"/>
      </w:pPr>
      <w:r>
        <w:rPr>
          <w:rStyle w:val="FootnoteReference"/>
        </w:rPr>
        <w:footnoteRef/>
      </w:r>
      <w:r>
        <w:t xml:space="preserve"> </w:t>
      </w:r>
      <w:r>
        <w:t xml:space="preserve">太 7:22；太 13:20-21；来 6:4-6。</w:t>
      </w:r>
    </w:p>
  </w:footnote>
  <w:footnote w:id="274">
    <w:p>
      <w:pPr>
        <w:pStyle w:val="FootnoteText"/>
      </w:pPr>
      <w:r>
        <w:rPr>
          <w:rStyle w:val="FootnoteReference"/>
        </w:rPr>
        <w:footnoteRef/>
      </w:r>
      <w:r>
        <w:t xml:space="preserve"> </w:t>
      </w:r>
      <w:r>
        <w:t xml:space="preserve">约 6:64-66；约 8:24。</w:t>
      </w:r>
    </w:p>
  </w:footnote>
  <w:footnote w:id="275">
    <w:p>
      <w:pPr>
        <w:pStyle w:val="FootnoteText"/>
      </w:pPr>
      <w:r>
        <w:rPr>
          <w:rStyle w:val="FootnoteReference"/>
        </w:rPr>
        <w:footnoteRef/>
      </w:r>
      <w:r>
        <w:t xml:space="preserve"> </w:t>
      </w:r>
      <w:r>
        <w:t xml:space="preserve">徒 4:12；约 14:6；弗 2:12；约 4:22；约 17:3。</w:t>
      </w:r>
    </w:p>
  </w:footnote>
  <w:footnote w:id="276">
    <w:p>
      <w:pPr>
        <w:pStyle w:val="FootnoteText"/>
      </w:pPr>
      <w:r>
        <w:rPr>
          <w:rStyle w:val="FootnoteReference"/>
        </w:rPr>
        <w:footnoteRef/>
      </w:r>
      <w:r>
        <w:t xml:space="preserve"> </w:t>
      </w:r>
      <w:r>
        <w:t xml:space="preserve">约贰 9-11；林前 16:22；加 1:6-8。</w:t>
      </w:r>
    </w:p>
  </w:footnote>
  <w:footnote w:id="278">
    <w:p>
      <w:pPr>
        <w:pStyle w:val="FootnoteText"/>
      </w:pPr>
      <w:r>
        <w:rPr>
          <w:rStyle w:val="FootnoteReference"/>
        </w:rPr>
        <w:footnoteRef/>
      </w:r>
      <w:r>
        <w:t xml:space="preserve"> </w:t>
      </w:r>
      <w:r>
        <w:t xml:space="preserve">罗 8:30；罗 3:24。</w:t>
      </w:r>
    </w:p>
  </w:footnote>
  <w:footnote w:id="279">
    <w:p>
      <w:pPr>
        <w:pStyle w:val="FootnoteText"/>
      </w:pPr>
      <w:r>
        <w:rPr>
          <w:rStyle w:val="FootnoteReference"/>
        </w:rPr>
        <w:footnoteRef/>
      </w:r>
      <w:r>
        <w:t xml:space="preserve"> </w:t>
      </w:r>
      <w:r>
        <w:t xml:space="preserve">罗 4:5-8；弗 1:7。</w:t>
      </w:r>
    </w:p>
  </w:footnote>
  <w:footnote w:id="280">
    <w:p>
      <w:pPr>
        <w:pStyle w:val="FootnoteText"/>
      </w:pPr>
      <w:r>
        <w:rPr>
          <w:rStyle w:val="FootnoteReference"/>
        </w:rPr>
        <w:footnoteRef/>
      </w:r>
      <w:r>
        <w:t xml:space="preserve"> </w:t>
      </w:r>
      <w:r>
        <w:t xml:space="preserve">林前 1:30-31；罗 5:17-19。</w:t>
      </w:r>
    </w:p>
  </w:footnote>
  <w:footnote w:id="281">
    <w:p>
      <w:pPr>
        <w:pStyle w:val="FootnoteText"/>
      </w:pPr>
      <w:r>
        <w:rPr>
          <w:rStyle w:val="FootnoteReference"/>
        </w:rPr>
        <w:footnoteRef/>
      </w:r>
      <w:r>
        <w:t xml:space="preserve"> </w:t>
      </w:r>
      <w:r>
        <w:t xml:space="preserve">腓 3:8-9；弗 2:8-10。</w:t>
      </w:r>
    </w:p>
  </w:footnote>
  <w:footnote w:id="282">
    <w:p>
      <w:pPr>
        <w:pStyle w:val="FootnoteText"/>
      </w:pPr>
      <w:r>
        <w:rPr>
          <w:rStyle w:val="FootnoteReference"/>
        </w:rPr>
        <w:footnoteRef/>
      </w:r>
      <w:r>
        <w:t xml:space="preserve"> </w:t>
      </w:r>
      <w:r>
        <w:t xml:space="preserve">约 1:12；罗 5:17。</w:t>
      </w:r>
    </w:p>
  </w:footnote>
  <w:footnote w:id="283">
    <w:p>
      <w:pPr>
        <w:pStyle w:val="FootnoteText"/>
      </w:pPr>
      <w:r>
        <w:rPr>
          <w:rStyle w:val="FootnoteReference"/>
        </w:rPr>
        <w:footnoteRef/>
      </w:r>
      <w:r>
        <w:t xml:space="preserve"> </w:t>
      </w:r>
      <w:r>
        <w:t xml:space="preserve">罗 3:28；罗 5:1。</w:t>
      </w:r>
    </w:p>
  </w:footnote>
  <w:footnote w:id="284">
    <w:p>
      <w:pPr>
        <w:pStyle w:val="FootnoteText"/>
      </w:pPr>
      <w:r>
        <w:rPr>
          <w:rStyle w:val="FootnoteReference"/>
        </w:rPr>
        <w:footnoteRef/>
      </w:r>
      <w:r>
        <w:t xml:space="preserve"> </w:t>
      </w:r>
      <w:r>
        <w:t xml:space="preserve">加 5:6；雅 2:17,22,26。</w:t>
      </w:r>
    </w:p>
  </w:footnote>
  <w:footnote w:id="285">
    <w:p>
      <w:pPr>
        <w:pStyle w:val="FootnoteText"/>
      </w:pPr>
      <w:r>
        <w:rPr>
          <w:rStyle w:val="FootnoteReference"/>
        </w:rPr>
        <w:footnoteRef/>
      </w:r>
      <w:r>
        <w:t xml:space="preserve"> </w:t>
      </w:r>
      <w:r>
        <w:t xml:space="preserve">罗 5:8-10,19；提前 2:5-6；来 10:10,14；但 9:24,26；赛 53:4-6,10-12。</w:t>
      </w:r>
    </w:p>
  </w:footnote>
  <w:footnote w:id="286">
    <w:p>
      <w:pPr>
        <w:pStyle w:val="FootnoteText"/>
      </w:pPr>
      <w:r>
        <w:rPr>
          <w:rStyle w:val="FootnoteReference"/>
        </w:rPr>
        <w:footnoteRef/>
      </w:r>
      <w:r>
        <w:t xml:space="preserve"> </w:t>
      </w:r>
      <w:r>
        <w:t xml:space="preserve">罗 8:32。</w:t>
      </w:r>
    </w:p>
  </w:footnote>
  <w:footnote w:id="287">
    <w:p>
      <w:pPr>
        <w:pStyle w:val="FootnoteText"/>
      </w:pPr>
      <w:r>
        <w:rPr>
          <w:rStyle w:val="FootnoteReference"/>
        </w:rPr>
        <w:footnoteRef/>
      </w:r>
      <w:r>
        <w:t xml:space="preserve"> </w:t>
      </w:r>
      <w:r>
        <w:t xml:space="preserve">林后 5:21；太 3:17；弗 5:2。</w:t>
      </w:r>
    </w:p>
  </w:footnote>
  <w:footnote w:id="288">
    <w:p>
      <w:pPr>
        <w:pStyle w:val="FootnoteText"/>
      </w:pPr>
      <w:r>
        <w:rPr>
          <w:rStyle w:val="FootnoteReference"/>
        </w:rPr>
        <w:footnoteRef/>
      </w:r>
      <w:r>
        <w:t xml:space="preserve"> </w:t>
      </w:r>
      <w:r>
        <w:t xml:space="preserve">罗 3:24；弗 1:7。</w:t>
      </w:r>
    </w:p>
  </w:footnote>
  <w:footnote w:id="289">
    <w:p>
      <w:pPr>
        <w:pStyle w:val="FootnoteText"/>
      </w:pPr>
      <w:r>
        <w:rPr>
          <w:rStyle w:val="FootnoteReference"/>
        </w:rPr>
        <w:footnoteRef/>
      </w:r>
      <w:r>
        <w:t xml:space="preserve"> </w:t>
      </w:r>
      <w:r>
        <w:t xml:space="preserve">多 3:7；弗 2:8-9。</w:t>
      </w:r>
    </w:p>
  </w:footnote>
  <w:footnote w:id="290">
    <w:p>
      <w:pPr>
        <w:pStyle w:val="FootnoteText"/>
      </w:pPr>
      <w:r>
        <w:rPr>
          <w:rStyle w:val="FootnoteReference"/>
        </w:rPr>
        <w:footnoteRef/>
      </w:r>
      <w:r>
        <w:t xml:space="preserve"> </w:t>
      </w:r>
      <w:r>
        <w:t xml:space="preserve">罗 3:26；弗 2:7。</w:t>
      </w:r>
    </w:p>
  </w:footnote>
  <w:footnote w:id="291">
    <w:p>
      <w:pPr>
        <w:pStyle w:val="FootnoteText"/>
      </w:pPr>
      <w:r>
        <w:rPr>
          <w:rStyle w:val="FootnoteReference"/>
        </w:rPr>
        <w:footnoteRef/>
      </w:r>
      <w:r>
        <w:t xml:space="preserve"> </w:t>
      </w:r>
      <w:r>
        <w:t xml:space="preserve">加 3:8；彼前 1:2,19-20；罗 8:30。</w:t>
      </w:r>
    </w:p>
  </w:footnote>
  <w:footnote w:id="292">
    <w:p>
      <w:pPr>
        <w:pStyle w:val="FootnoteText"/>
      </w:pPr>
      <w:r>
        <w:rPr>
          <w:rStyle w:val="FootnoteReference"/>
        </w:rPr>
        <w:footnoteRef/>
      </w:r>
      <w:r>
        <w:t xml:space="preserve"> </w:t>
      </w:r>
      <w:r>
        <w:t xml:space="preserve">加 4:4；提前 2:6；罗 4:25。</w:t>
      </w:r>
    </w:p>
  </w:footnote>
  <w:footnote w:id="293">
    <w:p>
      <w:pPr>
        <w:pStyle w:val="FootnoteText"/>
      </w:pPr>
      <w:r>
        <w:rPr>
          <w:rStyle w:val="FootnoteReference"/>
        </w:rPr>
        <w:footnoteRef/>
      </w:r>
      <w:r>
        <w:t xml:space="preserve"> </w:t>
      </w:r>
      <w:r>
        <w:t xml:space="preserve">西 1:21-22；加 2:16；多 3:4-7。</w:t>
      </w:r>
    </w:p>
  </w:footnote>
  <w:footnote w:id="294">
    <w:p>
      <w:pPr>
        <w:pStyle w:val="FootnoteText"/>
      </w:pPr>
      <w:r>
        <w:rPr>
          <w:rStyle w:val="FootnoteReference"/>
        </w:rPr>
        <w:footnoteRef/>
      </w:r>
      <w:r>
        <w:t xml:space="preserve"> </w:t>
      </w:r>
      <w:r>
        <w:t xml:space="preserve">太 6:12；约壹 1:7,9；约壹 2:1-2。</w:t>
      </w:r>
    </w:p>
  </w:footnote>
  <w:footnote w:id="295">
    <w:p>
      <w:pPr>
        <w:pStyle w:val="FootnoteText"/>
      </w:pPr>
      <w:r>
        <w:rPr>
          <w:rStyle w:val="FootnoteReference"/>
        </w:rPr>
        <w:footnoteRef/>
      </w:r>
      <w:r>
        <w:t xml:space="preserve"> </w:t>
      </w:r>
      <w:r>
        <w:t xml:space="preserve">路 22:32；约 10:28；来 10:14。</w:t>
      </w:r>
    </w:p>
  </w:footnote>
  <w:footnote w:id="296">
    <w:p>
      <w:pPr>
        <w:pStyle w:val="FootnoteText"/>
      </w:pPr>
      <w:r>
        <w:rPr>
          <w:rStyle w:val="FootnoteReference"/>
        </w:rPr>
        <w:footnoteRef/>
      </w:r>
      <w:r>
        <w:t xml:space="preserve"> </w:t>
      </w:r>
      <w:r>
        <w:t xml:space="preserve">诗 89:31-33；诗 51:7-12；诗 32:5；太 26:75；林前 11:30-32。</w:t>
      </w:r>
    </w:p>
  </w:footnote>
  <w:footnote w:id="297">
    <w:p>
      <w:pPr>
        <w:pStyle w:val="FootnoteText"/>
      </w:pPr>
      <w:r>
        <w:rPr>
          <w:rStyle w:val="FootnoteReference"/>
        </w:rPr>
        <w:footnoteRef/>
      </w:r>
      <w:r>
        <w:t xml:space="preserve"> </w:t>
      </w:r>
      <w:r>
        <w:t xml:space="preserve">加 3:9,13-14；罗 4:22-24；来 13:8。</w:t>
      </w:r>
    </w:p>
  </w:footnote>
  <w:footnote w:id="299">
    <w:p>
      <w:pPr>
        <w:pStyle w:val="FootnoteText"/>
      </w:pPr>
      <w:r>
        <w:rPr>
          <w:rStyle w:val="FootnoteReference"/>
        </w:rPr>
        <w:footnoteRef/>
      </w:r>
      <w:r>
        <w:t xml:space="preserve"> </w:t>
      </w:r>
      <w:r>
        <w:t xml:space="preserve">弗 1:5；加 4:4-5。</w:t>
      </w:r>
    </w:p>
  </w:footnote>
  <w:footnote w:id="300">
    <w:p>
      <w:pPr>
        <w:pStyle w:val="FootnoteText"/>
      </w:pPr>
      <w:r>
        <w:rPr>
          <w:rStyle w:val="FootnoteReference"/>
        </w:rPr>
        <w:footnoteRef/>
      </w:r>
      <w:r>
        <w:t xml:space="preserve"> </w:t>
      </w:r>
      <w:r>
        <w:t xml:space="preserve">罗 8:17；约 1:12。</w:t>
      </w:r>
    </w:p>
  </w:footnote>
  <w:footnote w:id="301">
    <w:p>
      <w:pPr>
        <w:pStyle w:val="FootnoteText"/>
      </w:pPr>
      <w:r>
        <w:rPr>
          <w:rStyle w:val="FootnoteReference"/>
        </w:rPr>
        <w:footnoteRef/>
      </w:r>
      <w:r>
        <w:t xml:space="preserve"> </w:t>
      </w:r>
      <w:r>
        <w:t xml:space="preserve">耶 14:9；林后 6:18；启 3:12。</w:t>
      </w:r>
    </w:p>
  </w:footnote>
  <w:footnote w:id="302">
    <w:p>
      <w:pPr>
        <w:pStyle w:val="FootnoteText"/>
      </w:pPr>
      <w:r>
        <w:rPr>
          <w:rStyle w:val="FootnoteReference"/>
        </w:rPr>
        <w:footnoteRef/>
      </w:r>
      <w:r>
        <w:t xml:space="preserve"> </w:t>
      </w:r>
      <w:r>
        <w:t xml:space="preserve">罗 8:15。</w:t>
      </w:r>
    </w:p>
  </w:footnote>
  <w:footnote w:id="303">
    <w:p>
      <w:pPr>
        <w:pStyle w:val="FootnoteText"/>
      </w:pPr>
      <w:r>
        <w:rPr>
          <w:rStyle w:val="FootnoteReference"/>
        </w:rPr>
        <w:footnoteRef/>
      </w:r>
      <w:r>
        <w:t xml:space="preserve"> </w:t>
      </w:r>
      <w:r>
        <w:t xml:space="preserve">弗 3:12；罗 5:2。</w:t>
      </w:r>
    </w:p>
  </w:footnote>
  <w:footnote w:id="304">
    <w:p>
      <w:pPr>
        <w:pStyle w:val="FootnoteText"/>
      </w:pPr>
      <w:r>
        <w:rPr>
          <w:rStyle w:val="FootnoteReference"/>
        </w:rPr>
        <w:footnoteRef/>
      </w:r>
      <w:r>
        <w:t xml:space="preserve"> </w:t>
      </w:r>
      <w:r>
        <w:t xml:space="preserve">加 4:6。</w:t>
      </w:r>
    </w:p>
  </w:footnote>
  <w:footnote w:id="305">
    <w:p>
      <w:pPr>
        <w:pStyle w:val="FootnoteText"/>
      </w:pPr>
      <w:r>
        <w:rPr>
          <w:rStyle w:val="FootnoteReference"/>
        </w:rPr>
        <w:footnoteRef/>
      </w:r>
      <w:r>
        <w:t xml:space="preserve"> </w:t>
      </w:r>
      <w:r>
        <w:t xml:space="preserve">诗 103:13。</w:t>
      </w:r>
    </w:p>
  </w:footnote>
  <w:footnote w:id="306">
    <w:p>
      <w:pPr>
        <w:pStyle w:val="FootnoteText"/>
      </w:pPr>
      <w:r>
        <w:rPr>
          <w:rStyle w:val="FootnoteReference"/>
        </w:rPr>
        <w:footnoteRef/>
      </w:r>
      <w:r>
        <w:t xml:space="preserve"> </w:t>
      </w:r>
      <w:r>
        <w:t xml:space="preserve">箴 14:26。</w:t>
      </w:r>
    </w:p>
  </w:footnote>
  <w:footnote w:id="307">
    <w:p>
      <w:pPr>
        <w:pStyle w:val="FootnoteText"/>
      </w:pPr>
      <w:r>
        <w:rPr>
          <w:rStyle w:val="FootnoteReference"/>
        </w:rPr>
        <w:footnoteRef/>
      </w:r>
      <w:r>
        <w:t xml:space="preserve"> </w:t>
      </w:r>
      <w:r>
        <w:t xml:space="preserve">太 6:30,32。</w:t>
      </w:r>
    </w:p>
  </w:footnote>
  <w:footnote w:id="308">
    <w:p>
      <w:pPr>
        <w:pStyle w:val="FootnoteText"/>
      </w:pPr>
      <w:r>
        <w:rPr>
          <w:rStyle w:val="FootnoteReference"/>
        </w:rPr>
        <w:footnoteRef/>
      </w:r>
      <w:r>
        <w:t xml:space="preserve"> </w:t>
      </w:r>
      <w:r>
        <w:t xml:space="preserve">来 12:6。</w:t>
      </w:r>
    </w:p>
  </w:footnote>
  <w:footnote w:id="309">
    <w:p>
      <w:pPr>
        <w:pStyle w:val="FootnoteText"/>
      </w:pPr>
      <w:r>
        <w:rPr>
          <w:rStyle w:val="FootnoteReference"/>
        </w:rPr>
        <w:footnoteRef/>
      </w:r>
      <w:r>
        <w:t xml:space="preserve"> </w:t>
      </w:r>
      <w:r>
        <w:t xml:space="preserve">哀 3:31。</w:t>
      </w:r>
    </w:p>
  </w:footnote>
  <w:footnote w:id="310">
    <w:p>
      <w:pPr>
        <w:pStyle w:val="FootnoteText"/>
      </w:pPr>
      <w:r>
        <w:rPr>
          <w:rStyle w:val="FootnoteReference"/>
        </w:rPr>
        <w:footnoteRef/>
      </w:r>
      <w:r>
        <w:t xml:space="preserve"> </w:t>
      </w:r>
      <w:r>
        <w:t xml:space="preserve">弗 4:30。</w:t>
      </w:r>
    </w:p>
  </w:footnote>
  <w:footnote w:id="311">
    <w:p>
      <w:pPr>
        <w:pStyle w:val="FootnoteText"/>
      </w:pPr>
      <w:r>
        <w:rPr>
          <w:rStyle w:val="FootnoteReference"/>
        </w:rPr>
        <w:footnoteRef/>
      </w:r>
      <w:r>
        <w:t xml:space="preserve"> </w:t>
      </w:r>
      <w:r>
        <w:t xml:space="preserve">来 6:12。</w:t>
      </w:r>
    </w:p>
  </w:footnote>
  <w:footnote w:id="312">
    <w:p>
      <w:pPr>
        <w:pStyle w:val="FootnoteText"/>
      </w:pPr>
      <w:r>
        <w:rPr>
          <w:rStyle w:val="FootnoteReference"/>
        </w:rPr>
        <w:footnoteRef/>
      </w:r>
      <w:r>
        <w:t xml:space="preserve"> </w:t>
      </w:r>
      <w:r>
        <w:t xml:space="preserve">彼前 1:3-4；来 1:14。</w:t>
      </w:r>
    </w:p>
  </w:footnote>
  <w:footnote w:id="314">
    <w:p>
      <w:pPr>
        <w:pStyle w:val="FootnoteText"/>
      </w:pPr>
      <w:r>
        <w:rPr>
          <w:rStyle w:val="FootnoteReference"/>
        </w:rPr>
        <w:footnoteRef/>
      </w:r>
      <w:r>
        <w:t xml:space="preserve"> </w:t>
      </w:r>
      <w:r>
        <w:t xml:space="preserve">林后 4:13；弗 2:8。</w:t>
      </w:r>
    </w:p>
  </w:footnote>
  <w:footnote w:id="315">
    <w:p>
      <w:pPr>
        <w:pStyle w:val="FootnoteText"/>
      </w:pPr>
      <w:r>
        <w:rPr>
          <w:rStyle w:val="FootnoteReference"/>
        </w:rPr>
        <w:footnoteRef/>
      </w:r>
      <w:r>
        <w:t xml:space="preserve"> </w:t>
      </w:r>
      <w:r>
        <w:t xml:space="preserve">罗 10:14,17。</w:t>
      </w:r>
    </w:p>
  </w:footnote>
  <w:footnote w:id="316">
    <w:p>
      <w:pPr>
        <w:pStyle w:val="FootnoteText"/>
      </w:pPr>
      <w:r>
        <w:rPr>
          <w:rStyle w:val="FootnoteReference"/>
        </w:rPr>
        <w:footnoteRef/>
      </w:r>
      <w:r>
        <w:t xml:space="preserve"> </w:t>
      </w:r>
      <w:r>
        <w:t xml:space="preserve">彼前 2:2；徒 20:32；罗 4:11；路 17:5；罗 1:16-17。</w:t>
      </w:r>
    </w:p>
  </w:footnote>
  <w:footnote w:id="317">
    <w:p>
      <w:pPr>
        <w:pStyle w:val="FootnoteText"/>
      </w:pPr>
      <w:r>
        <w:rPr>
          <w:rStyle w:val="FootnoteReference"/>
        </w:rPr>
        <w:footnoteRef/>
      </w:r>
      <w:r>
        <w:t xml:space="preserve"> </w:t>
      </w:r>
      <w:r>
        <w:t xml:space="preserve">约 4:42；帖前 2:13；约壹 5:10；徒 24:14。</w:t>
      </w:r>
    </w:p>
  </w:footnote>
  <w:footnote w:id="318">
    <w:p>
      <w:pPr>
        <w:pStyle w:val="FootnoteText"/>
      </w:pPr>
      <w:r>
        <w:rPr>
          <w:rStyle w:val="FootnoteReference"/>
        </w:rPr>
        <w:footnoteRef/>
      </w:r>
      <w:r>
        <w:t xml:space="preserve"> </w:t>
      </w:r>
      <w:r>
        <w:t xml:space="preserve">罗 16:26。</w:t>
      </w:r>
    </w:p>
  </w:footnote>
  <w:footnote w:id="319">
    <w:p>
      <w:pPr>
        <w:pStyle w:val="FootnoteText"/>
      </w:pPr>
      <w:r>
        <w:rPr>
          <w:rStyle w:val="FootnoteReference"/>
        </w:rPr>
        <w:footnoteRef/>
      </w:r>
      <w:r>
        <w:t xml:space="preserve"> </w:t>
      </w:r>
      <w:r>
        <w:t xml:space="preserve">赛 66:2。</w:t>
      </w:r>
    </w:p>
  </w:footnote>
  <w:footnote w:id="320">
    <w:p>
      <w:pPr>
        <w:pStyle w:val="FootnoteText"/>
      </w:pPr>
      <w:r>
        <w:rPr>
          <w:rStyle w:val="FootnoteReference"/>
        </w:rPr>
        <w:footnoteRef/>
      </w:r>
      <w:r>
        <w:t xml:space="preserve"> </w:t>
      </w:r>
      <w:r>
        <w:t xml:space="preserve">来 11:13；提前 4:8。</w:t>
      </w:r>
    </w:p>
  </w:footnote>
  <w:footnote w:id="321">
    <w:p>
      <w:pPr>
        <w:pStyle w:val="FootnoteText"/>
      </w:pPr>
      <w:r>
        <w:rPr>
          <w:rStyle w:val="FootnoteReference"/>
        </w:rPr>
        <w:footnoteRef/>
      </w:r>
      <w:r>
        <w:t xml:space="preserve"> </w:t>
      </w:r>
      <w:r>
        <w:t xml:space="preserve">约 1:12；徒 16:31；加 2:20；徒 15:11。</w:t>
      </w:r>
    </w:p>
  </w:footnote>
  <w:footnote w:id="322">
    <w:p>
      <w:pPr>
        <w:pStyle w:val="FootnoteText"/>
      </w:pPr>
      <w:r>
        <w:rPr>
          <w:rStyle w:val="FootnoteReference"/>
        </w:rPr>
        <w:footnoteRef/>
      </w:r>
      <w:r>
        <w:t xml:space="preserve"> </w:t>
      </w:r>
      <w:r>
        <w:t xml:space="preserve">来 5:13-14；罗 4:19-20；太 6:30；太 8:10。</w:t>
      </w:r>
    </w:p>
  </w:footnote>
  <w:footnote w:id="323">
    <w:p>
      <w:pPr>
        <w:pStyle w:val="FootnoteText"/>
      </w:pPr>
      <w:r>
        <w:rPr>
          <w:rStyle w:val="FootnoteReference"/>
        </w:rPr>
        <w:footnoteRef/>
      </w:r>
      <w:r>
        <w:t xml:space="preserve"> </w:t>
      </w:r>
      <w:r>
        <w:t xml:space="preserve">路 22:31-32；弗 6:16；约壹 5:4-5。</w:t>
      </w:r>
    </w:p>
  </w:footnote>
  <w:footnote w:id="324">
    <w:p>
      <w:pPr>
        <w:pStyle w:val="FootnoteText"/>
      </w:pPr>
      <w:r>
        <w:rPr>
          <w:rStyle w:val="FootnoteReference"/>
        </w:rPr>
        <w:footnoteRef/>
      </w:r>
      <w:r>
        <w:t xml:space="preserve"> </w:t>
      </w:r>
      <w:r>
        <w:t xml:space="preserve">来 6:11-12；来 10:22；西 2:2。</w:t>
      </w:r>
    </w:p>
  </w:footnote>
  <w:footnote w:id="325">
    <w:p>
      <w:pPr>
        <w:pStyle w:val="FootnoteText"/>
      </w:pPr>
      <w:r>
        <w:rPr>
          <w:rStyle w:val="FootnoteReference"/>
        </w:rPr>
        <w:footnoteRef/>
      </w:r>
      <w:r>
        <w:t xml:space="preserve"> </w:t>
      </w:r>
      <w:r>
        <w:t xml:space="preserve">来 12:2。</w:t>
      </w:r>
    </w:p>
  </w:footnote>
  <w:footnote w:id="327">
    <w:p>
      <w:pPr>
        <w:pStyle w:val="FootnoteText"/>
      </w:pPr>
      <w:r>
        <w:rPr>
          <w:rStyle w:val="FootnoteReference"/>
        </w:rPr>
        <w:footnoteRef/>
      </w:r>
      <w:r>
        <w:t xml:space="preserve"> </w:t>
      </w:r>
      <w:r>
        <w:t xml:space="preserve">徒 11:18；亚 12:10。</w:t>
      </w:r>
    </w:p>
  </w:footnote>
  <w:footnote w:id="328">
    <w:p>
      <w:pPr>
        <w:pStyle w:val="FootnoteText"/>
      </w:pPr>
      <w:r>
        <w:rPr>
          <w:rStyle w:val="FootnoteReference"/>
        </w:rPr>
        <w:footnoteRef/>
      </w:r>
      <w:r>
        <w:t xml:space="preserve"> </w:t>
      </w:r>
      <w:r>
        <w:t xml:space="preserve">路 24:47；可 1:15；徒 20:21。</w:t>
      </w:r>
    </w:p>
  </w:footnote>
  <w:footnote w:id="329">
    <w:p>
      <w:pPr>
        <w:pStyle w:val="FootnoteText"/>
      </w:pPr>
      <w:r>
        <w:rPr>
          <w:rStyle w:val="FootnoteReference"/>
        </w:rPr>
        <w:footnoteRef/>
      </w:r>
      <w:r>
        <w:t xml:space="preserve"> </w:t>
      </w:r>
      <w:r>
        <w:t xml:space="preserve">结 18:30-31；结 36:31；赛 30:22；诗 51:4；耶 31:18-19；珥 2:12-13；摩 5:15；诗 119:128；林后 7:11；罗 6:16；路 1:16-17；何 14:2-4。</w:t>
      </w:r>
    </w:p>
  </w:footnote>
  <w:footnote w:id="330">
    <w:p>
      <w:pPr>
        <w:pStyle w:val="FootnoteText"/>
      </w:pPr>
      <w:r>
        <w:rPr>
          <w:rStyle w:val="FootnoteReference"/>
        </w:rPr>
        <w:footnoteRef/>
      </w:r>
      <w:r>
        <w:t xml:space="preserve"> </w:t>
      </w:r>
      <w:r>
        <w:t xml:space="preserve">诗 119:6,59,128；结 14:6；王上 8:47-48；赛 55:7；徒 26:18。</w:t>
      </w:r>
    </w:p>
  </w:footnote>
  <w:footnote w:id="331">
    <w:p>
      <w:pPr>
        <w:pStyle w:val="FootnoteText"/>
      </w:pPr>
      <w:r>
        <w:rPr>
          <w:rStyle w:val="FootnoteReference"/>
        </w:rPr>
        <w:footnoteRef/>
      </w:r>
      <w:r>
        <w:t xml:space="preserve"> </w:t>
      </w:r>
      <w:r>
        <w:t xml:space="preserve">诗 119:128；结 18:30-31；林后 7:11；路 3:8-10；太 3:8；代下 7:14。</w:t>
      </w:r>
    </w:p>
  </w:footnote>
  <w:footnote w:id="332">
    <w:p>
      <w:pPr>
        <w:pStyle w:val="FootnoteText"/>
      </w:pPr>
      <w:r>
        <w:rPr>
          <w:rStyle w:val="FootnoteReference"/>
        </w:rPr>
        <w:footnoteRef/>
      </w:r>
      <w:r>
        <w:t xml:space="preserve"> </w:t>
      </w:r>
      <w:r>
        <w:t xml:space="preserve">结 36:31；诗 51:4；耶 31:18-19；珥 2:12-13；摩 5:15；诗 119:128；林后 7:11；罗 6:16；路 1:16-17；何 14:2-4。</w:t>
      </w:r>
    </w:p>
  </w:footnote>
  <w:footnote w:id="333">
    <w:p>
      <w:pPr>
        <w:pStyle w:val="FootnoteText"/>
      </w:pPr>
      <w:r>
        <w:rPr>
          <w:rStyle w:val="FootnoteReference"/>
        </w:rPr>
        <w:footnoteRef/>
      </w:r>
      <w:r>
        <w:t xml:space="preserve"> </w:t>
      </w:r>
      <w:r>
        <w:t xml:space="preserve">何 14:2-4；徒 11:18；徒 5:31。</w:t>
      </w:r>
    </w:p>
  </w:footnote>
  <w:footnote w:id="334">
    <w:p>
      <w:pPr>
        <w:pStyle w:val="FootnoteText"/>
      </w:pPr>
      <w:r>
        <w:rPr>
          <w:rStyle w:val="FootnoteReference"/>
        </w:rPr>
        <w:footnoteRef/>
      </w:r>
      <w:r>
        <w:t xml:space="preserve"> </w:t>
      </w:r>
      <w:r>
        <w:t xml:space="preserve">路 13:3,5；徒 17:30-31。</w:t>
      </w:r>
    </w:p>
  </w:footnote>
  <w:footnote w:id="335">
    <w:p>
      <w:pPr>
        <w:pStyle w:val="FootnoteText"/>
      </w:pPr>
      <w:r>
        <w:rPr>
          <w:rStyle w:val="FootnoteReference"/>
        </w:rPr>
        <w:footnoteRef/>
      </w:r>
      <w:r>
        <w:t xml:space="preserve"> </w:t>
      </w:r>
      <w:r>
        <w:t xml:space="preserve">罗 6:23；罗 5:12；太 12:36；诗 7:11；加 3:10；罗 3:10,23；雅 2:10；来 10:29-31；帖后 1:8-9。</w:t>
      </w:r>
    </w:p>
  </w:footnote>
  <w:footnote w:id="336">
    <w:p>
      <w:pPr>
        <w:pStyle w:val="FootnoteText"/>
      </w:pPr>
      <w:r>
        <w:rPr>
          <w:rStyle w:val="FootnoteReference"/>
        </w:rPr>
        <w:footnoteRef/>
      </w:r>
      <w:r>
        <w:t xml:space="preserve"> </w:t>
      </w:r>
      <w:r>
        <w:t xml:space="preserve">赛 1:16-18；赛 55:7；罗 3:24；约 6:37；来 7:25；诗 103:12；弥 7:18-19；约壹 1:7,9；约壹 2:1-2。</w:t>
      </w:r>
    </w:p>
  </w:footnote>
  <w:footnote w:id="337">
    <w:p>
      <w:pPr>
        <w:pStyle w:val="FootnoteText"/>
      </w:pPr>
      <w:r>
        <w:rPr>
          <w:rStyle w:val="FootnoteReference"/>
        </w:rPr>
        <w:footnoteRef/>
      </w:r>
      <w:r>
        <w:t xml:space="preserve"> </w:t>
      </w:r>
      <w:r>
        <w:t xml:space="preserve">诗 19:13；王下 23:25-26；路 3:8-10；代下 7:14；太 3:8；徒 26:18。</w:t>
      </w:r>
    </w:p>
  </w:footnote>
  <w:footnote w:id="338">
    <w:p>
      <w:pPr>
        <w:pStyle w:val="FootnoteText"/>
      </w:pPr>
      <w:r>
        <w:rPr>
          <w:rStyle w:val="FootnoteReference"/>
        </w:rPr>
        <w:footnoteRef/>
      </w:r>
      <w:r>
        <w:t xml:space="preserve"> </w:t>
      </w:r>
      <w:r>
        <w:t xml:space="preserve">诗 32:5-6；尼 1:6-7；路 18:13-14。</w:t>
      </w:r>
    </w:p>
  </w:footnote>
  <w:footnote w:id="339">
    <w:p>
      <w:pPr>
        <w:pStyle w:val="FootnoteText"/>
      </w:pPr>
      <w:r>
        <w:rPr>
          <w:rStyle w:val="FootnoteReference"/>
        </w:rPr>
        <w:footnoteRef/>
      </w:r>
      <w:r>
        <w:t xml:space="preserve"> </w:t>
      </w:r>
      <w:r>
        <w:t xml:space="preserve">箴 28:13；约壹 1:9。</w:t>
      </w:r>
    </w:p>
  </w:footnote>
  <w:footnote w:id="340">
    <w:p>
      <w:pPr>
        <w:pStyle w:val="FootnoteText"/>
      </w:pPr>
      <w:r>
        <w:rPr>
          <w:rStyle w:val="FootnoteReference"/>
        </w:rPr>
        <w:footnoteRef/>
      </w:r>
      <w:r>
        <w:t xml:space="preserve"> </w:t>
      </w:r>
      <w:r>
        <w:t xml:space="preserve">雅 5:16；路 17:3-4；书 7:19；诗 51。</w:t>
      </w:r>
    </w:p>
  </w:footnote>
  <w:footnote w:id="341">
    <w:p>
      <w:pPr>
        <w:pStyle w:val="FootnoteText"/>
      </w:pPr>
      <w:r>
        <w:rPr>
          <w:rStyle w:val="FootnoteReference"/>
        </w:rPr>
        <w:footnoteRef/>
      </w:r>
      <w:r>
        <w:t xml:space="preserve"> </w:t>
      </w:r>
      <w:r>
        <w:t xml:space="preserve">林后 2:8。</w:t>
      </w:r>
    </w:p>
  </w:footnote>
  <w:footnote w:id="343">
    <w:p>
      <w:pPr>
        <w:pStyle w:val="FootnoteText"/>
      </w:pPr>
      <w:r>
        <w:rPr>
          <w:rStyle w:val="FootnoteReference"/>
        </w:rPr>
        <w:footnoteRef/>
      </w:r>
      <w:r>
        <w:t xml:space="preserve"> </w:t>
      </w:r>
      <w:r>
        <w:t xml:space="preserve">弥 6:8；罗 12:2；来 13:21。</w:t>
      </w:r>
    </w:p>
  </w:footnote>
  <w:footnote w:id="344">
    <w:p>
      <w:pPr>
        <w:pStyle w:val="FootnoteText"/>
      </w:pPr>
      <w:r>
        <w:rPr>
          <w:rStyle w:val="FootnoteReference"/>
        </w:rPr>
        <w:footnoteRef/>
      </w:r>
      <w:r>
        <w:t xml:space="preserve"> </w:t>
      </w:r>
      <w:r>
        <w:t xml:space="preserve">太 15:9；赛 29:13；彼前 1:18；罗 10:2；约 16:2；撒上 15:21-23。</w:t>
      </w:r>
    </w:p>
  </w:footnote>
  <w:footnote w:id="345">
    <w:p>
      <w:pPr>
        <w:pStyle w:val="FootnoteText"/>
      </w:pPr>
      <w:r>
        <w:rPr>
          <w:rStyle w:val="FootnoteReference"/>
        </w:rPr>
        <w:footnoteRef/>
      </w:r>
      <w:r>
        <w:t xml:space="preserve"> </w:t>
      </w:r>
      <w:r>
        <w:t xml:space="preserve">雅 2:18,22。</w:t>
      </w:r>
    </w:p>
  </w:footnote>
  <w:footnote w:id="346">
    <w:p>
      <w:pPr>
        <w:pStyle w:val="FootnoteText"/>
      </w:pPr>
      <w:r>
        <w:rPr>
          <w:rStyle w:val="FootnoteReference"/>
        </w:rPr>
        <w:footnoteRef/>
      </w:r>
      <w:r>
        <w:t xml:space="preserve"> </w:t>
      </w:r>
      <w:r>
        <w:t xml:space="preserve">诗 116:12-13。</w:t>
      </w:r>
    </w:p>
  </w:footnote>
  <w:footnote w:id="347">
    <w:p>
      <w:pPr>
        <w:pStyle w:val="FootnoteText"/>
      </w:pPr>
      <w:r>
        <w:rPr>
          <w:rStyle w:val="FootnoteReference"/>
        </w:rPr>
        <w:footnoteRef/>
      </w:r>
      <w:r>
        <w:t xml:space="preserve"> </w:t>
      </w:r>
      <w:r>
        <w:t xml:space="preserve">约壹 2:3,5；彼后 1:5-10。</w:t>
      </w:r>
    </w:p>
  </w:footnote>
  <w:footnote w:id="348">
    <w:p>
      <w:pPr>
        <w:pStyle w:val="FootnoteText"/>
      </w:pPr>
      <w:r>
        <w:rPr>
          <w:rStyle w:val="FootnoteReference"/>
        </w:rPr>
        <w:footnoteRef/>
      </w:r>
      <w:r>
        <w:t xml:space="preserve"> </w:t>
      </w:r>
      <w:r>
        <w:t xml:space="preserve">林后 9:2；太 5:16。</w:t>
      </w:r>
    </w:p>
  </w:footnote>
  <w:footnote w:id="349">
    <w:p>
      <w:pPr>
        <w:pStyle w:val="FootnoteText"/>
      </w:pPr>
      <w:r>
        <w:rPr>
          <w:rStyle w:val="FootnoteReference"/>
        </w:rPr>
        <w:footnoteRef/>
      </w:r>
      <w:r>
        <w:t xml:space="preserve"> </w:t>
      </w:r>
      <w:r>
        <w:t xml:space="preserve">多 2:5,9-12；提前 6:1。</w:t>
      </w:r>
    </w:p>
  </w:footnote>
  <w:footnote w:id="350">
    <w:p>
      <w:pPr>
        <w:pStyle w:val="FootnoteText"/>
      </w:pPr>
      <w:r>
        <w:rPr>
          <w:rStyle w:val="FootnoteReference"/>
        </w:rPr>
        <w:footnoteRef/>
      </w:r>
      <w:r>
        <w:t xml:space="preserve"> </w:t>
      </w:r>
      <w:r>
        <w:t xml:space="preserve">彼前 2:15。</w:t>
      </w:r>
    </w:p>
  </w:footnote>
  <w:footnote w:id="351">
    <w:p>
      <w:pPr>
        <w:pStyle w:val="FootnoteText"/>
      </w:pPr>
      <w:r>
        <w:rPr>
          <w:rStyle w:val="FootnoteReference"/>
        </w:rPr>
        <w:footnoteRef/>
      </w:r>
      <w:r>
        <w:t xml:space="preserve"> </w:t>
      </w:r>
      <w:r>
        <w:t xml:space="preserve">彼前 2:12；腓 1:11；约 15:8。</w:t>
      </w:r>
    </w:p>
  </w:footnote>
  <w:footnote w:id="352">
    <w:p>
      <w:pPr>
        <w:pStyle w:val="FootnoteText"/>
      </w:pPr>
      <w:r>
        <w:rPr>
          <w:rStyle w:val="FootnoteReference"/>
        </w:rPr>
        <w:footnoteRef/>
      </w:r>
      <w:r>
        <w:t xml:space="preserve"> </w:t>
      </w:r>
      <w:r>
        <w:t xml:space="preserve">弗 2:10。</w:t>
      </w:r>
    </w:p>
  </w:footnote>
  <w:footnote w:id="353">
    <w:p>
      <w:pPr>
        <w:pStyle w:val="FootnoteText"/>
      </w:pPr>
      <w:r>
        <w:rPr>
          <w:rStyle w:val="FootnoteReference"/>
        </w:rPr>
        <w:footnoteRef/>
      </w:r>
      <w:r>
        <w:t xml:space="preserve"> </w:t>
      </w:r>
      <w:r>
        <w:t xml:space="preserve">罗 6:22。</w:t>
      </w:r>
    </w:p>
  </w:footnote>
  <w:footnote w:id="354">
    <w:p>
      <w:pPr>
        <w:pStyle w:val="FootnoteText"/>
      </w:pPr>
      <w:r>
        <w:rPr>
          <w:rStyle w:val="FootnoteReference"/>
        </w:rPr>
        <w:footnoteRef/>
      </w:r>
      <w:r>
        <w:t xml:space="preserve"> </w:t>
      </w:r>
      <w:r>
        <w:t xml:space="preserve">约 15:4-6；结 36:26-27。</w:t>
      </w:r>
    </w:p>
  </w:footnote>
  <w:footnote w:id="355">
    <w:p>
      <w:pPr>
        <w:pStyle w:val="FootnoteText"/>
      </w:pPr>
      <w:r>
        <w:rPr>
          <w:rStyle w:val="FootnoteReference"/>
        </w:rPr>
        <w:footnoteRef/>
      </w:r>
      <w:r>
        <w:t xml:space="preserve"> </w:t>
      </w:r>
      <w:r>
        <w:t xml:space="preserve">腓 2:13；腓 4:13；林后 3:5；弗 3:16-17。</w:t>
      </w:r>
    </w:p>
  </w:footnote>
  <w:footnote w:id="356">
    <w:p>
      <w:pPr>
        <w:pStyle w:val="FootnoteText"/>
      </w:pPr>
      <w:r>
        <w:rPr>
          <w:rStyle w:val="FootnoteReference"/>
        </w:rPr>
        <w:footnoteRef/>
      </w:r>
      <w:r>
        <w:t xml:space="preserve"> </w:t>
      </w:r>
      <w:r>
        <w:t xml:space="preserve">腓 2:12；来 6:11-12；彼后 1:3,5,10-11；赛 64:7；提后 1:6；徒 26:6-7；犹 20-21。</w:t>
      </w:r>
    </w:p>
  </w:footnote>
  <w:footnote w:id="357">
    <w:p>
      <w:pPr>
        <w:pStyle w:val="FootnoteText"/>
      </w:pPr>
      <w:r>
        <w:rPr>
          <w:rStyle w:val="FootnoteReference"/>
        </w:rPr>
        <w:footnoteRef/>
      </w:r>
      <w:r>
        <w:t xml:space="preserve"> </w:t>
      </w:r>
      <w:r>
        <w:t xml:space="preserve">路 17:10；尼 13:22；伯 9:2-3；加 5:17。</w:t>
      </w:r>
    </w:p>
  </w:footnote>
  <w:footnote w:id="358">
    <w:p>
      <w:pPr>
        <w:pStyle w:val="FootnoteText"/>
      </w:pPr>
      <w:r>
        <w:rPr>
          <w:rStyle w:val="FootnoteReference"/>
        </w:rPr>
        <w:footnoteRef/>
      </w:r>
      <w:r>
        <w:t xml:space="preserve"> </w:t>
      </w:r>
      <w:r>
        <w:t xml:space="preserve">罗 3:20；罗 4:2,4,6；弗 2:8-9；多 3:5-7；罗 8:18；诗 16:2；伯 22:2-3。</w:t>
      </w:r>
    </w:p>
  </w:footnote>
  <w:footnote w:id="359">
    <w:p>
      <w:pPr>
        <w:pStyle w:val="FootnoteText"/>
      </w:pPr>
      <w:r>
        <w:rPr>
          <w:rStyle w:val="FootnoteReference"/>
        </w:rPr>
        <w:footnoteRef/>
      </w:r>
      <w:r>
        <w:t xml:space="preserve"> </w:t>
      </w:r>
      <w:r>
        <w:t xml:space="preserve">伯 35:7-8。</w:t>
      </w:r>
    </w:p>
  </w:footnote>
  <w:footnote w:id="360">
    <w:p>
      <w:pPr>
        <w:pStyle w:val="FootnoteText"/>
      </w:pPr>
      <w:r>
        <w:rPr>
          <w:rStyle w:val="FootnoteReference"/>
        </w:rPr>
        <w:footnoteRef/>
      </w:r>
      <w:r>
        <w:t xml:space="preserve"> </w:t>
      </w:r>
      <w:r>
        <w:t xml:space="preserve">路 17:10。</w:t>
      </w:r>
    </w:p>
  </w:footnote>
  <w:footnote w:id="361">
    <w:p>
      <w:pPr>
        <w:pStyle w:val="FootnoteText"/>
      </w:pPr>
      <w:r>
        <w:rPr>
          <w:rStyle w:val="FootnoteReference"/>
        </w:rPr>
        <w:footnoteRef/>
      </w:r>
      <w:r>
        <w:t xml:space="preserve"> </w:t>
      </w:r>
      <w:r>
        <w:t xml:space="preserve">加 5:22-23。</w:t>
      </w:r>
    </w:p>
  </w:footnote>
  <w:footnote w:id="362">
    <w:p>
      <w:pPr>
        <w:pStyle w:val="FootnoteText"/>
      </w:pPr>
      <w:r>
        <w:rPr>
          <w:rStyle w:val="FootnoteReference"/>
        </w:rPr>
        <w:footnoteRef/>
      </w:r>
      <w:r>
        <w:t xml:space="preserve"> </w:t>
      </w:r>
      <w:r>
        <w:t xml:space="preserve">赛 64:6；加 5:17；罗 7:15,18；诗 143:2；诗 130:3。</w:t>
      </w:r>
    </w:p>
  </w:footnote>
  <w:footnote w:id="363">
    <w:p>
      <w:pPr>
        <w:pStyle w:val="FootnoteText"/>
      </w:pPr>
      <w:r>
        <w:rPr>
          <w:rStyle w:val="FootnoteReference"/>
        </w:rPr>
        <w:footnoteRef/>
      </w:r>
      <w:r>
        <w:t xml:space="preserve"> </w:t>
      </w:r>
      <w:r>
        <w:t xml:space="preserve">弗 1:6；彼前 2:5；出 28:38；创 4:4；来 11:4。</w:t>
      </w:r>
    </w:p>
  </w:footnote>
  <w:footnote w:id="364">
    <w:p>
      <w:pPr>
        <w:pStyle w:val="FootnoteText"/>
      </w:pPr>
      <w:r>
        <w:rPr>
          <w:rStyle w:val="FootnoteReference"/>
        </w:rPr>
        <w:footnoteRef/>
      </w:r>
      <w:r>
        <w:t xml:space="preserve"> </w:t>
      </w:r>
      <w:r>
        <w:t xml:space="preserve">伯 9:20；诗 143:2；约壹 1:8；诗 130:3。</w:t>
      </w:r>
    </w:p>
  </w:footnote>
  <w:footnote w:id="365">
    <w:p>
      <w:pPr>
        <w:pStyle w:val="FootnoteText"/>
      </w:pPr>
      <w:r>
        <w:rPr>
          <w:rStyle w:val="FootnoteReference"/>
        </w:rPr>
        <w:footnoteRef/>
      </w:r>
      <w:r>
        <w:t xml:space="preserve"> </w:t>
      </w:r>
      <w:r>
        <w:t xml:space="preserve">来 13:20-21；林后 8:12；来 6:10；太 25:21,23。</w:t>
      </w:r>
    </w:p>
  </w:footnote>
  <w:footnote w:id="366">
    <w:p>
      <w:pPr>
        <w:pStyle w:val="FootnoteText"/>
      </w:pPr>
      <w:r>
        <w:rPr>
          <w:rStyle w:val="FootnoteReference"/>
        </w:rPr>
        <w:footnoteRef/>
      </w:r>
      <w:r>
        <w:t xml:space="preserve"> </w:t>
      </w:r>
      <w:r>
        <w:t xml:space="preserve">王下 10:30-31；王上 21:27,29；腓 1:15-16,18。</w:t>
      </w:r>
    </w:p>
  </w:footnote>
  <w:footnote w:id="367">
    <w:p>
      <w:pPr>
        <w:pStyle w:val="FootnoteText"/>
      </w:pPr>
      <w:r>
        <w:rPr>
          <w:rStyle w:val="FootnoteReference"/>
        </w:rPr>
        <w:footnoteRef/>
      </w:r>
      <w:r>
        <w:t xml:space="preserve"> </w:t>
      </w:r>
      <w:r>
        <w:t xml:space="preserve">创 4:5；来 11:4,6。</w:t>
      </w:r>
    </w:p>
  </w:footnote>
  <w:footnote w:id="368">
    <w:p>
      <w:pPr>
        <w:pStyle w:val="FootnoteText"/>
      </w:pPr>
      <w:r>
        <w:rPr>
          <w:rStyle w:val="FootnoteReference"/>
        </w:rPr>
        <w:footnoteRef/>
      </w:r>
      <w:r>
        <w:t xml:space="preserve"> </w:t>
      </w:r>
      <w:r>
        <w:t xml:space="preserve">林前 13:3；赛 1:12。</w:t>
      </w:r>
    </w:p>
  </w:footnote>
  <w:footnote w:id="369">
    <w:p>
      <w:pPr>
        <w:pStyle w:val="FootnoteText"/>
      </w:pPr>
      <w:r>
        <w:rPr>
          <w:rStyle w:val="FootnoteReference"/>
        </w:rPr>
        <w:footnoteRef/>
      </w:r>
      <w:r>
        <w:t xml:space="preserve"> </w:t>
      </w:r>
      <w:r>
        <w:t xml:space="preserve">太 6:2,5,16。</w:t>
      </w:r>
    </w:p>
  </w:footnote>
  <w:footnote w:id="370">
    <w:p>
      <w:pPr>
        <w:pStyle w:val="FootnoteText"/>
      </w:pPr>
      <w:r>
        <w:rPr>
          <w:rStyle w:val="FootnoteReference"/>
        </w:rPr>
        <w:footnoteRef/>
      </w:r>
      <w:r>
        <w:t xml:space="preserve"> </w:t>
      </w:r>
      <w:r>
        <w:t xml:space="preserve">该 2:14；多 1:15；摩 5:21-22；何 1:4；罗 9:16；多 3:5。</w:t>
      </w:r>
    </w:p>
  </w:footnote>
  <w:footnote w:id="371">
    <w:p>
      <w:pPr>
        <w:pStyle w:val="FootnoteText"/>
      </w:pPr>
      <w:r>
        <w:rPr>
          <w:rStyle w:val="FootnoteReference"/>
        </w:rPr>
        <w:footnoteRef/>
      </w:r>
      <w:r>
        <w:t xml:space="preserve"> </w:t>
      </w:r>
      <w:r>
        <w:t xml:space="preserve">诗 14:4；诗 36:3；伯 21:14-15；太 25:41-45；太 23:23。</w:t>
      </w:r>
    </w:p>
  </w:footnote>
  <w:footnote w:id="373">
    <w:p>
      <w:pPr>
        <w:pStyle w:val="FootnoteText"/>
      </w:pPr>
      <w:r>
        <w:rPr>
          <w:rStyle w:val="FootnoteReference"/>
        </w:rPr>
        <w:footnoteRef/>
      </w:r>
      <w:r>
        <w:t xml:space="preserve"> </w:t>
      </w:r>
      <w:r>
        <w:t xml:space="preserve">腓 1:6；彼后 1:10；约 10:28-29；约壹 3:9；彼前 1:5,9。</w:t>
      </w:r>
    </w:p>
  </w:footnote>
  <w:footnote w:id="374">
    <w:p>
      <w:pPr>
        <w:pStyle w:val="FootnoteText"/>
      </w:pPr>
      <w:r>
        <w:rPr>
          <w:rStyle w:val="FootnoteReference"/>
        </w:rPr>
        <w:footnoteRef/>
      </w:r>
      <w:r>
        <w:t xml:space="preserve"> </w:t>
      </w:r>
      <w:r>
        <w:t xml:space="preserve">提后 2:18-19；耶 31:3。</w:t>
      </w:r>
    </w:p>
  </w:footnote>
  <w:footnote w:id="375">
    <w:p>
      <w:pPr>
        <w:pStyle w:val="FootnoteText"/>
      </w:pPr>
      <w:r>
        <w:rPr>
          <w:rStyle w:val="FootnoteReference"/>
        </w:rPr>
        <w:footnoteRef/>
      </w:r>
      <w:r>
        <w:t xml:space="preserve"> </w:t>
      </w:r>
      <w:r>
        <w:t xml:space="preserve">来 10:10,14；来 13:20-21；来 9:12-15；罗 8:33-39；约 17:11,24；路 22:32；来 7:25。</w:t>
      </w:r>
    </w:p>
  </w:footnote>
  <w:footnote w:id="376">
    <w:p>
      <w:pPr>
        <w:pStyle w:val="FootnoteText"/>
      </w:pPr>
      <w:r>
        <w:rPr>
          <w:rStyle w:val="FootnoteReference"/>
        </w:rPr>
        <w:footnoteRef/>
      </w:r>
      <w:r>
        <w:t xml:space="preserve"> </w:t>
      </w:r>
      <w:r>
        <w:t xml:space="preserve">约 14:16-17；约壹 2:27；约壹 3:9。</w:t>
      </w:r>
    </w:p>
  </w:footnote>
  <w:footnote w:id="377">
    <w:p>
      <w:pPr>
        <w:pStyle w:val="FootnoteText"/>
      </w:pPr>
      <w:r>
        <w:rPr>
          <w:rStyle w:val="FootnoteReference"/>
        </w:rPr>
        <w:footnoteRef/>
      </w:r>
      <w:r>
        <w:t xml:space="preserve"> </w:t>
      </w:r>
      <w:r>
        <w:t xml:space="preserve">耶 32:40。</w:t>
      </w:r>
    </w:p>
  </w:footnote>
  <w:footnote w:id="378">
    <w:p>
      <w:pPr>
        <w:pStyle w:val="FootnoteText"/>
      </w:pPr>
      <w:r>
        <w:rPr>
          <w:rStyle w:val="FootnoteReference"/>
        </w:rPr>
        <w:footnoteRef/>
      </w:r>
      <w:r>
        <w:t xml:space="preserve"> </w:t>
      </w:r>
      <w:r>
        <w:t xml:space="preserve">约 10:28；帖后 3:3；约壹 2:19。</w:t>
      </w:r>
    </w:p>
  </w:footnote>
  <w:footnote w:id="379">
    <w:p>
      <w:pPr>
        <w:pStyle w:val="FootnoteText"/>
      </w:pPr>
      <w:r>
        <w:rPr>
          <w:rStyle w:val="FootnoteReference"/>
        </w:rPr>
        <w:footnoteRef/>
      </w:r>
      <w:r>
        <w:t xml:space="preserve"> </w:t>
      </w:r>
      <w:r>
        <w:t xml:space="preserve">太 26:70,72,74。</w:t>
      </w:r>
    </w:p>
  </w:footnote>
  <w:footnote w:id="380">
    <w:p>
      <w:pPr>
        <w:pStyle w:val="FootnoteText"/>
      </w:pPr>
      <w:r>
        <w:rPr>
          <w:rStyle w:val="FootnoteReference"/>
        </w:rPr>
        <w:footnoteRef/>
      </w:r>
      <w:r>
        <w:t xml:space="preserve"> </w:t>
      </w:r>
      <w:r>
        <w:t xml:space="preserve">赛 64:5,9；撒下 12:9,13；加 2:11。</w:t>
      </w:r>
    </w:p>
  </w:footnote>
  <w:footnote w:id="381">
    <w:p>
      <w:pPr>
        <w:pStyle w:val="FootnoteText"/>
      </w:pPr>
      <w:r>
        <w:rPr>
          <w:rStyle w:val="FootnoteReference"/>
        </w:rPr>
        <w:footnoteRef/>
      </w:r>
      <w:r>
        <w:t xml:space="preserve"> </w:t>
      </w:r>
      <w:r>
        <w:t xml:space="preserve">撒下 11:27；赛 64:5,7,9。</w:t>
      </w:r>
    </w:p>
  </w:footnote>
  <w:footnote w:id="382">
    <w:p>
      <w:pPr>
        <w:pStyle w:val="FootnoteText"/>
      </w:pPr>
      <w:r>
        <w:rPr>
          <w:rStyle w:val="FootnoteReference"/>
        </w:rPr>
        <w:footnoteRef/>
      </w:r>
      <w:r>
        <w:t xml:space="preserve"> </w:t>
      </w:r>
      <w:r>
        <w:t xml:space="preserve">弗 4:30。</w:t>
      </w:r>
    </w:p>
  </w:footnote>
  <w:footnote w:id="383">
    <w:p>
      <w:pPr>
        <w:pStyle w:val="FootnoteText"/>
      </w:pPr>
      <w:r>
        <w:rPr>
          <w:rStyle w:val="FootnoteReference"/>
        </w:rPr>
        <w:footnoteRef/>
      </w:r>
      <w:r>
        <w:t xml:space="preserve"> </w:t>
      </w:r>
      <w:r>
        <w:t xml:space="preserve">诗 51:8,10,12；启 2:4；歌 5:2-4,6。</w:t>
      </w:r>
    </w:p>
  </w:footnote>
  <w:footnote w:id="384">
    <w:p>
      <w:pPr>
        <w:pStyle w:val="FootnoteText"/>
      </w:pPr>
      <w:r>
        <w:rPr>
          <w:rStyle w:val="FootnoteReference"/>
        </w:rPr>
        <w:footnoteRef/>
      </w:r>
      <w:r>
        <w:t xml:space="preserve"> </w:t>
      </w:r>
      <w:r>
        <w:t xml:space="preserve">赛 63:17；可 6:52；可 16:14。</w:t>
      </w:r>
    </w:p>
  </w:footnote>
  <w:footnote w:id="385">
    <w:p>
      <w:pPr>
        <w:pStyle w:val="FootnoteText"/>
      </w:pPr>
      <w:r>
        <w:rPr>
          <w:rStyle w:val="FootnoteReference"/>
        </w:rPr>
        <w:footnoteRef/>
      </w:r>
      <w:r>
        <w:t xml:space="preserve"> </w:t>
      </w:r>
      <w:r>
        <w:t xml:space="preserve">诗 32:3-4；诗 51:8。</w:t>
      </w:r>
    </w:p>
  </w:footnote>
  <w:footnote w:id="386">
    <w:p>
      <w:pPr>
        <w:pStyle w:val="FootnoteText"/>
      </w:pPr>
      <w:r>
        <w:rPr>
          <w:rStyle w:val="FootnoteReference"/>
        </w:rPr>
        <w:footnoteRef/>
      </w:r>
      <w:r>
        <w:t xml:space="preserve"> </w:t>
      </w:r>
      <w:r>
        <w:t xml:space="preserve">撒下 12:14。</w:t>
      </w:r>
    </w:p>
  </w:footnote>
  <w:footnote w:id="387">
    <w:p>
      <w:pPr>
        <w:pStyle w:val="FootnoteText"/>
      </w:pPr>
      <w:r>
        <w:rPr>
          <w:rStyle w:val="FootnoteReference"/>
        </w:rPr>
        <w:footnoteRef/>
      </w:r>
      <w:r>
        <w:t xml:space="preserve"> </w:t>
      </w:r>
      <w:r>
        <w:t xml:space="preserve">诗 89:31-32；林前 11:32。</w:t>
      </w:r>
    </w:p>
  </w:footnote>
  <w:footnote w:id="389">
    <w:p>
      <w:pPr>
        <w:pStyle w:val="FootnoteText"/>
      </w:pPr>
      <w:r>
        <w:rPr>
          <w:rStyle w:val="FootnoteReference"/>
        </w:rPr>
        <w:footnoteRef/>
      </w:r>
      <w:r>
        <w:t xml:space="preserve"> </w:t>
      </w:r>
      <w:r>
        <w:t xml:space="preserve">伯 8:13-14；弥 3:11；申 29:19；约 8:41。</w:t>
      </w:r>
    </w:p>
  </w:footnote>
  <w:footnote w:id="390">
    <w:p>
      <w:pPr>
        <w:pStyle w:val="FootnoteText"/>
      </w:pPr>
      <w:r>
        <w:rPr>
          <w:rStyle w:val="FootnoteReference"/>
        </w:rPr>
        <w:footnoteRef/>
      </w:r>
      <w:r>
        <w:t xml:space="preserve"> </w:t>
      </w:r>
      <w:r>
        <w:t xml:space="preserve">太 7:22-23。</w:t>
      </w:r>
    </w:p>
  </w:footnote>
  <w:footnote w:id="391">
    <w:p>
      <w:pPr>
        <w:pStyle w:val="FootnoteText"/>
      </w:pPr>
      <w:r>
        <w:rPr>
          <w:rStyle w:val="FootnoteReference"/>
        </w:rPr>
        <w:footnoteRef/>
      </w:r>
      <w:r>
        <w:t xml:space="preserve"> </w:t>
      </w:r>
      <w:r>
        <w:t xml:space="preserve">约壹 2:3；约壹 3:14,18-19,21,24；约壹 5:13。</w:t>
      </w:r>
    </w:p>
  </w:footnote>
  <w:footnote w:id="392">
    <w:p>
      <w:pPr>
        <w:pStyle w:val="FootnoteText"/>
      </w:pPr>
      <w:r>
        <w:rPr>
          <w:rStyle w:val="FootnoteReference"/>
        </w:rPr>
        <w:footnoteRef/>
      </w:r>
      <w:r>
        <w:t xml:space="preserve"> </w:t>
      </w:r>
      <w:r>
        <w:t xml:space="preserve">罗 5:2,5。</w:t>
      </w:r>
    </w:p>
  </w:footnote>
  <w:footnote w:id="393">
    <w:p>
      <w:pPr>
        <w:pStyle w:val="FootnoteText"/>
      </w:pPr>
      <w:r>
        <w:rPr>
          <w:rStyle w:val="FootnoteReference"/>
        </w:rPr>
        <w:footnoteRef/>
      </w:r>
      <w:r>
        <w:t xml:space="preserve"> </w:t>
      </w:r>
      <w:r>
        <w:t xml:space="preserve">来 6:11,19。</w:t>
      </w:r>
    </w:p>
  </w:footnote>
  <w:footnote w:id="394">
    <w:p>
      <w:pPr>
        <w:pStyle w:val="FootnoteText"/>
      </w:pPr>
      <w:r>
        <w:rPr>
          <w:rStyle w:val="FootnoteReference"/>
        </w:rPr>
        <w:footnoteRef/>
      </w:r>
      <w:r>
        <w:t xml:space="preserve"> </w:t>
      </w:r>
      <w:r>
        <w:t xml:space="preserve">来 6:17-18；彼后 1:4-5,10-11；约壹 2:3；约壹 3:14；林后 1:12。</w:t>
      </w:r>
    </w:p>
  </w:footnote>
  <w:footnote w:id="395">
    <w:p>
      <w:pPr>
        <w:pStyle w:val="FootnoteText"/>
      </w:pPr>
      <w:r>
        <w:rPr>
          <w:rStyle w:val="FootnoteReference"/>
        </w:rPr>
        <w:footnoteRef/>
      </w:r>
      <w:r>
        <w:t xml:space="preserve"> </w:t>
      </w:r>
      <w:r>
        <w:t xml:space="preserve">罗 8:15-16。</w:t>
      </w:r>
    </w:p>
  </w:footnote>
  <w:footnote w:id="396">
    <w:p>
      <w:pPr>
        <w:pStyle w:val="FootnoteText"/>
      </w:pPr>
      <w:r>
        <w:rPr>
          <w:rStyle w:val="FootnoteReference"/>
        </w:rPr>
        <w:footnoteRef/>
      </w:r>
      <w:r>
        <w:t xml:space="preserve"> </w:t>
      </w:r>
      <w:r>
        <w:t xml:space="preserve">弗 1:13-14；弗 4:30；林后 1:21-22。</w:t>
      </w:r>
    </w:p>
  </w:footnote>
  <w:footnote w:id="397">
    <w:p>
      <w:pPr>
        <w:pStyle w:val="FootnoteText"/>
      </w:pPr>
      <w:r>
        <w:rPr>
          <w:rStyle w:val="FootnoteReference"/>
        </w:rPr>
        <w:footnoteRef/>
      </w:r>
      <w:r>
        <w:t xml:space="preserve"> </w:t>
      </w:r>
      <w:r>
        <w:t xml:space="preserve">约壹 5:13；赛 50:10；可 9:24；诗 88:1-18；诗 77:1-12。</w:t>
      </w:r>
    </w:p>
  </w:footnote>
  <w:footnote w:id="398">
    <w:p>
      <w:pPr>
        <w:pStyle w:val="FootnoteText"/>
      </w:pPr>
      <w:r>
        <w:rPr>
          <w:rStyle w:val="FootnoteReference"/>
        </w:rPr>
        <w:footnoteRef/>
      </w:r>
      <w:r>
        <w:t xml:space="preserve"> </w:t>
      </w:r>
      <w:r>
        <w:t xml:space="preserve">林前 2:12；约壹 4:13；来 6:11-12；弗 3:17-19。</w:t>
      </w:r>
    </w:p>
  </w:footnote>
  <w:footnote w:id="399">
    <w:p>
      <w:pPr>
        <w:pStyle w:val="FootnoteText"/>
      </w:pPr>
      <w:r>
        <w:rPr>
          <w:rStyle w:val="FootnoteReference"/>
        </w:rPr>
        <w:footnoteRef/>
      </w:r>
      <w:r>
        <w:t xml:space="preserve"> </w:t>
      </w:r>
      <w:r>
        <w:t xml:space="preserve">彼后 1:10。</w:t>
      </w:r>
    </w:p>
  </w:footnote>
  <w:footnote w:id="400">
    <w:p>
      <w:pPr>
        <w:pStyle w:val="FootnoteText"/>
      </w:pPr>
      <w:r>
        <w:rPr>
          <w:rStyle w:val="FootnoteReference"/>
        </w:rPr>
        <w:footnoteRef/>
      </w:r>
      <w:r>
        <w:t xml:space="preserve"> </w:t>
      </w:r>
      <w:r>
        <w:t xml:space="preserve">罗 5:1-2,5；罗 14:17；诗 119:32。</w:t>
      </w:r>
    </w:p>
  </w:footnote>
  <w:footnote w:id="401">
    <w:p>
      <w:pPr>
        <w:pStyle w:val="FootnoteText"/>
      </w:pPr>
      <w:r>
        <w:rPr>
          <w:rStyle w:val="FootnoteReference"/>
        </w:rPr>
        <w:footnoteRef/>
      </w:r>
      <w:r>
        <w:t xml:space="preserve"> </w:t>
      </w:r>
      <w:r>
        <w:t xml:space="preserve">罗 6:1-2；多 2:11-12,14；林后 7:1；罗 8:1,12；约壹 3:2-3。</w:t>
      </w:r>
    </w:p>
  </w:footnote>
  <w:footnote w:id="402">
    <w:p>
      <w:pPr>
        <w:pStyle w:val="FootnoteText"/>
      </w:pPr>
      <w:r>
        <w:rPr>
          <w:rStyle w:val="FootnoteReference"/>
        </w:rPr>
        <w:footnoteRef/>
      </w:r>
      <w:r>
        <w:t xml:space="preserve"> </w:t>
      </w:r>
      <w:r>
        <w:t xml:space="preserve">歌 5:2-3,6；诗 51:8,12,14；弗 4:30-31；诗 77:1-10。</w:t>
      </w:r>
    </w:p>
  </w:footnote>
  <w:footnote w:id="403">
    <w:p>
      <w:pPr>
        <w:pStyle w:val="FootnoteText"/>
      </w:pPr>
      <w:r>
        <w:rPr>
          <w:rStyle w:val="FootnoteReference"/>
        </w:rPr>
        <w:footnoteRef/>
      </w:r>
      <w:r>
        <w:t xml:space="preserve"> </w:t>
      </w:r>
      <w:r>
        <w:t xml:space="preserve">太 26:69-72；诗 31:22；诗 88:1-18。</w:t>
      </w:r>
    </w:p>
  </w:footnote>
  <w:footnote w:id="404">
    <w:p>
      <w:pPr>
        <w:pStyle w:val="FootnoteText"/>
      </w:pPr>
      <w:r>
        <w:rPr>
          <w:rStyle w:val="FootnoteReference"/>
        </w:rPr>
        <w:footnoteRef/>
      </w:r>
      <w:r>
        <w:t xml:space="preserve"> </w:t>
      </w:r>
      <w:r>
        <w:t xml:space="preserve">赛 50:10。</w:t>
      </w:r>
    </w:p>
  </w:footnote>
  <w:footnote w:id="405">
    <w:p>
      <w:pPr>
        <w:pStyle w:val="FootnoteText"/>
      </w:pPr>
      <w:r>
        <w:rPr>
          <w:rStyle w:val="FootnoteReference"/>
        </w:rPr>
        <w:footnoteRef/>
      </w:r>
      <w:r>
        <w:t xml:space="preserve"> </w:t>
      </w:r>
      <w:r>
        <w:t xml:space="preserve">约壹 3:9；路 22:32；诗 42:5,11；诗 43:5。</w:t>
      </w:r>
    </w:p>
  </w:footnote>
  <w:footnote w:id="406">
    <w:p>
      <w:pPr>
        <w:pStyle w:val="FootnoteText"/>
      </w:pPr>
      <w:r>
        <w:rPr>
          <w:rStyle w:val="FootnoteReference"/>
        </w:rPr>
        <w:footnoteRef/>
      </w:r>
      <w:r>
        <w:t xml:space="preserve"> </w:t>
      </w:r>
      <w:r>
        <w:t xml:space="preserve">弥 7:7-9；耶 32:40；赛 54:7-10；诗 22:1；诗 88:1-18。</w:t>
      </w:r>
    </w:p>
  </w:footnote>
  <w:footnote w:id="408">
    <w:p>
      <w:pPr>
        <w:pStyle w:val="FootnoteText"/>
      </w:pPr>
      <w:r>
        <w:rPr>
          <w:rStyle w:val="FootnoteReference"/>
        </w:rPr>
        <w:footnoteRef/>
      </w:r>
      <w:r>
        <w:t xml:space="preserve"> </w:t>
      </w:r>
      <w:r>
        <w:t xml:space="preserve">创 1:26-27；创 2:17；罗 2:14-15；罗 10:5；罗 5:12,19；加 3:10,12；传 7:29；伯 28:28。</w:t>
      </w:r>
    </w:p>
  </w:footnote>
  <w:footnote w:id="409">
    <w:p>
      <w:pPr>
        <w:pStyle w:val="FootnoteText"/>
      </w:pPr>
      <w:r>
        <w:rPr>
          <w:rStyle w:val="FootnoteReference"/>
        </w:rPr>
        <w:footnoteRef/>
      </w:r>
      <w:r>
        <w:t xml:space="preserve"> </w:t>
      </w:r>
      <w:r>
        <w:t xml:space="preserve">雅 1:25；雅 2:8,10-12；罗 13:8-9；申 5:32；申 10:4；出 34:1。</w:t>
      </w:r>
    </w:p>
  </w:footnote>
  <w:footnote w:id="410">
    <w:p>
      <w:pPr>
        <w:pStyle w:val="FootnoteText"/>
      </w:pPr>
      <w:r>
        <w:rPr>
          <w:rStyle w:val="FootnoteReference"/>
        </w:rPr>
        <w:footnoteRef/>
      </w:r>
      <w:r>
        <w:t xml:space="preserve"> </w:t>
      </w:r>
      <w:r>
        <w:t xml:space="preserve">太 22:37-40。</w:t>
      </w:r>
    </w:p>
  </w:footnote>
  <w:footnote w:id="411">
    <w:p>
      <w:pPr>
        <w:pStyle w:val="FootnoteText"/>
      </w:pPr>
      <w:r>
        <w:rPr>
          <w:rStyle w:val="FootnoteReference"/>
        </w:rPr>
        <w:footnoteRef/>
      </w:r>
      <w:r>
        <w:t xml:space="preserve"> </w:t>
      </w:r>
      <w:r>
        <w:t xml:space="preserve">来 9；来 10:1；加 4:1-3；西 2:17。</w:t>
      </w:r>
    </w:p>
  </w:footnote>
  <w:footnote w:id="412">
    <w:p>
      <w:pPr>
        <w:pStyle w:val="FootnoteText"/>
      </w:pPr>
      <w:r>
        <w:rPr>
          <w:rStyle w:val="FootnoteReference"/>
        </w:rPr>
        <w:footnoteRef/>
      </w:r>
      <w:r>
        <w:t xml:space="preserve"> </w:t>
      </w:r>
      <w:r>
        <w:t xml:space="preserve">林前 5:7；林后 6:17；犹 23。</w:t>
      </w:r>
    </w:p>
  </w:footnote>
  <w:footnote w:id="413">
    <w:p>
      <w:pPr>
        <w:pStyle w:val="FootnoteText"/>
      </w:pPr>
      <w:r>
        <w:rPr>
          <w:rStyle w:val="FootnoteReference"/>
        </w:rPr>
        <w:footnoteRef/>
      </w:r>
      <w:r>
        <w:t xml:space="preserve"> </w:t>
      </w:r>
      <w:r>
        <w:t xml:space="preserve">西 2:14,16-17；但 9:27；弗 2:15-16。</w:t>
      </w:r>
    </w:p>
  </w:footnote>
  <w:footnote w:id="414">
    <w:p>
      <w:pPr>
        <w:pStyle w:val="FootnoteText"/>
      </w:pPr>
      <w:r>
        <w:rPr>
          <w:rStyle w:val="FootnoteReference"/>
        </w:rPr>
        <w:footnoteRef/>
      </w:r>
      <w:r>
        <w:t xml:space="preserve"> </w:t>
      </w:r>
      <w:r>
        <w:t xml:space="preserve">出 21；出 22:1-29；创 49:10；彼前 2:13-14；太 5:17,38-39；林前 9:8-10。</w:t>
      </w:r>
    </w:p>
  </w:footnote>
  <w:footnote w:id="415">
    <w:p>
      <w:pPr>
        <w:pStyle w:val="FootnoteText"/>
      </w:pPr>
      <w:r>
        <w:rPr>
          <w:rStyle w:val="FootnoteReference"/>
        </w:rPr>
        <w:footnoteRef/>
      </w:r>
      <w:r>
        <w:t xml:space="preserve"> </w:t>
      </w:r>
      <w:r>
        <w:t xml:space="preserve">罗 13:8-10；弗 6:2；约壹 2:3-4,7-8。</w:t>
      </w:r>
    </w:p>
  </w:footnote>
  <w:footnote w:id="416">
    <w:p>
      <w:pPr>
        <w:pStyle w:val="FootnoteText"/>
      </w:pPr>
      <w:r>
        <w:rPr>
          <w:rStyle w:val="FootnoteReference"/>
        </w:rPr>
        <w:footnoteRef/>
      </w:r>
      <w:r>
        <w:t xml:space="preserve"> </w:t>
      </w:r>
      <w:r>
        <w:t xml:space="preserve">雅 2:10-11。</w:t>
      </w:r>
    </w:p>
  </w:footnote>
  <w:footnote w:id="417">
    <w:p>
      <w:pPr>
        <w:pStyle w:val="FootnoteText"/>
      </w:pPr>
      <w:r>
        <w:rPr>
          <w:rStyle w:val="FootnoteReference"/>
        </w:rPr>
        <w:footnoteRef/>
      </w:r>
      <w:r>
        <w:t xml:space="preserve"> </w:t>
      </w:r>
      <w:r>
        <w:t xml:space="preserve">太 5:17-19；雅 2:8；罗 3:31。</w:t>
      </w:r>
    </w:p>
  </w:footnote>
  <w:footnote w:id="418">
    <w:p>
      <w:pPr>
        <w:pStyle w:val="FootnoteText"/>
      </w:pPr>
      <w:r>
        <w:rPr>
          <w:rStyle w:val="FootnoteReference"/>
        </w:rPr>
        <w:footnoteRef/>
      </w:r>
      <w:r>
        <w:t xml:space="preserve"> </w:t>
      </w:r>
      <w:r>
        <w:t xml:space="preserve">罗 6:14；加 2:16；加 3:13；加 4:4-5；徒 13:39；罗 8:1。</w:t>
      </w:r>
    </w:p>
  </w:footnote>
  <w:footnote w:id="419">
    <w:p>
      <w:pPr>
        <w:pStyle w:val="FootnoteText"/>
      </w:pPr>
      <w:r>
        <w:rPr>
          <w:rStyle w:val="FootnoteReference"/>
        </w:rPr>
        <w:footnoteRef/>
      </w:r>
      <w:r>
        <w:t xml:space="preserve"> </w:t>
      </w:r>
      <w:r>
        <w:t xml:space="preserve">罗 7:12,22,25；诗 119:4-6；林前 7:19；加 5:14,16,18-23。</w:t>
      </w:r>
    </w:p>
  </w:footnote>
  <w:footnote w:id="420">
    <w:p>
      <w:pPr>
        <w:pStyle w:val="FootnoteText"/>
      </w:pPr>
      <w:r>
        <w:rPr>
          <w:rStyle w:val="FootnoteReference"/>
        </w:rPr>
        <w:footnoteRef/>
      </w:r>
      <w:r>
        <w:t xml:space="preserve"> </w:t>
      </w:r>
      <w:r>
        <w:t xml:space="preserve">罗 7:7；罗 3:20。</w:t>
      </w:r>
    </w:p>
  </w:footnote>
  <w:footnote w:id="421">
    <w:p>
      <w:pPr>
        <w:pStyle w:val="FootnoteText"/>
      </w:pPr>
      <w:r>
        <w:rPr>
          <w:rStyle w:val="FootnoteReference"/>
        </w:rPr>
        <w:footnoteRef/>
      </w:r>
      <w:r>
        <w:t xml:space="preserve"> </w:t>
      </w:r>
      <w:r>
        <w:t xml:space="preserve">雅 1:23-25；罗 7:9,14,24。</w:t>
      </w:r>
    </w:p>
  </w:footnote>
  <w:footnote w:id="422">
    <w:p>
      <w:pPr>
        <w:pStyle w:val="FootnoteText"/>
      </w:pPr>
      <w:r>
        <w:rPr>
          <w:rStyle w:val="FootnoteReference"/>
        </w:rPr>
        <w:footnoteRef/>
      </w:r>
      <w:r>
        <w:t xml:space="preserve"> </w:t>
      </w:r>
      <w:r>
        <w:t xml:space="preserve">加 3:24；罗 7:24-25；罗 8:3-4。</w:t>
      </w:r>
    </w:p>
  </w:footnote>
  <w:footnote w:id="423">
    <w:p>
      <w:pPr>
        <w:pStyle w:val="FootnoteText"/>
      </w:pPr>
      <w:r>
        <w:rPr>
          <w:rStyle w:val="FootnoteReference"/>
        </w:rPr>
        <w:footnoteRef/>
      </w:r>
      <w:r>
        <w:t xml:space="preserve"> </w:t>
      </w:r>
      <w:r>
        <w:t xml:space="preserve">雅 2:11；诗 119:101,104,128。</w:t>
      </w:r>
    </w:p>
  </w:footnote>
  <w:footnote w:id="424">
    <w:p>
      <w:pPr>
        <w:pStyle w:val="FootnoteText"/>
      </w:pPr>
      <w:r>
        <w:rPr>
          <w:rStyle w:val="FootnoteReference"/>
        </w:rPr>
        <w:footnoteRef/>
      </w:r>
      <w:r>
        <w:t xml:space="preserve"> </w:t>
      </w:r>
      <w:r>
        <w:t xml:space="preserve">拉 9:13-14；诗 89:30-34。</w:t>
      </w:r>
    </w:p>
  </w:footnote>
  <w:footnote w:id="425">
    <w:p>
      <w:pPr>
        <w:pStyle w:val="FootnoteText"/>
      </w:pPr>
      <w:r>
        <w:rPr>
          <w:rStyle w:val="FootnoteReference"/>
        </w:rPr>
        <w:footnoteRef/>
      </w:r>
      <w:r>
        <w:t xml:space="preserve"> </w:t>
      </w:r>
      <w:r>
        <w:t xml:space="preserve">利 26:1-14；林后 6:16；弗 6:2-3；诗 37:11；太 5:5。</w:t>
      </w:r>
    </w:p>
  </w:footnote>
  <w:footnote w:id="426">
    <w:p>
      <w:pPr>
        <w:pStyle w:val="FootnoteText"/>
      </w:pPr>
      <w:r>
        <w:rPr>
          <w:rStyle w:val="FootnoteReference"/>
        </w:rPr>
        <w:footnoteRef/>
      </w:r>
      <w:r>
        <w:t xml:space="preserve"> </w:t>
      </w:r>
      <w:r>
        <w:t xml:space="preserve">加 2:16；路 17:10。</w:t>
      </w:r>
    </w:p>
  </w:footnote>
  <w:footnote w:id="427">
    <w:p>
      <w:pPr>
        <w:pStyle w:val="FootnoteText"/>
      </w:pPr>
      <w:r>
        <w:rPr>
          <w:rStyle w:val="FootnoteReference"/>
        </w:rPr>
        <w:footnoteRef/>
      </w:r>
      <w:r>
        <w:t xml:space="preserve"> </w:t>
      </w:r>
      <w:r>
        <w:t xml:space="preserve">罗 6:12-14；来 12:28-29；彼前 3:8-12；诗 34:12-16；来 11:6。</w:t>
      </w:r>
    </w:p>
  </w:footnote>
  <w:footnote w:id="428">
    <w:p>
      <w:pPr>
        <w:pStyle w:val="FootnoteText"/>
      </w:pPr>
      <w:r>
        <w:rPr>
          <w:rStyle w:val="FootnoteReference"/>
        </w:rPr>
        <w:footnoteRef/>
      </w:r>
      <w:r>
        <w:t xml:space="preserve"> </w:t>
      </w:r>
      <w:r>
        <w:t xml:space="preserve">加 3:21。</w:t>
      </w:r>
    </w:p>
  </w:footnote>
  <w:footnote w:id="429">
    <w:p>
      <w:pPr>
        <w:pStyle w:val="FootnoteText"/>
      </w:pPr>
      <w:r>
        <w:rPr>
          <w:rStyle w:val="FootnoteReference"/>
        </w:rPr>
        <w:footnoteRef/>
      </w:r>
      <w:r>
        <w:t xml:space="preserve"> </w:t>
      </w:r>
      <w:r>
        <w:t xml:space="preserve">结 36:27；来 8:10；耶 31:33。</w:t>
      </w:r>
    </w:p>
  </w:footnote>
  <w:footnote w:id="431">
    <w:p>
      <w:pPr>
        <w:pStyle w:val="FootnoteText"/>
      </w:pPr>
      <w:r>
        <w:rPr>
          <w:rStyle w:val="FootnoteReference"/>
        </w:rPr>
        <w:footnoteRef/>
      </w:r>
      <w:r>
        <w:t xml:space="preserve"> </w:t>
      </w:r>
      <w:r>
        <w:t xml:space="preserve">加 3:13；多 2:14；帖前 1:10；加 1:4。</w:t>
      </w:r>
    </w:p>
  </w:footnote>
  <w:footnote w:id="432">
    <w:p>
      <w:pPr>
        <w:pStyle w:val="FootnoteText"/>
      </w:pPr>
      <w:r>
        <w:rPr>
          <w:rStyle w:val="FootnoteReference"/>
        </w:rPr>
        <w:footnoteRef/>
      </w:r>
      <w:r>
        <w:t xml:space="preserve"> </w:t>
      </w:r>
      <w:r>
        <w:t xml:space="preserve">西 1:13；徒 26:18；罗 6:14。</w:t>
      </w:r>
    </w:p>
  </w:footnote>
  <w:footnote w:id="433">
    <w:p>
      <w:pPr>
        <w:pStyle w:val="FootnoteText"/>
      </w:pPr>
      <w:r>
        <w:rPr>
          <w:rStyle w:val="FootnoteReference"/>
        </w:rPr>
        <w:footnoteRef/>
      </w:r>
      <w:r>
        <w:t xml:space="preserve"> </w:t>
      </w:r>
      <w:r>
        <w:t xml:space="preserve">罗 8:28；诗 119:71；林前 15:54-57；罗 5:9。</w:t>
      </w:r>
    </w:p>
  </w:footnote>
  <w:footnote w:id="434">
    <w:p>
      <w:pPr>
        <w:pStyle w:val="FootnoteText"/>
      </w:pPr>
      <w:r>
        <w:rPr>
          <w:rStyle w:val="FootnoteReference"/>
        </w:rPr>
        <w:footnoteRef/>
      </w:r>
      <w:r>
        <w:t xml:space="preserve"> </w:t>
      </w:r>
      <w:r>
        <w:t xml:space="preserve">罗 5:1-2；罗 8:14-15；约壹 4:18。</w:t>
      </w:r>
    </w:p>
  </w:footnote>
  <w:footnote w:id="435">
    <w:p>
      <w:pPr>
        <w:pStyle w:val="FootnoteText"/>
      </w:pPr>
      <w:r>
        <w:rPr>
          <w:rStyle w:val="FootnoteReference"/>
        </w:rPr>
        <w:footnoteRef/>
      </w:r>
      <w:r>
        <w:t xml:space="preserve"> </w:t>
      </w:r>
      <w:r>
        <w:t xml:space="preserve">加 3:9,14。</w:t>
      </w:r>
    </w:p>
  </w:footnote>
  <w:footnote w:id="436">
    <w:p>
      <w:pPr>
        <w:pStyle w:val="FootnoteText"/>
      </w:pPr>
      <w:r>
        <w:rPr>
          <w:rStyle w:val="FootnoteReference"/>
        </w:rPr>
        <w:footnoteRef/>
      </w:r>
      <w:r>
        <w:t xml:space="preserve"> </w:t>
      </w:r>
      <w:r>
        <w:t xml:space="preserve">加 4:1-3,6-7；加 5:1；徒 15:10-11。</w:t>
      </w:r>
    </w:p>
  </w:footnote>
  <w:footnote w:id="437">
    <w:p>
      <w:pPr>
        <w:pStyle w:val="FootnoteText"/>
      </w:pPr>
      <w:r>
        <w:rPr>
          <w:rStyle w:val="FootnoteReference"/>
        </w:rPr>
        <w:footnoteRef/>
      </w:r>
      <w:r>
        <w:t xml:space="preserve"> </w:t>
      </w:r>
      <w:r>
        <w:t xml:space="preserve">来 4:14,16；来 10:19-22。</w:t>
      </w:r>
    </w:p>
  </w:footnote>
  <w:footnote w:id="438">
    <w:p>
      <w:pPr>
        <w:pStyle w:val="FootnoteText"/>
      </w:pPr>
      <w:r>
        <w:rPr>
          <w:rStyle w:val="FootnoteReference"/>
        </w:rPr>
        <w:footnoteRef/>
      </w:r>
      <w:r>
        <w:t xml:space="preserve"> </w:t>
      </w:r>
      <w:r>
        <w:t xml:space="preserve">约 7:38-39；林后 3:13,17-18。</w:t>
      </w:r>
    </w:p>
  </w:footnote>
  <w:footnote w:id="439">
    <w:p>
      <w:pPr>
        <w:pStyle w:val="FootnoteText"/>
      </w:pPr>
      <w:r>
        <w:rPr>
          <w:rStyle w:val="FootnoteReference"/>
        </w:rPr>
        <w:footnoteRef/>
      </w:r>
      <w:r>
        <w:t xml:space="preserve"> </w:t>
      </w:r>
      <w:r>
        <w:t xml:space="preserve">雅 4:12；罗 14:4。</w:t>
      </w:r>
    </w:p>
  </w:footnote>
  <w:footnote w:id="440">
    <w:p>
      <w:pPr>
        <w:pStyle w:val="FootnoteText"/>
      </w:pPr>
      <w:r>
        <w:rPr>
          <w:rStyle w:val="FootnoteReference"/>
        </w:rPr>
        <w:footnoteRef/>
      </w:r>
      <w:r>
        <w:t xml:space="preserve"> </w:t>
      </w:r>
      <w:r>
        <w:t xml:space="preserve">徒 4:19；徒 5:29；太 15:9；西 2:20-23。</w:t>
      </w:r>
    </w:p>
  </w:footnote>
  <w:footnote w:id="441">
    <w:p>
      <w:pPr>
        <w:pStyle w:val="FootnoteText"/>
      </w:pPr>
      <w:r>
        <w:rPr>
          <w:rStyle w:val="FootnoteReference"/>
        </w:rPr>
        <w:footnoteRef/>
      </w:r>
      <w:r>
        <w:t xml:space="preserve"> </w:t>
      </w:r>
      <w:r>
        <w:t xml:space="preserve">西 2:20-23；加 1:10；加 2:4-5；加 5:1。</w:t>
      </w:r>
    </w:p>
  </w:footnote>
  <w:footnote w:id="442">
    <w:p>
      <w:pPr>
        <w:pStyle w:val="FootnoteText"/>
      </w:pPr>
      <w:r>
        <w:rPr>
          <w:rStyle w:val="FootnoteReference"/>
        </w:rPr>
        <w:footnoteRef/>
      </w:r>
      <w:r>
        <w:t xml:space="preserve"> </w:t>
      </w:r>
      <w:r>
        <w:t xml:space="preserve">罗 10:17；罗 14:23；赛 8:20；徒 17:11；约 4:22；何 5:11；启 13:12,16-17；耶 8:9。</w:t>
      </w:r>
    </w:p>
  </w:footnote>
  <w:footnote w:id="443">
    <w:p>
      <w:pPr>
        <w:pStyle w:val="FootnoteText"/>
      </w:pPr>
      <w:r>
        <w:rPr>
          <w:rStyle w:val="FootnoteReference"/>
        </w:rPr>
        <w:footnoteRef/>
      </w:r>
      <w:r>
        <w:t xml:space="preserve"> </w:t>
      </w:r>
      <w:r>
        <w:t xml:space="preserve">加 5:13；彼前 2:16；彼后 2:19；约 8:34；路 1:74-75。</w:t>
      </w:r>
    </w:p>
  </w:footnote>
  <w:footnote w:id="444">
    <w:p>
      <w:pPr>
        <w:pStyle w:val="FootnoteText"/>
      </w:pPr>
      <w:r>
        <w:rPr>
          <w:rStyle w:val="FootnoteReference"/>
        </w:rPr>
        <w:footnoteRef/>
      </w:r>
      <w:r>
        <w:t xml:space="preserve"> </w:t>
      </w:r>
      <w:r>
        <w:t xml:space="preserve">罗 13:1-8；来 13:17；彼前 2:13-14,16。</w:t>
      </w:r>
    </w:p>
  </w:footnote>
  <w:footnote w:id="445">
    <w:p>
      <w:pPr>
        <w:pStyle w:val="FootnoteText"/>
      </w:pPr>
      <w:r>
        <w:rPr>
          <w:rStyle w:val="FootnoteReference"/>
        </w:rPr>
        <w:footnoteRef/>
      </w:r>
      <w:r>
        <w:t xml:space="preserve"> </w:t>
      </w:r>
      <w:r>
        <w:t xml:space="preserve">罗 1:32；林前 5:1,5,11,13；约贰 10-11；帖后 3:14；提前 1:19-20；启 2:2,14-15,20；启 3:9；多 1:10-11,13；多 3:10；太 18:15-17；提前 6:3-5；罗 16:17；林前 11:16；林前 14:26,33,40；提前 3:15。</w:t>
      </w:r>
    </w:p>
  </w:footnote>
  <w:footnote w:id="447">
    <w:p>
      <w:pPr>
        <w:pStyle w:val="FootnoteText"/>
      </w:pPr>
      <w:r>
        <w:rPr>
          <w:rStyle w:val="FootnoteReference"/>
        </w:rPr>
        <w:footnoteRef/>
      </w:r>
      <w:r>
        <w:t xml:space="preserve"> </w:t>
      </w:r>
      <w:r>
        <w:t xml:space="preserve">罗 1:20；徒 17:24；诗 119:68；耶 10:7；诗 31:23；诗 18:3；罗 10:12；诗 62:8；书 24:14；可 12:33。</w:t>
      </w:r>
    </w:p>
  </w:footnote>
  <w:footnote w:id="448">
    <w:p>
      <w:pPr>
        <w:pStyle w:val="FootnoteText"/>
      </w:pPr>
      <w:r>
        <w:rPr>
          <w:rStyle w:val="FootnoteReference"/>
        </w:rPr>
        <w:footnoteRef/>
      </w:r>
      <w:r>
        <w:t xml:space="preserve"> </w:t>
      </w:r>
      <w:r>
        <w:t xml:space="preserve">申 12:32；太 15:9；徒 17:25；太 4:9-10；申 4:15-20；出 20:4-6；西 2:23。</w:t>
      </w:r>
    </w:p>
  </w:footnote>
  <w:footnote w:id="449">
    <w:p>
      <w:pPr>
        <w:pStyle w:val="FootnoteText"/>
      </w:pPr>
      <w:r>
        <w:rPr>
          <w:rStyle w:val="FootnoteReference"/>
        </w:rPr>
        <w:footnoteRef/>
      </w:r>
      <w:r>
        <w:t xml:space="preserve"> </w:t>
      </w:r>
      <w:r>
        <w:t xml:space="preserve">太 4:10；约 5:23；林后 13:14。</w:t>
      </w:r>
    </w:p>
  </w:footnote>
  <w:footnote w:id="450">
    <w:p>
      <w:pPr>
        <w:pStyle w:val="FootnoteText"/>
      </w:pPr>
      <w:r>
        <w:rPr>
          <w:rStyle w:val="FootnoteReference"/>
        </w:rPr>
        <w:footnoteRef/>
      </w:r>
      <w:r>
        <w:t xml:space="preserve"> </w:t>
      </w:r>
      <w:r>
        <w:t xml:space="preserve">西 2:18；启 19:10；罗 1:25。</w:t>
      </w:r>
    </w:p>
  </w:footnote>
  <w:footnote w:id="451">
    <w:p>
      <w:pPr>
        <w:pStyle w:val="FootnoteText"/>
      </w:pPr>
      <w:r>
        <w:rPr>
          <w:rStyle w:val="FootnoteReference"/>
        </w:rPr>
        <w:footnoteRef/>
      </w:r>
      <w:r>
        <w:t xml:space="preserve"> </w:t>
      </w:r>
      <w:r>
        <w:t xml:space="preserve">约 14:6；提前 2:5；弗 2:18；西 3:17。</w:t>
      </w:r>
    </w:p>
  </w:footnote>
  <w:footnote w:id="452">
    <w:p>
      <w:pPr>
        <w:pStyle w:val="FootnoteText"/>
      </w:pPr>
      <w:r>
        <w:rPr>
          <w:rStyle w:val="FootnoteReference"/>
        </w:rPr>
        <w:footnoteRef/>
      </w:r>
      <w:r>
        <w:t xml:space="preserve"> </w:t>
      </w:r>
      <w:r>
        <w:t xml:space="preserve">腓 4:6。</w:t>
      </w:r>
    </w:p>
  </w:footnote>
  <w:footnote w:id="453">
    <w:p>
      <w:pPr>
        <w:pStyle w:val="FootnoteText"/>
      </w:pPr>
      <w:r>
        <w:rPr>
          <w:rStyle w:val="FootnoteReference"/>
        </w:rPr>
        <w:footnoteRef/>
      </w:r>
      <w:r>
        <w:t xml:space="preserve"> </w:t>
      </w:r>
      <w:r>
        <w:t xml:space="preserve">诗 65:2。</w:t>
      </w:r>
    </w:p>
  </w:footnote>
  <w:footnote w:id="454">
    <w:p>
      <w:pPr>
        <w:pStyle w:val="FootnoteText"/>
      </w:pPr>
      <w:r>
        <w:rPr>
          <w:rStyle w:val="FootnoteReference"/>
        </w:rPr>
        <w:footnoteRef/>
      </w:r>
      <w:r>
        <w:t xml:space="preserve"> </w:t>
      </w:r>
      <w:r>
        <w:t xml:space="preserve">约 14:13-14；彼前 2:5。</w:t>
      </w:r>
    </w:p>
  </w:footnote>
  <w:footnote w:id="455">
    <w:p>
      <w:pPr>
        <w:pStyle w:val="FootnoteText"/>
      </w:pPr>
      <w:r>
        <w:rPr>
          <w:rStyle w:val="FootnoteReference"/>
        </w:rPr>
        <w:footnoteRef/>
      </w:r>
      <w:r>
        <w:t xml:space="preserve"> </w:t>
      </w:r>
      <w:r>
        <w:t xml:space="preserve">罗 8:26。</w:t>
      </w:r>
    </w:p>
  </w:footnote>
  <w:footnote w:id="456">
    <w:p>
      <w:pPr>
        <w:pStyle w:val="FootnoteText"/>
      </w:pPr>
      <w:r>
        <w:rPr>
          <w:rStyle w:val="FootnoteReference"/>
        </w:rPr>
        <w:footnoteRef/>
      </w:r>
      <w:r>
        <w:t xml:space="preserve"> </w:t>
      </w:r>
      <w:r>
        <w:t xml:space="preserve">约壹 5:14。</w:t>
      </w:r>
    </w:p>
  </w:footnote>
  <w:footnote w:id="457">
    <w:p>
      <w:pPr>
        <w:pStyle w:val="FootnoteText"/>
      </w:pPr>
      <w:r>
        <w:rPr>
          <w:rStyle w:val="FootnoteReference"/>
        </w:rPr>
        <w:footnoteRef/>
      </w:r>
      <w:r>
        <w:t xml:space="preserve"> </w:t>
      </w:r>
      <w:r>
        <w:t xml:space="preserve">诗 47:7；传 5:1-2；来 12:28；创 18:27；雅 5:16；雅 1:6-7；可 11:24；太 6:12,14-15；西 4:2；弗 6:18。</w:t>
      </w:r>
    </w:p>
  </w:footnote>
  <w:footnote w:id="458">
    <w:p>
      <w:pPr>
        <w:pStyle w:val="FootnoteText"/>
      </w:pPr>
      <w:r>
        <w:rPr>
          <w:rStyle w:val="FootnoteReference"/>
        </w:rPr>
        <w:footnoteRef/>
      </w:r>
      <w:r>
        <w:t xml:space="preserve"> </w:t>
      </w:r>
      <w:r>
        <w:t xml:space="preserve">林前 14:14。</w:t>
      </w:r>
    </w:p>
  </w:footnote>
  <w:footnote w:id="459">
    <w:p>
      <w:pPr>
        <w:pStyle w:val="FootnoteText"/>
      </w:pPr>
      <w:r>
        <w:rPr>
          <w:rStyle w:val="FootnoteReference"/>
        </w:rPr>
        <w:footnoteRef/>
      </w:r>
      <w:r>
        <w:t xml:space="preserve"> </w:t>
      </w:r>
      <w:r>
        <w:t xml:space="preserve">约壹 5:14。</w:t>
      </w:r>
    </w:p>
  </w:footnote>
  <w:footnote w:id="460">
    <w:p>
      <w:pPr>
        <w:pStyle w:val="FootnoteText"/>
      </w:pPr>
      <w:r>
        <w:rPr>
          <w:rStyle w:val="FootnoteReference"/>
        </w:rPr>
        <w:footnoteRef/>
      </w:r>
      <w:r>
        <w:t xml:space="preserve"> </w:t>
      </w:r>
      <w:r>
        <w:t xml:space="preserve">提前 2:1-2；约 17:20；撒下 7:29；得 4:12。</w:t>
      </w:r>
    </w:p>
  </w:footnote>
  <w:footnote w:id="461">
    <w:p>
      <w:pPr>
        <w:pStyle w:val="FootnoteText"/>
      </w:pPr>
      <w:r>
        <w:rPr>
          <w:rStyle w:val="FootnoteReference"/>
        </w:rPr>
        <w:footnoteRef/>
      </w:r>
      <w:r>
        <w:t xml:space="preserve"> </w:t>
      </w:r>
      <w:r>
        <w:t xml:space="preserve">撒下 12:21-23；路 16:25-26；启 14:13。</w:t>
      </w:r>
    </w:p>
  </w:footnote>
  <w:footnote w:id="462">
    <w:p>
      <w:pPr>
        <w:pStyle w:val="FootnoteText"/>
      </w:pPr>
      <w:r>
        <w:rPr>
          <w:rStyle w:val="FootnoteReference"/>
        </w:rPr>
        <w:footnoteRef/>
      </w:r>
      <w:r>
        <w:t xml:space="preserve"> </w:t>
      </w:r>
      <w:r>
        <w:t xml:space="preserve">约壹 5:16。</w:t>
      </w:r>
    </w:p>
  </w:footnote>
  <w:footnote w:id="463">
    <w:p>
      <w:pPr>
        <w:pStyle w:val="FootnoteText"/>
      </w:pPr>
      <w:r>
        <w:rPr>
          <w:rStyle w:val="FootnoteReference"/>
        </w:rPr>
        <w:footnoteRef/>
      </w:r>
      <w:r>
        <w:t xml:space="preserve"> </w:t>
      </w:r>
      <w:r>
        <w:t xml:space="preserve">徒 15:21；启 1:3。</w:t>
      </w:r>
    </w:p>
  </w:footnote>
  <w:footnote w:id="464">
    <w:p>
      <w:pPr>
        <w:pStyle w:val="FootnoteText"/>
      </w:pPr>
      <w:r>
        <w:rPr>
          <w:rStyle w:val="FootnoteReference"/>
        </w:rPr>
        <w:footnoteRef/>
      </w:r>
      <w:r>
        <w:t xml:space="preserve"> </w:t>
      </w:r>
      <w:r>
        <w:t xml:space="preserve">提后 4:2。</w:t>
      </w:r>
    </w:p>
  </w:footnote>
  <w:footnote w:id="465">
    <w:p>
      <w:pPr>
        <w:pStyle w:val="FootnoteText"/>
      </w:pPr>
      <w:r>
        <w:rPr>
          <w:rStyle w:val="FootnoteReference"/>
        </w:rPr>
        <w:footnoteRef/>
      </w:r>
      <w:r>
        <w:t xml:space="preserve"> </w:t>
      </w:r>
      <w:r>
        <w:t xml:space="preserve">雅 1:22；徒 10:33；太 13:19；来 4:2；赛 66:2。</w:t>
      </w:r>
    </w:p>
  </w:footnote>
  <w:footnote w:id="466">
    <w:p>
      <w:pPr>
        <w:pStyle w:val="FootnoteText"/>
      </w:pPr>
      <w:r>
        <w:rPr>
          <w:rStyle w:val="FootnoteReference"/>
        </w:rPr>
        <w:footnoteRef/>
      </w:r>
      <w:r>
        <w:t xml:space="preserve"> </w:t>
      </w:r>
      <w:r>
        <w:t xml:space="preserve">西 3:16；弗 5:19；雅 5:13。</w:t>
      </w:r>
    </w:p>
  </w:footnote>
  <w:footnote w:id="467">
    <w:p>
      <w:pPr>
        <w:pStyle w:val="FootnoteText"/>
      </w:pPr>
      <w:r>
        <w:rPr>
          <w:rStyle w:val="FootnoteReference"/>
        </w:rPr>
        <w:footnoteRef/>
      </w:r>
      <w:r>
        <w:t xml:space="preserve"> </w:t>
      </w:r>
      <w:r>
        <w:t xml:space="preserve">太 28:19；林前 11:23-29。</w:t>
      </w:r>
    </w:p>
  </w:footnote>
  <w:footnote w:id="468">
    <w:p>
      <w:pPr>
        <w:pStyle w:val="FootnoteText"/>
      </w:pPr>
      <w:r>
        <w:rPr>
          <w:rStyle w:val="FootnoteReference"/>
        </w:rPr>
        <w:footnoteRef/>
      </w:r>
      <w:r>
        <w:t xml:space="preserve"> </w:t>
      </w:r>
      <w:r>
        <w:t xml:space="preserve">申 6:13；尼 10:29。</w:t>
      </w:r>
    </w:p>
  </w:footnote>
  <w:footnote w:id="469">
    <w:p>
      <w:pPr>
        <w:pStyle w:val="FootnoteText"/>
      </w:pPr>
      <w:r>
        <w:rPr>
          <w:rStyle w:val="FootnoteReference"/>
        </w:rPr>
        <w:footnoteRef/>
      </w:r>
      <w:r>
        <w:t xml:space="preserve"> </w:t>
      </w:r>
      <w:r>
        <w:t xml:space="preserve">赛 19:21；传 5:4-5。</w:t>
      </w:r>
    </w:p>
  </w:footnote>
  <w:footnote w:id="470">
    <w:p>
      <w:pPr>
        <w:pStyle w:val="FootnoteText"/>
      </w:pPr>
      <w:r>
        <w:rPr>
          <w:rStyle w:val="FootnoteReference"/>
        </w:rPr>
        <w:footnoteRef/>
      </w:r>
      <w:r>
        <w:t xml:space="preserve"> </w:t>
      </w:r>
      <w:r>
        <w:t xml:space="preserve">珥 2:12；斯 4:16；太 9:15；林前 7:5。</w:t>
      </w:r>
    </w:p>
  </w:footnote>
  <w:footnote w:id="471">
    <w:p>
      <w:pPr>
        <w:pStyle w:val="FootnoteText"/>
      </w:pPr>
      <w:r>
        <w:rPr>
          <w:rStyle w:val="FootnoteReference"/>
        </w:rPr>
        <w:footnoteRef/>
      </w:r>
      <w:r>
        <w:t xml:space="preserve"> </w:t>
      </w:r>
      <w:r>
        <w:t xml:space="preserve">出 15:1-19；诗 107；斯 9:22。</w:t>
      </w:r>
    </w:p>
  </w:footnote>
  <w:footnote w:id="472">
    <w:p>
      <w:pPr>
        <w:pStyle w:val="FootnoteText"/>
      </w:pPr>
      <w:r>
        <w:rPr>
          <w:rStyle w:val="FootnoteReference"/>
        </w:rPr>
        <w:footnoteRef/>
      </w:r>
      <w:r>
        <w:t xml:space="preserve"> </w:t>
      </w:r>
      <w:r>
        <w:t xml:space="preserve">来 12:28。</w:t>
      </w:r>
    </w:p>
  </w:footnote>
  <w:footnote w:id="473">
    <w:p>
      <w:pPr>
        <w:pStyle w:val="FootnoteText"/>
      </w:pPr>
      <w:r>
        <w:rPr>
          <w:rStyle w:val="FootnoteReference"/>
        </w:rPr>
        <w:footnoteRef/>
      </w:r>
      <w:r>
        <w:t xml:space="preserve"> </w:t>
      </w:r>
      <w:r>
        <w:t xml:space="preserve">约 4:21。</w:t>
      </w:r>
    </w:p>
  </w:footnote>
  <w:footnote w:id="474">
    <w:p>
      <w:pPr>
        <w:pStyle w:val="FootnoteText"/>
      </w:pPr>
      <w:r>
        <w:rPr>
          <w:rStyle w:val="FootnoteReference"/>
        </w:rPr>
        <w:footnoteRef/>
      </w:r>
      <w:r>
        <w:t xml:space="preserve"> </w:t>
      </w:r>
      <w:r>
        <w:t xml:space="preserve">玛 1:11；提前 2:8；约 4:23-24。</w:t>
      </w:r>
    </w:p>
  </w:footnote>
  <w:footnote w:id="475">
    <w:p>
      <w:pPr>
        <w:pStyle w:val="FootnoteText"/>
      </w:pPr>
      <w:r>
        <w:rPr>
          <w:rStyle w:val="FootnoteReference"/>
        </w:rPr>
        <w:footnoteRef/>
      </w:r>
      <w:r>
        <w:t xml:space="preserve"> </w:t>
      </w:r>
      <w:r>
        <w:t xml:space="preserve">耶 10:25；申 6:6-7；伯 1:5；撒下 6:18,20；彼前 3:7；徒 10:2。</w:t>
      </w:r>
    </w:p>
  </w:footnote>
  <w:footnote w:id="476">
    <w:p>
      <w:pPr>
        <w:pStyle w:val="FootnoteText"/>
      </w:pPr>
      <w:r>
        <w:rPr>
          <w:rStyle w:val="FootnoteReference"/>
        </w:rPr>
        <w:footnoteRef/>
      </w:r>
      <w:r>
        <w:t xml:space="preserve"> </w:t>
      </w:r>
      <w:r>
        <w:t xml:space="preserve">太 6:11；诗 55:17。</w:t>
      </w:r>
    </w:p>
  </w:footnote>
  <w:footnote w:id="477">
    <w:p>
      <w:pPr>
        <w:pStyle w:val="FootnoteText"/>
      </w:pPr>
      <w:r>
        <w:rPr>
          <w:rStyle w:val="FootnoteReference"/>
        </w:rPr>
        <w:footnoteRef/>
      </w:r>
      <w:r>
        <w:t xml:space="preserve"> </w:t>
      </w:r>
      <w:r>
        <w:t xml:space="preserve">太 6:6；弗 6:18。</w:t>
      </w:r>
    </w:p>
  </w:footnote>
  <w:footnote w:id="478">
    <w:p>
      <w:pPr>
        <w:pStyle w:val="FootnoteText"/>
      </w:pPr>
      <w:r>
        <w:rPr>
          <w:rStyle w:val="FootnoteReference"/>
        </w:rPr>
        <w:footnoteRef/>
      </w:r>
      <w:r>
        <w:t xml:space="preserve"> </w:t>
      </w:r>
      <w:r>
        <w:t xml:space="preserve">赛 56:6-7；来 10:25；箴 1:20-21,24；箴 8:34；徒 13:42；路 4:16；徒 2:42。</w:t>
      </w:r>
    </w:p>
  </w:footnote>
  <w:footnote w:id="479">
    <w:p>
      <w:pPr>
        <w:pStyle w:val="FootnoteText"/>
      </w:pPr>
      <w:r>
        <w:rPr>
          <w:rStyle w:val="FootnoteReference"/>
        </w:rPr>
        <w:footnoteRef/>
      </w:r>
      <w:r>
        <w:t xml:space="preserve"> </w:t>
      </w:r>
      <w:r>
        <w:t xml:space="preserve">出 20:8-11；赛 56:2-7。</w:t>
      </w:r>
    </w:p>
  </w:footnote>
  <w:footnote w:id="480">
    <w:p>
      <w:pPr>
        <w:pStyle w:val="FootnoteText"/>
      </w:pPr>
      <w:r>
        <w:rPr>
          <w:rStyle w:val="FootnoteReference"/>
        </w:rPr>
        <w:footnoteRef/>
      </w:r>
      <w:r>
        <w:t xml:space="preserve"> </w:t>
      </w:r>
      <w:r>
        <w:t xml:space="preserve">创 2:2-3；林前 16:1-2；徒 20:7。</w:t>
      </w:r>
    </w:p>
  </w:footnote>
  <w:footnote w:id="481">
    <w:p>
      <w:pPr>
        <w:pStyle w:val="FootnoteText"/>
      </w:pPr>
      <w:r>
        <w:rPr>
          <w:rStyle w:val="FootnoteReference"/>
        </w:rPr>
        <w:footnoteRef/>
      </w:r>
      <w:r>
        <w:t xml:space="preserve"> </w:t>
      </w:r>
      <w:r>
        <w:t xml:space="preserve">启 1:10。</w:t>
      </w:r>
    </w:p>
  </w:footnote>
  <w:footnote w:id="482">
    <w:p>
      <w:pPr>
        <w:pStyle w:val="FootnoteText"/>
      </w:pPr>
      <w:r>
        <w:rPr>
          <w:rStyle w:val="FootnoteReference"/>
        </w:rPr>
        <w:footnoteRef/>
      </w:r>
      <w:r>
        <w:t xml:space="preserve"> </w:t>
      </w:r>
      <w:r>
        <w:t xml:space="preserve">出 20:8-11；太 5:17-18。</w:t>
      </w:r>
    </w:p>
  </w:footnote>
  <w:footnote w:id="483">
    <w:p>
      <w:pPr>
        <w:pStyle w:val="FootnoteText"/>
      </w:pPr>
      <w:r>
        <w:rPr>
          <w:rStyle w:val="FootnoteReference"/>
        </w:rPr>
        <w:footnoteRef/>
      </w:r>
      <w:r>
        <w:t xml:space="preserve"> </w:t>
      </w:r>
      <w:r>
        <w:t xml:space="preserve">出 20:8；出 16:23-30；出 31:15-17；赛 58:13；尼 13:15-22。</w:t>
      </w:r>
    </w:p>
  </w:footnote>
  <w:footnote w:id="484">
    <w:p>
      <w:pPr>
        <w:pStyle w:val="FootnoteText"/>
      </w:pPr>
      <w:r>
        <w:rPr>
          <w:rStyle w:val="FootnoteReference"/>
        </w:rPr>
        <w:footnoteRef/>
      </w:r>
      <w:r>
        <w:t xml:space="preserve"> </w:t>
      </w:r>
      <w:r>
        <w:t xml:space="preserve">赛 58:13；太 12:1-13。</w:t>
      </w:r>
    </w:p>
  </w:footnote>
  <w:footnote w:id="486">
    <w:p>
      <w:pPr>
        <w:pStyle w:val="FootnoteText"/>
      </w:pPr>
      <w:r>
        <w:rPr>
          <w:rStyle w:val="FootnoteReference"/>
        </w:rPr>
        <w:footnoteRef/>
      </w:r>
      <w:r>
        <w:t xml:space="preserve"> </w:t>
      </w:r>
      <w:r>
        <w:t xml:space="preserve">申 10:20。</w:t>
      </w:r>
    </w:p>
  </w:footnote>
  <w:footnote w:id="487">
    <w:p>
      <w:pPr>
        <w:pStyle w:val="FootnoteText"/>
      </w:pPr>
      <w:r>
        <w:rPr>
          <w:rStyle w:val="FootnoteReference"/>
        </w:rPr>
        <w:footnoteRef/>
      </w:r>
      <w:r>
        <w:t xml:space="preserve"> </w:t>
      </w:r>
      <w:r>
        <w:t xml:space="preserve">出 20:7；利 19:12；代下 6:22-23；林后 1:23。</w:t>
      </w:r>
    </w:p>
  </w:footnote>
  <w:footnote w:id="488">
    <w:p>
      <w:pPr>
        <w:pStyle w:val="FootnoteText"/>
      </w:pPr>
      <w:r>
        <w:rPr>
          <w:rStyle w:val="FootnoteReference"/>
        </w:rPr>
        <w:footnoteRef/>
      </w:r>
      <w:r>
        <w:t xml:space="preserve"> </w:t>
      </w:r>
      <w:r>
        <w:t xml:space="preserve">申 6:13。</w:t>
      </w:r>
    </w:p>
  </w:footnote>
  <w:footnote w:id="489">
    <w:p>
      <w:pPr>
        <w:pStyle w:val="FootnoteText"/>
      </w:pPr>
      <w:r>
        <w:rPr>
          <w:rStyle w:val="FootnoteReference"/>
        </w:rPr>
        <w:footnoteRef/>
      </w:r>
      <w:r>
        <w:t xml:space="preserve"> </w:t>
      </w:r>
      <w:r>
        <w:t xml:space="preserve">出 20:7；耶 5:7；太 5:34,37；雅 5:12。</w:t>
      </w:r>
    </w:p>
  </w:footnote>
  <w:footnote w:id="490">
    <w:p>
      <w:pPr>
        <w:pStyle w:val="FootnoteText"/>
      </w:pPr>
      <w:r>
        <w:rPr>
          <w:rStyle w:val="FootnoteReference"/>
        </w:rPr>
        <w:footnoteRef/>
      </w:r>
      <w:r>
        <w:t xml:space="preserve"> </w:t>
      </w:r>
      <w:r>
        <w:t xml:space="preserve">来 6:16；林后 1:23；赛 65:16。</w:t>
      </w:r>
    </w:p>
  </w:footnote>
  <w:footnote w:id="491">
    <w:p>
      <w:pPr>
        <w:pStyle w:val="FootnoteText"/>
      </w:pPr>
      <w:r>
        <w:rPr>
          <w:rStyle w:val="FootnoteReference"/>
        </w:rPr>
        <w:footnoteRef/>
      </w:r>
      <w:r>
        <w:t xml:space="preserve"> </w:t>
      </w:r>
      <w:r>
        <w:t xml:space="preserve">王上 8:31；尼 13:25；拉 10:5。</w:t>
      </w:r>
    </w:p>
  </w:footnote>
  <w:footnote w:id="492">
    <w:p>
      <w:pPr>
        <w:pStyle w:val="FootnoteText"/>
      </w:pPr>
      <w:r>
        <w:rPr>
          <w:rStyle w:val="FootnoteReference"/>
        </w:rPr>
        <w:footnoteRef/>
      </w:r>
      <w:r>
        <w:t xml:space="preserve"> </w:t>
      </w:r>
      <w:r>
        <w:t xml:space="preserve">出 20:7；耶 4:2。</w:t>
      </w:r>
    </w:p>
  </w:footnote>
  <w:footnote w:id="493">
    <w:p>
      <w:pPr>
        <w:pStyle w:val="FootnoteText"/>
      </w:pPr>
      <w:r>
        <w:rPr>
          <w:rStyle w:val="FootnoteReference"/>
        </w:rPr>
        <w:footnoteRef/>
      </w:r>
      <w:r>
        <w:t xml:space="preserve"> </w:t>
      </w:r>
      <w:r>
        <w:t xml:space="preserve">创 24:2-3,5-6,8-9。</w:t>
      </w:r>
    </w:p>
  </w:footnote>
  <w:footnote w:id="494">
    <w:p>
      <w:pPr>
        <w:pStyle w:val="FootnoteText"/>
      </w:pPr>
      <w:r>
        <w:rPr>
          <w:rStyle w:val="FootnoteReference"/>
        </w:rPr>
        <w:footnoteRef/>
      </w:r>
      <w:r>
        <w:t xml:space="preserve"> </w:t>
      </w:r>
      <w:r>
        <w:t xml:space="preserve">民 5:19,21；尼 5:12；出 22:7-11。</w:t>
      </w:r>
    </w:p>
  </w:footnote>
  <w:footnote w:id="495">
    <w:p>
      <w:pPr>
        <w:pStyle w:val="FootnoteText"/>
      </w:pPr>
      <w:r>
        <w:rPr>
          <w:rStyle w:val="FootnoteReference"/>
        </w:rPr>
        <w:footnoteRef/>
      </w:r>
      <w:r>
        <w:t xml:space="preserve"> </w:t>
      </w:r>
      <w:r>
        <w:t xml:space="preserve">耶 4:2；诗 24:4。</w:t>
      </w:r>
    </w:p>
  </w:footnote>
  <w:footnote w:id="496">
    <w:p>
      <w:pPr>
        <w:pStyle w:val="FootnoteText"/>
      </w:pPr>
      <w:r>
        <w:rPr>
          <w:rStyle w:val="FootnoteReference"/>
        </w:rPr>
        <w:footnoteRef/>
      </w:r>
      <w:r>
        <w:t xml:space="preserve"> </w:t>
      </w:r>
      <w:r>
        <w:t xml:space="preserve">撒上 25:22,32-34；诗 15:4。</w:t>
      </w:r>
    </w:p>
  </w:footnote>
  <w:footnote w:id="497">
    <w:p>
      <w:pPr>
        <w:pStyle w:val="FootnoteText"/>
      </w:pPr>
      <w:r>
        <w:rPr>
          <w:rStyle w:val="FootnoteReference"/>
        </w:rPr>
        <w:footnoteRef/>
      </w:r>
      <w:r>
        <w:t xml:space="preserve"> </w:t>
      </w:r>
      <w:r>
        <w:t xml:space="preserve">结 17:16,18-19；书 9:18-19；撒下 21:1。</w:t>
      </w:r>
    </w:p>
  </w:footnote>
  <w:footnote w:id="498">
    <w:p>
      <w:pPr>
        <w:pStyle w:val="FootnoteText"/>
      </w:pPr>
      <w:r>
        <w:rPr>
          <w:rStyle w:val="FootnoteReference"/>
        </w:rPr>
        <w:footnoteRef/>
      </w:r>
      <w:r>
        <w:t xml:space="preserve"> </w:t>
      </w:r>
      <w:r>
        <w:t xml:space="preserve">赛 19:21；传 5:4-6；诗 61:8；诗 66:13-14。</w:t>
      </w:r>
    </w:p>
  </w:footnote>
  <w:footnote w:id="499">
    <w:p>
      <w:pPr>
        <w:pStyle w:val="FootnoteText"/>
      </w:pPr>
      <w:r>
        <w:rPr>
          <w:rStyle w:val="FootnoteReference"/>
        </w:rPr>
        <w:footnoteRef/>
      </w:r>
      <w:r>
        <w:t xml:space="preserve"> </w:t>
      </w:r>
      <w:r>
        <w:t xml:space="preserve">诗 76:11；耶 44:25-26。</w:t>
      </w:r>
    </w:p>
  </w:footnote>
  <w:footnote w:id="500">
    <w:p>
      <w:pPr>
        <w:pStyle w:val="FootnoteText"/>
      </w:pPr>
      <w:r>
        <w:rPr>
          <w:rStyle w:val="FootnoteReference"/>
        </w:rPr>
        <w:footnoteRef/>
      </w:r>
      <w:r>
        <w:t xml:space="preserve"> </w:t>
      </w:r>
      <w:r>
        <w:t xml:space="preserve">申 23:21-23；诗 50:14；创 28:20-22；撒上 1:11；诗 66:13-14；诗 132:2-5。</w:t>
      </w:r>
    </w:p>
  </w:footnote>
  <w:footnote w:id="501">
    <w:p>
      <w:pPr>
        <w:pStyle w:val="FootnoteText"/>
      </w:pPr>
      <w:r>
        <w:rPr>
          <w:rStyle w:val="FootnoteReference"/>
        </w:rPr>
        <w:footnoteRef/>
      </w:r>
      <w:r>
        <w:t xml:space="preserve"> </w:t>
      </w:r>
      <w:r>
        <w:t xml:space="preserve">林前 7:2,9；民 30:3-5,6,8,12-13。</w:t>
      </w:r>
    </w:p>
  </w:footnote>
  <w:footnote w:id="502">
    <w:p>
      <w:pPr>
        <w:pStyle w:val="FootnoteText"/>
      </w:pPr>
      <w:r>
        <w:rPr>
          <w:rStyle w:val="FootnoteReference"/>
        </w:rPr>
        <w:footnoteRef/>
      </w:r>
      <w:r>
        <w:t xml:space="preserve"> </w:t>
      </w:r>
      <w:r>
        <w:t xml:space="preserve">徒 23:12-14；可 6:26；民 30:5,8,12-13。</w:t>
      </w:r>
    </w:p>
  </w:footnote>
  <w:footnote w:id="503">
    <w:p>
      <w:pPr>
        <w:pStyle w:val="FootnoteText"/>
      </w:pPr>
      <w:r>
        <w:rPr>
          <w:rStyle w:val="FootnoteReference"/>
        </w:rPr>
        <w:footnoteRef/>
      </w:r>
      <w:r>
        <w:t xml:space="preserve"> </w:t>
      </w:r>
      <w:r>
        <w:t xml:space="preserve">太 19:11-12；林前 7:2,9；弗 4:28；彼前 4:2；林前 7:23。</w:t>
      </w:r>
    </w:p>
  </w:footnote>
  <w:footnote w:id="505">
    <w:p>
      <w:pPr>
        <w:pStyle w:val="FootnoteText"/>
      </w:pPr>
      <w:r>
        <w:rPr>
          <w:rStyle w:val="FootnoteReference"/>
        </w:rPr>
        <w:footnoteRef/>
      </w:r>
      <w:r>
        <w:t xml:space="preserve"> </w:t>
      </w:r>
      <w:r>
        <w:t xml:space="preserve">罗 13:1-4；彼前 2:13-14。</w:t>
      </w:r>
    </w:p>
  </w:footnote>
  <w:footnote w:id="506">
    <w:p>
      <w:pPr>
        <w:pStyle w:val="FootnoteText"/>
      </w:pPr>
      <w:r>
        <w:rPr>
          <w:rStyle w:val="FootnoteReference"/>
        </w:rPr>
        <w:footnoteRef/>
      </w:r>
      <w:r>
        <w:t xml:space="preserve"> </w:t>
      </w:r>
      <w:r>
        <w:t xml:space="preserve">箴 8:15-16；罗 13:1-2,4。</w:t>
      </w:r>
    </w:p>
  </w:footnote>
  <w:footnote w:id="507">
    <w:p>
      <w:pPr>
        <w:pStyle w:val="FootnoteText"/>
      </w:pPr>
      <w:r>
        <w:rPr>
          <w:rStyle w:val="FootnoteReference"/>
        </w:rPr>
        <w:footnoteRef/>
      </w:r>
      <w:r>
        <w:t xml:space="preserve"> </w:t>
      </w:r>
      <w:r>
        <w:t xml:space="preserve">撒下 23:3；诗 82:3-4；提前 2:2；王上 10:9。</w:t>
      </w:r>
    </w:p>
  </w:footnote>
  <w:footnote w:id="508">
    <w:p>
      <w:pPr>
        <w:pStyle w:val="FootnoteText"/>
      </w:pPr>
      <w:r>
        <w:rPr>
          <w:rStyle w:val="FootnoteReference"/>
        </w:rPr>
        <w:footnoteRef/>
      </w:r>
      <w:r>
        <w:t xml:space="preserve"> </w:t>
      </w:r>
      <w:r>
        <w:t xml:space="preserve">路 3:14；罗 13:4；太 8:9-10；徒 10:1-2；启 17:14,16。</w:t>
      </w:r>
    </w:p>
  </w:footnote>
  <w:footnote w:id="509">
    <w:p>
      <w:pPr>
        <w:pStyle w:val="FootnoteText"/>
      </w:pPr>
      <w:r>
        <w:rPr>
          <w:rStyle w:val="FootnoteReference"/>
        </w:rPr>
        <w:footnoteRef/>
      </w:r>
      <w:r>
        <w:t xml:space="preserve"> </w:t>
      </w:r>
      <w:r>
        <w:t xml:space="preserve">代下 26:18；太 18:17；太 16:19；林前 12:28-29；弗 4:11-12；林前 4:1-2；罗 10:15；来 5:4。</w:t>
      </w:r>
    </w:p>
  </w:footnote>
  <w:footnote w:id="510">
    <w:p>
      <w:pPr>
        <w:pStyle w:val="FootnoteText"/>
      </w:pPr>
      <w:r>
        <w:rPr>
          <w:rStyle w:val="FootnoteReference"/>
        </w:rPr>
        <w:footnoteRef/>
      </w:r>
      <w:r>
        <w:t xml:space="preserve"> </w:t>
      </w:r>
      <w:r>
        <w:t xml:space="preserve">约 18:36；徒 5:29；弗 4:11-12。</w:t>
      </w:r>
    </w:p>
  </w:footnote>
  <w:footnote w:id="511">
    <w:p>
      <w:pPr>
        <w:pStyle w:val="FootnoteText"/>
      </w:pPr>
      <w:r>
        <w:rPr>
          <w:rStyle w:val="FootnoteReference"/>
        </w:rPr>
        <w:footnoteRef/>
      </w:r>
      <w:r>
        <w:t xml:space="preserve"> </w:t>
      </w:r>
      <w:r>
        <w:t xml:space="preserve">赛 49:23；罗 13:1-6；提前 2:1-2；代下 26:18。</w:t>
      </w:r>
    </w:p>
  </w:footnote>
  <w:footnote w:id="512">
    <w:p>
      <w:pPr>
        <w:pStyle w:val="FootnoteText"/>
      </w:pPr>
      <w:r>
        <w:rPr>
          <w:rStyle w:val="FootnoteReference"/>
        </w:rPr>
        <w:footnoteRef/>
      </w:r>
      <w:r>
        <w:t xml:space="preserve"> </w:t>
      </w:r>
      <w:r>
        <w:t xml:space="preserve">徒 4:19-20；徒 5:29；徒 6:2-4；徒 20:17,28；来 13:7,17；林前 12:28；太 18:17-18。</w:t>
      </w:r>
    </w:p>
  </w:footnote>
  <w:footnote w:id="513">
    <w:p>
      <w:pPr>
        <w:pStyle w:val="FootnoteText"/>
      </w:pPr>
      <w:r>
        <w:rPr>
          <w:rStyle w:val="FootnoteReference"/>
        </w:rPr>
        <w:footnoteRef/>
      </w:r>
      <w:r>
        <w:t xml:space="preserve"> </w:t>
      </w:r>
      <w:r>
        <w:t xml:space="preserve">撒下 23:3；提前 2:1-2；诗 105:15；徒 18:14-15,17。</w:t>
      </w:r>
    </w:p>
  </w:footnote>
  <w:footnote w:id="514">
    <w:p>
      <w:pPr>
        <w:pStyle w:val="FootnoteText"/>
      </w:pPr>
      <w:r>
        <w:rPr>
          <w:rStyle w:val="FootnoteReference"/>
        </w:rPr>
        <w:footnoteRef/>
      </w:r>
      <w:r>
        <w:t xml:space="preserve"> </w:t>
      </w:r>
      <w:r>
        <w:t xml:space="preserve">提前 2:1-2。</w:t>
      </w:r>
    </w:p>
  </w:footnote>
  <w:footnote w:id="515">
    <w:p>
      <w:pPr>
        <w:pStyle w:val="FootnoteText"/>
      </w:pPr>
      <w:r>
        <w:rPr>
          <w:rStyle w:val="FootnoteReference"/>
        </w:rPr>
        <w:footnoteRef/>
      </w:r>
      <w:r>
        <w:t xml:space="preserve"> </w:t>
      </w:r>
      <w:r>
        <w:t xml:space="preserve">彼前 2:17。</w:t>
      </w:r>
    </w:p>
  </w:footnote>
  <w:footnote w:id="516">
    <w:p>
      <w:pPr>
        <w:pStyle w:val="FootnoteText"/>
      </w:pPr>
      <w:r>
        <w:rPr>
          <w:rStyle w:val="FootnoteReference"/>
        </w:rPr>
        <w:footnoteRef/>
      </w:r>
      <w:r>
        <w:t xml:space="preserve"> </w:t>
      </w:r>
      <w:r>
        <w:t xml:space="preserve">罗 13:6-7。</w:t>
      </w:r>
    </w:p>
  </w:footnote>
  <w:footnote w:id="517">
    <w:p>
      <w:pPr>
        <w:pStyle w:val="FootnoteText"/>
      </w:pPr>
      <w:r>
        <w:rPr>
          <w:rStyle w:val="FootnoteReference"/>
        </w:rPr>
        <w:footnoteRef/>
      </w:r>
      <w:r>
        <w:t xml:space="preserve"> </w:t>
      </w:r>
      <w:r>
        <w:t xml:space="preserve">罗 13:5；多 3:1。</w:t>
      </w:r>
    </w:p>
  </w:footnote>
  <w:footnote w:id="518">
    <w:p>
      <w:pPr>
        <w:pStyle w:val="FootnoteText"/>
      </w:pPr>
      <w:r>
        <w:rPr>
          <w:rStyle w:val="FootnoteReference"/>
        </w:rPr>
        <w:footnoteRef/>
      </w:r>
      <w:r>
        <w:t xml:space="preserve"> </w:t>
      </w:r>
      <w:r>
        <w:t xml:space="preserve">彼前 2:13-14,16。</w:t>
      </w:r>
    </w:p>
  </w:footnote>
  <w:footnote w:id="519">
    <w:p>
      <w:pPr>
        <w:pStyle w:val="FootnoteText"/>
      </w:pPr>
      <w:r>
        <w:rPr>
          <w:rStyle w:val="FootnoteReference"/>
        </w:rPr>
        <w:footnoteRef/>
      </w:r>
      <w:r>
        <w:t xml:space="preserve"> </w:t>
      </w:r>
      <w:r>
        <w:t xml:space="preserve">罗 13:1；王上 2:35；徒 25:9-11；彼后 2:1,10-11；犹 8-11。</w:t>
      </w:r>
    </w:p>
  </w:footnote>
  <w:footnote w:id="520">
    <w:p>
      <w:pPr>
        <w:pStyle w:val="FootnoteText"/>
      </w:pPr>
      <w:r>
        <w:rPr>
          <w:rStyle w:val="FootnoteReference"/>
        </w:rPr>
        <w:footnoteRef/>
      </w:r>
      <w:r>
        <w:t xml:space="preserve"> </w:t>
      </w:r>
      <w:r>
        <w:t xml:space="preserve">帖后 2:4；启 13:15-17。</w:t>
      </w:r>
    </w:p>
  </w:footnote>
  <w:footnote w:id="522">
    <w:p>
      <w:pPr>
        <w:pStyle w:val="FootnoteText"/>
      </w:pPr>
      <w:r>
        <w:rPr>
          <w:rStyle w:val="FootnoteReference"/>
        </w:rPr>
        <w:footnoteRef/>
      </w:r>
      <w:r>
        <w:t xml:space="preserve"> </w:t>
      </w:r>
      <w:r>
        <w:t xml:space="preserve">创 2:24；太 19:5-6；箴 2:17。</w:t>
      </w:r>
    </w:p>
  </w:footnote>
  <w:footnote w:id="523">
    <w:p>
      <w:pPr>
        <w:pStyle w:val="FootnoteText"/>
      </w:pPr>
      <w:r>
        <w:rPr>
          <w:rStyle w:val="FootnoteReference"/>
        </w:rPr>
        <w:footnoteRef/>
      </w:r>
      <w:r>
        <w:t xml:space="preserve"> </w:t>
      </w:r>
      <w:r>
        <w:t xml:space="preserve">创 2:18。</w:t>
      </w:r>
    </w:p>
  </w:footnote>
  <w:footnote w:id="524">
    <w:p>
      <w:pPr>
        <w:pStyle w:val="FootnoteText"/>
      </w:pPr>
      <w:r>
        <w:rPr>
          <w:rStyle w:val="FootnoteReference"/>
        </w:rPr>
        <w:footnoteRef/>
      </w:r>
      <w:r>
        <w:t xml:space="preserve"> </w:t>
      </w:r>
      <w:r>
        <w:t xml:space="preserve">玛 2:15。</w:t>
      </w:r>
    </w:p>
  </w:footnote>
  <w:footnote w:id="525">
    <w:p>
      <w:pPr>
        <w:pStyle w:val="FootnoteText"/>
      </w:pPr>
      <w:r>
        <w:rPr>
          <w:rStyle w:val="FootnoteReference"/>
        </w:rPr>
        <w:footnoteRef/>
      </w:r>
      <w:r>
        <w:t xml:space="preserve"> </w:t>
      </w:r>
      <w:r>
        <w:t xml:space="preserve">林前 7:2,9。</w:t>
      </w:r>
    </w:p>
  </w:footnote>
  <w:footnote w:id="526">
    <w:p>
      <w:pPr>
        <w:pStyle w:val="FootnoteText"/>
      </w:pPr>
      <w:r>
        <w:rPr>
          <w:rStyle w:val="FootnoteReference"/>
        </w:rPr>
        <w:footnoteRef/>
      </w:r>
      <w:r>
        <w:t xml:space="preserve"> </w:t>
      </w:r>
      <w:r>
        <w:t xml:space="preserve">来 13:4；提前 4:3；林前 7:36-38；创 24:57-58。</w:t>
      </w:r>
    </w:p>
  </w:footnote>
  <w:footnote w:id="527">
    <w:p>
      <w:pPr>
        <w:pStyle w:val="FootnoteText"/>
      </w:pPr>
      <w:r>
        <w:rPr>
          <w:rStyle w:val="FootnoteReference"/>
        </w:rPr>
        <w:footnoteRef/>
      </w:r>
      <w:r>
        <w:t xml:space="preserve"> </w:t>
      </w:r>
      <w:r>
        <w:t xml:space="preserve">林前 7:39。</w:t>
      </w:r>
    </w:p>
  </w:footnote>
  <w:footnote w:id="528">
    <w:p>
      <w:pPr>
        <w:pStyle w:val="FootnoteText"/>
      </w:pPr>
      <w:r>
        <w:rPr>
          <w:rStyle w:val="FootnoteReference"/>
        </w:rPr>
        <w:footnoteRef/>
      </w:r>
      <w:r>
        <w:t xml:space="preserve"> </w:t>
      </w:r>
      <w:r>
        <w:t xml:space="preserve">创 34:14；出 34:16；申 7:3-4；王上 11:4；尼 13:25-27；玛 2:11-12；林后 6:14。</w:t>
      </w:r>
    </w:p>
  </w:footnote>
  <w:footnote w:id="529">
    <w:p>
      <w:pPr>
        <w:pStyle w:val="FootnoteText"/>
      </w:pPr>
      <w:r>
        <w:rPr>
          <w:rStyle w:val="FootnoteReference"/>
        </w:rPr>
        <w:footnoteRef/>
      </w:r>
      <w:r>
        <w:t xml:space="preserve"> </w:t>
      </w:r>
      <w:r>
        <w:t xml:space="preserve">利 18:1-30；林前 5:1；摩 2:7。</w:t>
      </w:r>
    </w:p>
  </w:footnote>
  <w:footnote w:id="530">
    <w:p>
      <w:pPr>
        <w:pStyle w:val="FootnoteText"/>
      </w:pPr>
      <w:r>
        <w:rPr>
          <w:rStyle w:val="FootnoteReference"/>
        </w:rPr>
        <w:footnoteRef/>
      </w:r>
      <w:r>
        <w:t xml:space="preserve"> </w:t>
      </w:r>
      <w:r>
        <w:t xml:space="preserve">可 6:18；利 18:24-28。</w:t>
      </w:r>
    </w:p>
  </w:footnote>
  <w:footnote w:id="531">
    <w:p>
      <w:pPr>
        <w:pStyle w:val="FootnoteText"/>
      </w:pPr>
      <w:r>
        <w:rPr>
          <w:rStyle w:val="FootnoteReference"/>
        </w:rPr>
        <w:footnoteRef/>
      </w:r>
      <w:r>
        <w:t xml:space="preserve"> </w:t>
      </w:r>
      <w:r>
        <w:t xml:space="preserve">太 1:18-20。</w:t>
      </w:r>
    </w:p>
  </w:footnote>
  <w:footnote w:id="532">
    <w:p>
      <w:pPr>
        <w:pStyle w:val="FootnoteText"/>
      </w:pPr>
      <w:r>
        <w:rPr>
          <w:rStyle w:val="FootnoteReference"/>
        </w:rPr>
        <w:footnoteRef/>
      </w:r>
      <w:r>
        <w:t xml:space="preserve"> </w:t>
      </w:r>
      <w:r>
        <w:t xml:space="preserve">太 5:31-32。</w:t>
      </w:r>
    </w:p>
  </w:footnote>
  <w:footnote w:id="533">
    <w:p>
      <w:pPr>
        <w:pStyle w:val="FootnoteText"/>
      </w:pPr>
      <w:r>
        <w:rPr>
          <w:rStyle w:val="FootnoteReference"/>
        </w:rPr>
        <w:footnoteRef/>
      </w:r>
      <w:r>
        <w:t xml:space="preserve"> </w:t>
      </w:r>
      <w:r>
        <w:t xml:space="preserve">太 19:9；罗 7:2-3。</w:t>
      </w:r>
    </w:p>
  </w:footnote>
  <w:footnote w:id="534">
    <w:p>
      <w:pPr>
        <w:pStyle w:val="FootnoteText"/>
      </w:pPr>
      <w:r>
        <w:rPr>
          <w:rStyle w:val="FootnoteReference"/>
        </w:rPr>
        <w:footnoteRef/>
      </w:r>
      <w:r>
        <w:t xml:space="preserve"> </w:t>
      </w:r>
      <w:r>
        <w:t xml:space="preserve">太 19:8。</w:t>
      </w:r>
    </w:p>
  </w:footnote>
  <w:footnote w:id="535">
    <w:p>
      <w:pPr>
        <w:pStyle w:val="FootnoteText"/>
      </w:pPr>
      <w:r>
        <w:rPr>
          <w:rStyle w:val="FootnoteReference"/>
        </w:rPr>
        <w:footnoteRef/>
      </w:r>
      <w:r>
        <w:t xml:space="preserve"> </w:t>
      </w:r>
      <w:r>
        <w:t xml:space="preserve">太 5:32；太 19:9；林前 7:15；太 19:6。</w:t>
      </w:r>
    </w:p>
  </w:footnote>
  <w:footnote w:id="536">
    <w:p>
      <w:pPr>
        <w:pStyle w:val="FootnoteText"/>
      </w:pPr>
      <w:r>
        <w:rPr>
          <w:rStyle w:val="FootnoteReference"/>
        </w:rPr>
        <w:footnoteRef/>
      </w:r>
      <w:r>
        <w:t xml:space="preserve"> </w:t>
      </w:r>
      <w:r>
        <w:t xml:space="preserve">申 24:1-4。</w:t>
      </w:r>
    </w:p>
  </w:footnote>
  <w:footnote w:id="538">
    <w:p>
      <w:pPr>
        <w:pStyle w:val="FootnoteText"/>
      </w:pPr>
      <w:r>
        <w:rPr>
          <w:rStyle w:val="FootnoteReference"/>
        </w:rPr>
        <w:footnoteRef/>
      </w:r>
      <w:r>
        <w:t xml:space="preserve"> </w:t>
      </w:r>
      <w:r>
        <w:t xml:space="preserve">来 12:23；西 1:18；弗 1:10,22-23；弗 5:23,27,32。</w:t>
      </w:r>
    </w:p>
  </w:footnote>
  <w:footnote w:id="539">
    <w:p>
      <w:pPr>
        <w:pStyle w:val="FootnoteText"/>
      </w:pPr>
      <w:r>
        <w:rPr>
          <w:rStyle w:val="FootnoteReference"/>
        </w:rPr>
        <w:footnoteRef/>
      </w:r>
      <w:r>
        <w:t xml:space="preserve"> </w:t>
      </w:r>
      <w:r>
        <w:t xml:space="preserve">林前 1:2；林前 12:12-13；诗 2:8；启 7:9；罗 15:9-12；罗 11:16；创 17:7；可 10:13-16；徒 2:39；林前 7:14。</w:t>
      </w:r>
    </w:p>
  </w:footnote>
  <w:footnote w:id="540">
    <w:p>
      <w:pPr>
        <w:pStyle w:val="FootnoteText"/>
      </w:pPr>
      <w:r>
        <w:rPr>
          <w:rStyle w:val="FootnoteReference"/>
        </w:rPr>
        <w:footnoteRef/>
      </w:r>
      <w:r>
        <w:t xml:space="preserve"> </w:t>
      </w:r>
      <w:r>
        <w:t xml:space="preserve">太 13:47；赛 9:7。</w:t>
      </w:r>
    </w:p>
  </w:footnote>
  <w:footnote w:id="541">
    <w:p>
      <w:pPr>
        <w:pStyle w:val="FootnoteText"/>
      </w:pPr>
      <w:r>
        <w:rPr>
          <w:rStyle w:val="FootnoteReference"/>
        </w:rPr>
        <w:footnoteRef/>
      </w:r>
      <w:r>
        <w:t xml:space="preserve"> </w:t>
      </w:r>
      <w:r>
        <w:t xml:space="preserve">弗 2:19；弗 3:15。</w:t>
      </w:r>
    </w:p>
  </w:footnote>
  <w:footnote w:id="542">
    <w:p>
      <w:pPr>
        <w:pStyle w:val="FootnoteText"/>
      </w:pPr>
      <w:r>
        <w:rPr>
          <w:rStyle w:val="FootnoteReference"/>
        </w:rPr>
        <w:footnoteRef/>
      </w:r>
      <w:r>
        <w:t xml:space="preserve"> </w:t>
      </w:r>
      <w:r>
        <w:t xml:space="preserve">徒 2:47。</w:t>
      </w:r>
    </w:p>
  </w:footnote>
  <w:footnote w:id="543">
    <w:p>
      <w:pPr>
        <w:pStyle w:val="FootnoteText"/>
      </w:pPr>
      <w:r>
        <w:rPr>
          <w:rStyle w:val="FootnoteReference"/>
        </w:rPr>
        <w:footnoteRef/>
      </w:r>
      <w:r>
        <w:t xml:space="preserve"> </w:t>
      </w:r>
      <w:r>
        <w:t xml:space="preserve">林前 12:28；弗 4:11-13；太 28:19-20；赛 59:21。</w:t>
      </w:r>
    </w:p>
  </w:footnote>
  <w:footnote w:id="544">
    <w:p>
      <w:pPr>
        <w:pStyle w:val="FootnoteText"/>
      </w:pPr>
      <w:r>
        <w:rPr>
          <w:rStyle w:val="FootnoteReference"/>
        </w:rPr>
        <w:footnoteRef/>
      </w:r>
      <w:r>
        <w:t xml:space="preserve"> </w:t>
      </w:r>
      <w:r>
        <w:t xml:space="preserve">罗 11:3-4；启 12:6,14。</w:t>
      </w:r>
    </w:p>
  </w:footnote>
  <w:footnote w:id="545">
    <w:p>
      <w:pPr>
        <w:pStyle w:val="FootnoteText"/>
      </w:pPr>
      <w:r>
        <w:rPr>
          <w:rStyle w:val="FootnoteReference"/>
        </w:rPr>
        <w:footnoteRef/>
      </w:r>
      <w:r>
        <w:t xml:space="preserve"> </w:t>
      </w:r>
      <w:r>
        <w:t xml:space="preserve">启 2；启 3；林前 5:6-7。</w:t>
      </w:r>
    </w:p>
  </w:footnote>
  <w:footnote w:id="546">
    <w:p>
      <w:pPr>
        <w:pStyle w:val="FootnoteText"/>
      </w:pPr>
      <w:r>
        <w:rPr>
          <w:rStyle w:val="FootnoteReference"/>
        </w:rPr>
        <w:footnoteRef/>
      </w:r>
      <w:r>
        <w:t xml:space="preserve"> </w:t>
      </w:r>
      <w:r>
        <w:t xml:space="preserve">林前 13:12；启 2；启 3；太 13:24-30,47。</w:t>
      </w:r>
    </w:p>
  </w:footnote>
  <w:footnote w:id="547">
    <w:p>
      <w:pPr>
        <w:pStyle w:val="FootnoteText"/>
      </w:pPr>
      <w:r>
        <w:rPr>
          <w:rStyle w:val="FootnoteReference"/>
        </w:rPr>
        <w:footnoteRef/>
      </w:r>
      <w:r>
        <w:t xml:space="preserve"> </w:t>
      </w:r>
      <w:r>
        <w:t xml:space="preserve">启 18:2；罗 11:18-22。</w:t>
      </w:r>
    </w:p>
  </w:footnote>
  <w:footnote w:id="548">
    <w:p>
      <w:pPr>
        <w:pStyle w:val="FootnoteText"/>
      </w:pPr>
      <w:r>
        <w:rPr>
          <w:rStyle w:val="FootnoteReference"/>
        </w:rPr>
        <w:footnoteRef/>
      </w:r>
      <w:r>
        <w:t xml:space="preserve"> </w:t>
      </w:r>
      <w:r>
        <w:t xml:space="preserve">太 16:18；诗 72:17；诗 102:28；太 28:19-20。</w:t>
      </w:r>
    </w:p>
  </w:footnote>
  <w:footnote w:id="549">
    <w:p>
      <w:pPr>
        <w:pStyle w:val="FootnoteText"/>
      </w:pPr>
      <w:r>
        <w:rPr>
          <w:rStyle w:val="FootnoteReference"/>
        </w:rPr>
        <w:footnoteRef/>
      </w:r>
      <w:r>
        <w:t xml:space="preserve"> </w:t>
      </w:r>
      <w:r>
        <w:t xml:space="preserve">西 1:18；弗 1:22。</w:t>
      </w:r>
    </w:p>
  </w:footnote>
  <w:footnote w:id="550">
    <w:p>
      <w:pPr>
        <w:pStyle w:val="FootnoteText"/>
      </w:pPr>
      <w:r>
        <w:rPr>
          <w:rStyle w:val="FootnoteReference"/>
        </w:rPr>
        <w:footnoteRef/>
      </w:r>
      <w:r>
        <w:t xml:space="preserve"> </w:t>
      </w:r>
      <w:r>
        <w:t xml:space="preserve">太 23:8-10；帖后 2:3-4,8-9；启 13:6。</w:t>
      </w:r>
    </w:p>
  </w:footnote>
  <w:footnote w:id="552">
    <w:p>
      <w:pPr>
        <w:pStyle w:val="FootnoteText"/>
      </w:pPr>
      <w:r>
        <w:rPr>
          <w:rStyle w:val="FootnoteReference"/>
        </w:rPr>
        <w:footnoteRef/>
      </w:r>
      <w:r>
        <w:t xml:space="preserve"> </w:t>
      </w:r>
      <w:r>
        <w:t xml:space="preserve">约壹 1:3；弗 3:16-19；约 1:16；弗 2:5-6；腓 3:10；罗 6:5-6；提后 2:12。</w:t>
      </w:r>
    </w:p>
  </w:footnote>
  <w:footnote w:id="553">
    <w:p>
      <w:pPr>
        <w:pStyle w:val="FootnoteText"/>
      </w:pPr>
      <w:r>
        <w:rPr>
          <w:rStyle w:val="FootnoteReference"/>
        </w:rPr>
        <w:footnoteRef/>
      </w:r>
      <w:r>
        <w:t xml:space="preserve"> </w:t>
      </w:r>
      <w:r>
        <w:t xml:space="preserve">弗 4:15-16；林前 12:7；林前 3:21-23；西 2:19。</w:t>
      </w:r>
    </w:p>
  </w:footnote>
  <w:footnote w:id="554">
    <w:p>
      <w:pPr>
        <w:pStyle w:val="FootnoteText"/>
      </w:pPr>
      <w:r>
        <w:rPr>
          <w:rStyle w:val="FootnoteReference"/>
        </w:rPr>
        <w:footnoteRef/>
      </w:r>
      <w:r>
        <w:t xml:space="preserve"> </w:t>
      </w:r>
      <w:r>
        <w:t xml:space="preserve">帖前 5:11,14；罗 1:11-12,14；约壹 3:16-18；加 6:10。</w:t>
      </w:r>
    </w:p>
  </w:footnote>
  <w:footnote w:id="555">
    <w:p>
      <w:pPr>
        <w:pStyle w:val="FootnoteText"/>
      </w:pPr>
      <w:r>
        <w:rPr>
          <w:rStyle w:val="FootnoteReference"/>
        </w:rPr>
        <w:footnoteRef/>
      </w:r>
      <w:r>
        <w:t xml:space="preserve"> </w:t>
      </w:r>
      <w:r>
        <w:t xml:space="preserve">来 10:24-25；徒 2:42,46；赛 2:3；林前 11:20。</w:t>
      </w:r>
    </w:p>
  </w:footnote>
  <w:footnote w:id="556">
    <w:p>
      <w:pPr>
        <w:pStyle w:val="FootnoteText"/>
      </w:pPr>
      <w:r>
        <w:rPr>
          <w:rStyle w:val="FootnoteReference"/>
        </w:rPr>
        <w:footnoteRef/>
      </w:r>
      <w:r>
        <w:t xml:space="preserve"> </w:t>
      </w:r>
      <w:r>
        <w:t xml:space="preserve">徒 2:44-45；徒 4:34-35；约壹 3:17；林后 8:1-4,13-14。</w:t>
      </w:r>
    </w:p>
  </w:footnote>
  <w:footnote w:id="557">
    <w:p>
      <w:pPr>
        <w:pStyle w:val="FootnoteText"/>
      </w:pPr>
      <w:r>
        <w:rPr>
          <w:rStyle w:val="FootnoteReference"/>
        </w:rPr>
        <w:footnoteRef/>
      </w:r>
      <w:r>
        <w:t xml:space="preserve"> </w:t>
      </w:r>
      <w:r>
        <w:t xml:space="preserve">徒 11:29-30；徒 2:44-45；徒 4:34-35；林后 8:1-4。</w:t>
      </w:r>
    </w:p>
  </w:footnote>
  <w:footnote w:id="558">
    <w:p>
      <w:pPr>
        <w:pStyle w:val="FootnoteText"/>
      </w:pPr>
      <w:r>
        <w:rPr>
          <w:rStyle w:val="FootnoteReference"/>
        </w:rPr>
        <w:footnoteRef/>
      </w:r>
      <w:r>
        <w:t xml:space="preserve"> </w:t>
      </w:r>
      <w:r>
        <w:t xml:space="preserve">西 1:18-19；林前 8:6；赛 42:8；提前 6:15-16；诗 45:7；来 1:8-9。</w:t>
      </w:r>
    </w:p>
  </w:footnote>
  <w:footnote w:id="559">
    <w:p>
      <w:pPr>
        <w:pStyle w:val="FootnoteText"/>
      </w:pPr>
      <w:r>
        <w:rPr>
          <w:rStyle w:val="FootnoteReference"/>
        </w:rPr>
        <w:footnoteRef/>
      </w:r>
      <w:r>
        <w:t xml:space="preserve"> </w:t>
      </w:r>
      <w:r>
        <w:t xml:space="preserve">出 20:15；徒 5:4；弗 4:28。</w:t>
      </w:r>
    </w:p>
  </w:footnote>
  <w:footnote w:id="561">
    <w:p>
      <w:pPr>
        <w:pStyle w:val="FootnoteText"/>
      </w:pPr>
      <w:r>
        <w:rPr>
          <w:rStyle w:val="FootnoteReference"/>
        </w:rPr>
        <w:footnoteRef/>
      </w:r>
      <w:r>
        <w:t xml:space="preserve"> </w:t>
      </w:r>
      <w:r>
        <w:t xml:space="preserve">罗 4:11；创 17:7,10。</w:t>
      </w:r>
    </w:p>
  </w:footnote>
  <w:footnote w:id="562">
    <w:p>
      <w:pPr>
        <w:pStyle w:val="FootnoteText"/>
      </w:pPr>
      <w:r>
        <w:rPr>
          <w:rStyle w:val="FootnoteReference"/>
        </w:rPr>
        <w:footnoteRef/>
      </w:r>
      <w:r>
        <w:t xml:space="preserve"> </w:t>
      </w:r>
      <w:r>
        <w:t xml:space="preserve">出 12:48；创 34:14。</w:t>
      </w:r>
    </w:p>
  </w:footnote>
  <w:footnote w:id="563">
    <w:p>
      <w:pPr>
        <w:pStyle w:val="FootnoteText"/>
      </w:pPr>
      <w:r>
        <w:rPr>
          <w:rStyle w:val="FootnoteReference"/>
        </w:rPr>
        <w:footnoteRef/>
      </w:r>
      <w:r>
        <w:t xml:space="preserve"> </w:t>
      </w:r>
      <w:r>
        <w:t xml:space="preserve">罗 6:3-4；林前 10:16,21。</w:t>
      </w:r>
    </w:p>
  </w:footnote>
  <w:footnote w:id="564">
    <w:p>
      <w:pPr>
        <w:pStyle w:val="FootnoteText"/>
      </w:pPr>
      <w:r>
        <w:rPr>
          <w:rStyle w:val="FootnoteReference"/>
        </w:rPr>
        <w:footnoteRef/>
      </w:r>
      <w:r>
        <w:t xml:space="preserve"> </w:t>
      </w:r>
      <w:r>
        <w:t xml:space="preserve">创 17:10；太 26:27-28；多 3:5。</w:t>
      </w:r>
    </w:p>
  </w:footnote>
  <w:footnote w:id="565">
    <w:p>
      <w:pPr>
        <w:pStyle w:val="FootnoteText"/>
      </w:pPr>
      <w:r>
        <w:rPr>
          <w:rStyle w:val="FootnoteReference"/>
        </w:rPr>
        <w:footnoteRef/>
      </w:r>
      <w:r>
        <w:t xml:space="preserve"> </w:t>
      </w:r>
      <w:r>
        <w:t xml:space="preserve">罗 2:28-29；彼前 3:21；太 3:11；林前 12:13。</w:t>
      </w:r>
    </w:p>
  </w:footnote>
  <w:footnote w:id="566">
    <w:p>
      <w:pPr>
        <w:pStyle w:val="FootnoteText"/>
      </w:pPr>
      <w:r>
        <w:rPr>
          <w:rStyle w:val="FootnoteReference"/>
        </w:rPr>
        <w:footnoteRef/>
      </w:r>
      <w:r>
        <w:t xml:space="preserve"> </w:t>
      </w:r>
      <w:r>
        <w:t xml:space="preserve">太 28:19；林前 11:20,23-26；林前 4:1；来 5:4。</w:t>
      </w:r>
    </w:p>
  </w:footnote>
  <w:footnote w:id="567">
    <w:p>
      <w:pPr>
        <w:pStyle w:val="FootnoteText"/>
      </w:pPr>
      <w:r>
        <w:rPr>
          <w:rStyle w:val="FootnoteReference"/>
        </w:rPr>
        <w:footnoteRef/>
      </w:r>
      <w:r>
        <w:t xml:space="preserve"> </w:t>
      </w:r>
      <w:r>
        <w:t xml:space="preserve">林前 10:1-4；罗 4:11；西 2:11-12。</w:t>
      </w:r>
    </w:p>
  </w:footnote>
  <w:footnote w:id="569">
    <w:p>
      <w:pPr>
        <w:pStyle w:val="FootnoteText"/>
      </w:pPr>
      <w:r>
        <w:rPr>
          <w:rStyle w:val="FootnoteReference"/>
        </w:rPr>
        <w:footnoteRef/>
      </w:r>
      <w:r>
        <w:t xml:space="preserve"> </w:t>
      </w:r>
      <w:r>
        <w:t xml:space="preserve">太 28:19；林前 12:13。</w:t>
      </w:r>
    </w:p>
  </w:footnote>
  <w:footnote w:id="570">
    <w:p>
      <w:pPr>
        <w:pStyle w:val="FootnoteText"/>
      </w:pPr>
      <w:r>
        <w:rPr>
          <w:rStyle w:val="FootnoteReference"/>
        </w:rPr>
        <w:footnoteRef/>
      </w:r>
      <w:r>
        <w:t xml:space="preserve"> </w:t>
      </w:r>
      <w:r>
        <w:t xml:space="preserve">罗 4:11；西 2:11-12；加 3:27；罗 6:5；多 3:5；可 1:4；徒 22:16；罗 6:3-4。</w:t>
      </w:r>
    </w:p>
  </w:footnote>
  <w:footnote w:id="571">
    <w:p>
      <w:pPr>
        <w:pStyle w:val="FootnoteText"/>
      </w:pPr>
      <w:r>
        <w:rPr>
          <w:rStyle w:val="FootnoteReference"/>
        </w:rPr>
        <w:footnoteRef/>
      </w:r>
      <w:r>
        <w:t xml:space="preserve"> </w:t>
      </w:r>
      <w:r>
        <w:t xml:space="preserve">太 28:19-20。</w:t>
      </w:r>
    </w:p>
  </w:footnote>
  <w:footnote w:id="572">
    <w:p>
      <w:pPr>
        <w:pStyle w:val="FootnoteText"/>
      </w:pPr>
      <w:r>
        <w:rPr>
          <w:rStyle w:val="FootnoteReference"/>
        </w:rPr>
        <w:footnoteRef/>
      </w:r>
      <w:r>
        <w:t xml:space="preserve"> </w:t>
      </w:r>
      <w:r>
        <w:t xml:space="preserve">太 3:11；约 1:33；太 28:19-20。</w:t>
      </w:r>
    </w:p>
  </w:footnote>
  <w:footnote w:id="573">
    <w:p>
      <w:pPr>
        <w:pStyle w:val="FootnoteText"/>
      </w:pPr>
      <w:r>
        <w:rPr>
          <w:rStyle w:val="FootnoteReference"/>
        </w:rPr>
        <w:footnoteRef/>
      </w:r>
      <w:r>
        <w:t xml:space="preserve"> </w:t>
      </w:r>
      <w:r>
        <w:t xml:space="preserve">来 9:10,19-22；徒 2:41；徒 16:33；可 7:4。</w:t>
      </w:r>
    </w:p>
  </w:footnote>
  <w:footnote w:id="574">
    <w:p>
      <w:pPr>
        <w:pStyle w:val="FootnoteText"/>
      </w:pPr>
      <w:r>
        <w:rPr>
          <w:rStyle w:val="FootnoteReference"/>
        </w:rPr>
        <w:footnoteRef/>
      </w:r>
      <w:r>
        <w:t xml:space="preserve"> </w:t>
      </w:r>
      <w:r>
        <w:t xml:space="preserve">可 16:15-16；徒 8:37-38；创 17:7,9-10 连同 加 3:9,14 与 西 2:11-12 以及 徒 2:38-39 和 罗 4:11-12；林前 7:14；太 28:19；可 10:13-16；路 18:15。</w:t>
      </w:r>
    </w:p>
  </w:footnote>
  <w:footnote w:id="575">
    <w:p>
      <w:pPr>
        <w:pStyle w:val="FootnoteText"/>
      </w:pPr>
      <w:r>
        <w:rPr>
          <w:rStyle w:val="FootnoteReference"/>
        </w:rPr>
        <w:footnoteRef/>
      </w:r>
      <w:r>
        <w:t xml:space="preserve"> </w:t>
      </w:r>
      <w:r>
        <w:t xml:space="preserve">路 7:30；出 4:24-26。</w:t>
      </w:r>
    </w:p>
  </w:footnote>
  <w:footnote w:id="576">
    <w:p>
      <w:pPr>
        <w:pStyle w:val="FootnoteText"/>
      </w:pPr>
      <w:r>
        <w:rPr>
          <w:rStyle w:val="FootnoteReference"/>
        </w:rPr>
        <w:footnoteRef/>
      </w:r>
      <w:r>
        <w:t xml:space="preserve"> </w:t>
      </w:r>
      <w:r>
        <w:t xml:space="preserve">罗 4:11；徒 10:2,4,22,31,45,47。</w:t>
      </w:r>
    </w:p>
  </w:footnote>
  <w:footnote w:id="577">
    <w:p>
      <w:pPr>
        <w:pStyle w:val="FootnoteText"/>
      </w:pPr>
      <w:r>
        <w:rPr>
          <w:rStyle w:val="FootnoteReference"/>
        </w:rPr>
        <w:footnoteRef/>
      </w:r>
      <w:r>
        <w:t xml:space="preserve"> </w:t>
      </w:r>
      <w:r>
        <w:t xml:space="preserve">徒 8:13,23。</w:t>
      </w:r>
    </w:p>
  </w:footnote>
  <w:footnote w:id="578">
    <w:p>
      <w:pPr>
        <w:pStyle w:val="FootnoteText"/>
      </w:pPr>
      <w:r>
        <w:rPr>
          <w:rStyle w:val="FootnoteReference"/>
        </w:rPr>
        <w:footnoteRef/>
      </w:r>
      <w:r>
        <w:t xml:space="preserve"> </w:t>
      </w:r>
      <w:r>
        <w:t xml:space="preserve">约 3:5,8。</w:t>
      </w:r>
    </w:p>
  </w:footnote>
  <w:footnote w:id="579">
    <w:p>
      <w:pPr>
        <w:pStyle w:val="FootnoteText"/>
      </w:pPr>
      <w:r>
        <w:rPr>
          <w:rStyle w:val="FootnoteReference"/>
        </w:rPr>
        <w:footnoteRef/>
      </w:r>
      <w:r>
        <w:t xml:space="preserve"> </w:t>
      </w:r>
      <w:r>
        <w:t xml:space="preserve">徒 2:38；加 3:27；多 3:5；弗 5:25-26；徒 22:16。</w:t>
      </w:r>
    </w:p>
  </w:footnote>
  <w:footnote w:id="580">
    <w:p>
      <w:pPr>
        <w:pStyle w:val="FootnoteText"/>
      </w:pPr>
      <w:r>
        <w:rPr>
          <w:rStyle w:val="FootnoteReference"/>
        </w:rPr>
        <w:footnoteRef/>
      </w:r>
      <w:r>
        <w:t xml:space="preserve"> </w:t>
      </w:r>
      <w:r>
        <w:t xml:space="preserve">多 3:5。</w:t>
      </w:r>
    </w:p>
  </w:footnote>
  <w:footnote w:id="582">
    <w:p>
      <w:pPr>
        <w:pStyle w:val="FootnoteText"/>
      </w:pPr>
      <w:r>
        <w:rPr>
          <w:rStyle w:val="FootnoteReference"/>
        </w:rPr>
        <w:footnoteRef/>
      </w:r>
      <w:r>
        <w:t xml:space="preserve"> </w:t>
      </w:r>
      <w:r>
        <w:t xml:space="preserve">林前 11:23-26；太 26:26-28；可 14:22-24；路 22:19-20；林前 10:16-17,21。</w:t>
      </w:r>
    </w:p>
  </w:footnote>
  <w:footnote w:id="583">
    <w:p>
      <w:pPr>
        <w:pStyle w:val="FootnoteText"/>
      </w:pPr>
      <w:r>
        <w:rPr>
          <w:rStyle w:val="FootnoteReference"/>
        </w:rPr>
        <w:footnoteRef/>
      </w:r>
      <w:r>
        <w:t xml:space="preserve"> </w:t>
      </w:r>
      <w:r>
        <w:t xml:space="preserve">来 9:22,25-26,28。</w:t>
      </w:r>
    </w:p>
  </w:footnote>
  <w:footnote w:id="584">
    <w:p>
      <w:pPr>
        <w:pStyle w:val="FootnoteText"/>
      </w:pPr>
      <w:r>
        <w:rPr>
          <w:rStyle w:val="FootnoteReference"/>
        </w:rPr>
        <w:footnoteRef/>
      </w:r>
      <w:r>
        <w:t xml:space="preserve"> </w:t>
      </w:r>
      <w:r>
        <w:t xml:space="preserve">林前 11:24-26；太 26:26-28；路 22:19-20。</w:t>
      </w:r>
    </w:p>
  </w:footnote>
  <w:footnote w:id="585">
    <w:p>
      <w:pPr>
        <w:pStyle w:val="FootnoteText"/>
      </w:pPr>
      <w:r>
        <w:rPr>
          <w:rStyle w:val="FootnoteReference"/>
        </w:rPr>
        <w:footnoteRef/>
      </w:r>
      <w:r>
        <w:t xml:space="preserve"> </w:t>
      </w:r>
      <w:r>
        <w:t xml:space="preserve">来 7:23-24,27；来 10:11-12,14,18。</w:t>
      </w:r>
    </w:p>
  </w:footnote>
  <w:footnote w:id="586">
    <w:p>
      <w:pPr>
        <w:pStyle w:val="FootnoteText"/>
      </w:pPr>
      <w:r>
        <w:rPr>
          <w:rStyle w:val="FootnoteReference"/>
        </w:rPr>
        <w:footnoteRef/>
      </w:r>
      <w:r>
        <w:t xml:space="preserve"> </w:t>
      </w:r>
      <w:r>
        <w:t xml:space="preserve">太 26:26-28；可 14:22-24；路 22:19-20；林前 11:23-26。</w:t>
      </w:r>
    </w:p>
  </w:footnote>
  <w:footnote w:id="587">
    <w:p>
      <w:pPr>
        <w:pStyle w:val="FootnoteText"/>
      </w:pPr>
      <w:r>
        <w:rPr>
          <w:rStyle w:val="FootnoteReference"/>
        </w:rPr>
        <w:footnoteRef/>
      </w:r>
      <w:r>
        <w:t xml:space="preserve"> </w:t>
      </w:r>
      <w:r>
        <w:t xml:space="preserve">徒 20:7；林前 11:20。</w:t>
      </w:r>
    </w:p>
  </w:footnote>
  <w:footnote w:id="588">
    <w:p>
      <w:pPr>
        <w:pStyle w:val="FootnoteText"/>
      </w:pPr>
      <w:r>
        <w:rPr>
          <w:rStyle w:val="FootnoteReference"/>
        </w:rPr>
        <w:footnoteRef/>
      </w:r>
      <w:r>
        <w:t xml:space="preserve"> </w:t>
      </w:r>
      <w:r>
        <w:t xml:space="preserve">林前 10:6。</w:t>
      </w:r>
    </w:p>
  </w:footnote>
  <w:footnote w:id="589">
    <w:p>
      <w:pPr>
        <w:pStyle w:val="FootnoteText"/>
      </w:pPr>
      <w:r>
        <w:rPr>
          <w:rStyle w:val="FootnoteReference"/>
        </w:rPr>
        <w:footnoteRef/>
      </w:r>
      <w:r>
        <w:t xml:space="preserve"> </w:t>
      </w:r>
      <w:r>
        <w:t xml:space="preserve">可 14:23；林前 11:25-29。</w:t>
      </w:r>
    </w:p>
  </w:footnote>
  <w:footnote w:id="590">
    <w:p>
      <w:pPr>
        <w:pStyle w:val="FootnoteText"/>
      </w:pPr>
      <w:r>
        <w:rPr>
          <w:rStyle w:val="FootnoteReference"/>
        </w:rPr>
        <w:footnoteRef/>
      </w:r>
      <w:r>
        <w:t xml:space="preserve"> </w:t>
      </w:r>
      <w:r>
        <w:t xml:space="preserve">太 15:9。</w:t>
      </w:r>
    </w:p>
  </w:footnote>
  <w:footnote w:id="591">
    <w:p>
      <w:pPr>
        <w:pStyle w:val="FootnoteText"/>
      </w:pPr>
      <w:r>
        <w:rPr>
          <w:rStyle w:val="FootnoteReference"/>
        </w:rPr>
        <w:footnoteRef/>
      </w:r>
      <w:r>
        <w:t xml:space="preserve"> </w:t>
      </w:r>
      <w:r>
        <w:t xml:space="preserve">林前 11:27。</w:t>
      </w:r>
    </w:p>
  </w:footnote>
  <w:footnote w:id="592">
    <w:p>
      <w:pPr>
        <w:pStyle w:val="FootnoteText"/>
      </w:pPr>
      <w:r>
        <w:rPr>
          <w:rStyle w:val="FootnoteReference"/>
        </w:rPr>
        <w:footnoteRef/>
      </w:r>
      <w:r>
        <w:t xml:space="preserve"> </w:t>
      </w:r>
      <w:r>
        <w:t xml:space="preserve">太 26:26-29；可 14:24-25。</w:t>
      </w:r>
    </w:p>
  </w:footnote>
  <w:footnote w:id="593">
    <w:p>
      <w:pPr>
        <w:pStyle w:val="FootnoteText"/>
      </w:pPr>
      <w:r>
        <w:rPr>
          <w:rStyle w:val="FootnoteReference"/>
        </w:rPr>
        <w:footnoteRef/>
      </w:r>
      <w:r>
        <w:t xml:space="preserve"> </w:t>
      </w:r>
      <w:r>
        <w:t xml:space="preserve">徒 3:21；林前 11:24-26；路 24:6,39。</w:t>
      </w:r>
    </w:p>
  </w:footnote>
  <w:footnote w:id="594">
    <w:p>
      <w:pPr>
        <w:pStyle w:val="FootnoteText"/>
      </w:pPr>
      <w:r>
        <w:rPr>
          <w:rStyle w:val="FootnoteReference"/>
        </w:rPr>
        <w:footnoteRef/>
      </w:r>
      <w:r>
        <w:t xml:space="preserve"> </w:t>
      </w:r>
      <w:r>
        <w:t xml:space="preserve">林前 11:28。</w:t>
      </w:r>
    </w:p>
  </w:footnote>
  <w:footnote w:id="595">
    <w:p>
      <w:pPr>
        <w:pStyle w:val="FootnoteText"/>
      </w:pPr>
      <w:r>
        <w:rPr>
          <w:rStyle w:val="FootnoteReference"/>
        </w:rPr>
        <w:footnoteRef/>
      </w:r>
      <w:r>
        <w:t xml:space="preserve"> </w:t>
      </w:r>
      <w:r>
        <w:t xml:space="preserve">林前 10:16；林前 11:23-26。</w:t>
      </w:r>
    </w:p>
  </w:footnote>
  <w:footnote w:id="596">
    <w:p>
      <w:pPr>
        <w:pStyle w:val="FootnoteText"/>
      </w:pPr>
      <w:r>
        <w:rPr>
          <w:rStyle w:val="FootnoteReference"/>
        </w:rPr>
        <w:footnoteRef/>
      </w:r>
      <w:r>
        <w:t xml:space="preserve"> </w:t>
      </w:r>
      <w:r>
        <w:t xml:space="preserve">林前 11:27-29；林后 6:14-16。</w:t>
      </w:r>
    </w:p>
  </w:footnote>
  <w:footnote w:id="597">
    <w:p>
      <w:pPr>
        <w:pStyle w:val="FootnoteText"/>
      </w:pPr>
      <w:r>
        <w:rPr>
          <w:rStyle w:val="FootnoteReference"/>
        </w:rPr>
        <w:footnoteRef/>
      </w:r>
      <w:r>
        <w:t xml:space="preserve"> </w:t>
      </w:r>
      <w:r>
        <w:t xml:space="preserve">林前 11:29；太 7:6；林前 5:6-7,13；帖后 3:6,14-15。</w:t>
      </w:r>
    </w:p>
  </w:footnote>
  <w:footnote w:id="599">
    <w:p>
      <w:pPr>
        <w:pStyle w:val="FootnoteText"/>
      </w:pPr>
      <w:r>
        <w:rPr>
          <w:rStyle w:val="FootnoteReference"/>
        </w:rPr>
        <w:footnoteRef/>
      </w:r>
      <w:r>
        <w:t xml:space="preserve"> </w:t>
      </w:r>
      <w:r>
        <w:t xml:space="preserve">赛 9:6-7；提前 5:17；帖前 5:12；徒 20:17,28；来 13:7,17,24；太 28:18-20；约 18:36。</w:t>
      </w:r>
    </w:p>
  </w:footnote>
  <w:footnote w:id="600">
    <w:p>
      <w:pPr>
        <w:pStyle w:val="FootnoteText"/>
      </w:pPr>
      <w:r>
        <w:rPr>
          <w:rStyle w:val="FootnoteReference"/>
        </w:rPr>
        <w:footnoteRef/>
      </w:r>
      <w:r>
        <w:t xml:space="preserve"> </w:t>
      </w:r>
      <w:r>
        <w:t xml:space="preserve">太 16:19；太 18:17-18；约 20:21-23；林后 2:6-8。</w:t>
      </w:r>
    </w:p>
  </w:footnote>
  <w:footnote w:id="601">
    <w:p>
      <w:pPr>
        <w:pStyle w:val="FootnoteText"/>
      </w:pPr>
      <w:r>
        <w:rPr>
          <w:rStyle w:val="FootnoteReference"/>
        </w:rPr>
        <w:footnoteRef/>
      </w:r>
      <w:r>
        <w:t xml:space="preserve"> </w:t>
      </w:r>
      <w:r>
        <w:t xml:space="preserve">林前 5:1-13；提前 5:20；太 7:6；提前 1:20；林前 11:27-34 并 犹 23。</w:t>
      </w:r>
    </w:p>
  </w:footnote>
  <w:footnote w:id="602">
    <w:p>
      <w:pPr>
        <w:pStyle w:val="FootnoteText"/>
      </w:pPr>
      <w:r>
        <w:rPr>
          <w:rStyle w:val="FootnoteReference"/>
        </w:rPr>
        <w:footnoteRef/>
      </w:r>
      <w:r>
        <w:t xml:space="preserve"> </w:t>
      </w:r>
      <w:r>
        <w:t xml:space="preserve">帖前 5:12；帖后 3:6,14-15；林前 5:4-5,13；太 18:17；多 3:10。</w:t>
      </w:r>
    </w:p>
  </w:footnote>
  <w:footnote w:id="604">
    <w:p>
      <w:pPr>
        <w:pStyle w:val="FootnoteText"/>
      </w:pPr>
      <w:r>
        <w:rPr>
          <w:rStyle w:val="FootnoteReference"/>
        </w:rPr>
        <w:footnoteRef/>
      </w:r>
      <w:r>
        <w:t xml:space="preserve"> </w:t>
      </w:r>
      <w:r>
        <w:t xml:space="preserve">徒 15:2,4,6。</w:t>
      </w:r>
    </w:p>
  </w:footnote>
  <w:footnote w:id="605">
    <w:p>
      <w:pPr>
        <w:pStyle w:val="FootnoteText"/>
      </w:pPr>
      <w:r>
        <w:rPr>
          <w:rStyle w:val="FootnoteReference"/>
        </w:rPr>
        <w:footnoteRef/>
      </w:r>
      <w:r>
        <w:t xml:space="preserve"> </w:t>
      </w:r>
      <w:r>
        <w:t xml:space="preserve">赛 49:23；提前 2:1-2；代下 19:8-11；代下 29-30；太 2:4-5；箴 11:14。</w:t>
      </w:r>
    </w:p>
  </w:footnote>
  <w:footnote w:id="606">
    <w:p>
      <w:pPr>
        <w:pStyle w:val="FootnoteText"/>
      </w:pPr>
      <w:r>
        <w:rPr>
          <w:rStyle w:val="FootnoteReference"/>
        </w:rPr>
        <w:footnoteRef/>
      </w:r>
      <w:r>
        <w:t xml:space="preserve"> </w:t>
      </w:r>
      <w:r>
        <w:t xml:space="preserve">徒 15:2,4,22-23,25；徒 20:17。</w:t>
      </w:r>
    </w:p>
  </w:footnote>
  <w:footnote w:id="607">
    <w:p>
      <w:pPr>
        <w:pStyle w:val="FootnoteText"/>
      </w:pPr>
      <w:r>
        <w:rPr>
          <w:rStyle w:val="FootnoteReference"/>
        </w:rPr>
        <w:footnoteRef/>
      </w:r>
      <w:r>
        <w:t xml:space="preserve"> </w:t>
      </w:r>
      <w:r>
        <w:t xml:space="preserve">徒 15:15,19,24,27-31；徒 16:4；太 18:17-20。</w:t>
      </w:r>
    </w:p>
  </w:footnote>
  <w:footnote w:id="608">
    <w:p>
      <w:pPr>
        <w:pStyle w:val="FootnoteText"/>
      </w:pPr>
      <w:r>
        <w:rPr>
          <w:rStyle w:val="FootnoteReference"/>
        </w:rPr>
        <w:footnoteRef/>
      </w:r>
      <w:r>
        <w:t xml:space="preserve"> </w:t>
      </w:r>
      <w:r>
        <w:t xml:space="preserve">弗 2:20；徒 17:11；林前 2:5；林后 1:24。</w:t>
      </w:r>
    </w:p>
  </w:footnote>
  <w:footnote w:id="609">
    <w:p>
      <w:pPr>
        <w:pStyle w:val="FootnoteText"/>
      </w:pPr>
      <w:r>
        <w:rPr>
          <w:rStyle w:val="FootnoteReference"/>
        </w:rPr>
        <w:footnoteRef/>
      </w:r>
      <w:r>
        <w:t xml:space="preserve"> </w:t>
      </w:r>
      <w:r>
        <w:t xml:space="preserve">路 12:13-14；约 18:36。</w:t>
      </w:r>
    </w:p>
  </w:footnote>
  <w:footnote w:id="611">
    <w:p>
      <w:pPr>
        <w:pStyle w:val="FootnoteText"/>
      </w:pPr>
      <w:r>
        <w:rPr>
          <w:rStyle w:val="FootnoteReference"/>
        </w:rPr>
        <w:footnoteRef/>
      </w:r>
      <w:r>
        <w:t xml:space="preserve"> </w:t>
      </w:r>
      <w:r>
        <w:t xml:space="preserve">创 3:19；徒 13:36。</w:t>
      </w:r>
    </w:p>
  </w:footnote>
  <w:footnote w:id="612">
    <w:p>
      <w:pPr>
        <w:pStyle w:val="FootnoteText"/>
      </w:pPr>
      <w:r>
        <w:rPr>
          <w:rStyle w:val="FootnoteReference"/>
        </w:rPr>
        <w:footnoteRef/>
      </w:r>
      <w:r>
        <w:t xml:space="preserve"> </w:t>
      </w:r>
      <w:r>
        <w:t xml:space="preserve">路 23:43；传 12:7。</w:t>
      </w:r>
    </w:p>
  </w:footnote>
  <w:footnote w:id="613">
    <w:p>
      <w:pPr>
        <w:pStyle w:val="FootnoteText"/>
      </w:pPr>
      <w:r>
        <w:rPr>
          <w:rStyle w:val="FootnoteReference"/>
        </w:rPr>
        <w:footnoteRef/>
      </w:r>
      <w:r>
        <w:t xml:space="preserve"> </w:t>
      </w:r>
      <w:r>
        <w:t xml:space="preserve">来 12:23；林后 5:1,6,8；腓 1:23；徒 3:21；弗 4:10。</w:t>
      </w:r>
    </w:p>
  </w:footnote>
  <w:footnote w:id="614">
    <w:p>
      <w:pPr>
        <w:pStyle w:val="FootnoteText"/>
      </w:pPr>
      <w:r>
        <w:rPr>
          <w:rStyle w:val="FootnoteReference"/>
        </w:rPr>
        <w:footnoteRef/>
      </w:r>
      <w:r>
        <w:t xml:space="preserve"> </w:t>
      </w:r>
      <w:r>
        <w:t xml:space="preserve">路 16:23-24；徒 1:25；犹 6-7；彼前 3:19。</w:t>
      </w:r>
    </w:p>
  </w:footnote>
  <w:footnote w:id="615">
    <w:p>
      <w:pPr>
        <w:pStyle w:val="FootnoteText"/>
      </w:pPr>
      <w:r>
        <w:rPr>
          <w:rStyle w:val="FootnoteReference"/>
        </w:rPr>
        <w:footnoteRef/>
      </w:r>
      <w:r>
        <w:t xml:space="preserve"> </w:t>
      </w:r>
      <w:r>
        <w:t xml:space="preserve">帖前 4:17；林前 15:51-52。</w:t>
      </w:r>
    </w:p>
  </w:footnote>
  <w:footnote w:id="616">
    <w:p>
      <w:pPr>
        <w:pStyle w:val="FootnoteText"/>
      </w:pPr>
      <w:r>
        <w:rPr>
          <w:rStyle w:val="FootnoteReference"/>
        </w:rPr>
        <w:footnoteRef/>
      </w:r>
      <w:r>
        <w:t xml:space="preserve"> </w:t>
      </w:r>
      <w:r>
        <w:t xml:space="preserve">伯 19:26-27；林前 15:42-44。</w:t>
      </w:r>
    </w:p>
  </w:footnote>
  <w:footnote w:id="617">
    <w:p>
      <w:pPr>
        <w:pStyle w:val="FootnoteText"/>
      </w:pPr>
      <w:r>
        <w:rPr>
          <w:rStyle w:val="FootnoteReference"/>
        </w:rPr>
        <w:footnoteRef/>
      </w:r>
      <w:r>
        <w:t xml:space="preserve"> </w:t>
      </w:r>
      <w:r>
        <w:t xml:space="preserve">徒 24:15；约 5:28-29；林前 15:43；腓 3:21。</w:t>
      </w:r>
    </w:p>
  </w:footnote>
  <w:footnote w:id="619">
    <w:p>
      <w:pPr>
        <w:pStyle w:val="FootnoteText"/>
      </w:pPr>
      <w:r>
        <w:rPr>
          <w:rStyle w:val="FootnoteReference"/>
        </w:rPr>
        <w:footnoteRef/>
      </w:r>
      <w:r>
        <w:t xml:space="preserve"> </w:t>
      </w:r>
      <w:r>
        <w:t xml:space="preserve">徒 17:31；约 5:22,27；罗 2:16。</w:t>
      </w:r>
    </w:p>
  </w:footnote>
  <w:footnote w:id="620">
    <w:p>
      <w:pPr>
        <w:pStyle w:val="FootnoteText"/>
      </w:pPr>
      <w:r>
        <w:rPr>
          <w:rStyle w:val="FootnoteReference"/>
        </w:rPr>
        <w:footnoteRef/>
      </w:r>
      <w:r>
        <w:t xml:space="preserve"> </w:t>
      </w:r>
      <w:r>
        <w:t xml:space="preserve">罗 14:10-12；太 25:31-46。</w:t>
      </w:r>
    </w:p>
  </w:footnote>
  <w:footnote w:id="621">
    <w:p>
      <w:pPr>
        <w:pStyle w:val="FootnoteText"/>
      </w:pPr>
      <w:r>
        <w:rPr>
          <w:rStyle w:val="FootnoteReference"/>
        </w:rPr>
        <w:footnoteRef/>
      </w:r>
      <w:r>
        <w:t xml:space="preserve"> </w:t>
      </w:r>
      <w:r>
        <w:t xml:space="preserve">林前 6:3；犹 6；彼后 2:4。</w:t>
      </w:r>
    </w:p>
  </w:footnote>
  <w:footnote w:id="622">
    <w:p>
      <w:pPr>
        <w:pStyle w:val="FootnoteText"/>
      </w:pPr>
      <w:r>
        <w:rPr>
          <w:rStyle w:val="FootnoteReference"/>
        </w:rPr>
        <w:footnoteRef/>
      </w:r>
      <w:r>
        <w:t xml:space="preserve"> </w:t>
      </w:r>
      <w:r>
        <w:t xml:space="preserve">林后 5:10；传 12:14；罗 2:16；罗 14:10,12；太 12:36-37。</w:t>
      </w:r>
    </w:p>
  </w:footnote>
  <w:footnote w:id="623">
    <w:p>
      <w:pPr>
        <w:pStyle w:val="FootnoteText"/>
      </w:pPr>
      <w:r>
        <w:rPr>
          <w:rStyle w:val="FootnoteReference"/>
        </w:rPr>
        <w:footnoteRef/>
      </w:r>
      <w:r>
        <w:t xml:space="preserve"> </w:t>
      </w:r>
      <w:r>
        <w:t xml:space="preserve">太 25:31-34；罗 9:23。</w:t>
      </w:r>
    </w:p>
  </w:footnote>
  <w:footnote w:id="624">
    <w:p>
      <w:pPr>
        <w:pStyle w:val="FootnoteText"/>
      </w:pPr>
      <w:r>
        <w:rPr>
          <w:rStyle w:val="FootnoteReference"/>
        </w:rPr>
        <w:footnoteRef/>
      </w:r>
      <w:r>
        <w:t xml:space="preserve"> </w:t>
      </w:r>
      <w:r>
        <w:t xml:space="preserve">罗 2:5-6；罗 9:22；太 25:35-41。</w:t>
      </w:r>
    </w:p>
  </w:footnote>
  <w:footnote w:id="625">
    <w:p>
      <w:pPr>
        <w:pStyle w:val="FootnoteText"/>
      </w:pPr>
      <w:r>
        <w:rPr>
          <w:rStyle w:val="FootnoteReference"/>
        </w:rPr>
        <w:footnoteRef/>
      </w:r>
      <w:r>
        <w:t xml:space="preserve"> </w:t>
      </w:r>
      <w:r>
        <w:t xml:space="preserve">太 25:31-46；罗 2:5-6；罗 9:22；太 25:41；帖后 1:7-10。</w:t>
      </w:r>
    </w:p>
  </w:footnote>
  <w:footnote w:id="626">
    <w:p>
      <w:pPr>
        <w:pStyle w:val="FootnoteText"/>
      </w:pPr>
      <w:r>
        <w:rPr>
          <w:rStyle w:val="FootnoteReference"/>
        </w:rPr>
        <w:footnoteRef/>
      </w:r>
      <w:r>
        <w:t xml:space="preserve"> </w:t>
      </w:r>
      <w:r>
        <w:t xml:space="preserve">彼后 3:11,14；林后 5:10-11；帖后 1:5-7；路 21:27-28；罗 8:23-25。</w:t>
      </w:r>
    </w:p>
  </w:footnote>
  <w:footnote w:id="627">
    <w:p>
      <w:pPr>
        <w:pStyle w:val="FootnoteText"/>
      </w:pPr>
      <w:r>
        <w:rPr>
          <w:rStyle w:val="FootnoteReference"/>
        </w:rPr>
        <w:footnoteRef/>
      </w:r>
      <w:r>
        <w:t xml:space="preserve"> </w:t>
      </w:r>
      <w:r>
        <w:t xml:space="preserve">太 24:36,42-44；可 13:35-37；路 12:35-36；启 22:20。</w:t>
      </w:r>
    </w:p>
  </w:footnote>
  <w:footnote w:id="630">
    <w:p>
      <w:pPr>
        <w:pStyle w:val="FootnoteText"/>
      </w:pPr>
      <w:r>
        <w:rPr>
          <w:rStyle w:val="FootnoteReference"/>
        </w:rPr>
        <w:footnoteRef/>
      </w:r>
      <w:r>
        <w:t xml:space="preserve"> </w:t>
      </w:r>
      <w:r>
        <w:t xml:space="preserve">罗 11:36；林前 10:31；诗 73:24-28；约 17:21-23。</w:t>
      </w:r>
    </w:p>
  </w:footnote>
  <w:footnote w:id="631">
    <w:p>
      <w:pPr>
        <w:pStyle w:val="FootnoteText"/>
      </w:pPr>
      <w:r>
        <w:rPr>
          <w:rStyle w:val="FootnoteReference"/>
        </w:rPr>
        <w:footnoteRef/>
      </w:r>
      <w:r>
        <w:t xml:space="preserve"> </w:t>
      </w:r>
      <w:r>
        <w:t xml:space="preserve">罗 1:19-20；诗 19:1-3；徒 17:28；林前 2:9-10；提后 3:15-17；赛 59:21。</w:t>
      </w:r>
    </w:p>
  </w:footnote>
  <w:footnote w:id="632">
    <w:p>
      <w:pPr>
        <w:pStyle w:val="FootnoteText"/>
      </w:pPr>
      <w:r>
        <w:rPr>
          <w:rStyle w:val="FootnoteReference"/>
        </w:rPr>
        <w:footnoteRef/>
      </w:r>
      <w:r>
        <w:t xml:space="preserve"> </w:t>
      </w:r>
      <w:r>
        <w:t xml:space="preserve">提后 3:16；彼后 1:19-21；弗 2:20；启 22:18-19；赛 8:20；路 16:29,31；加 1:8-9；提后 3:15-16。</w:t>
      </w:r>
    </w:p>
  </w:footnote>
  <w:footnote w:id="633">
    <w:p>
      <w:pPr>
        <w:pStyle w:val="FootnoteText"/>
      </w:pPr>
      <w:r>
        <w:rPr>
          <w:rStyle w:val="FootnoteReference"/>
        </w:rPr>
        <w:footnoteRef/>
      </w:r>
      <w:r>
        <w:t xml:space="preserve"> </w:t>
      </w:r>
      <w:r>
        <w:t xml:space="preserve">何 8:12；林前 2:6-7,13；诗 119:18,129；诗 12:6；诗 119:140；徒 10:43；徒 26:22；罗 3:19,27；徒 18:28；来 4:12；雅 1:18；诗 19:7-9；罗 15:4；徒 20:32；约 16:13-14；约一 2:20,27；约 20:31。</w:t>
      </w:r>
    </w:p>
  </w:footnote>
  <w:footnote w:id="634">
    <w:p>
      <w:pPr>
        <w:pStyle w:val="FootnoteText"/>
      </w:pPr>
      <w:r>
        <w:rPr>
          <w:rStyle w:val="FootnoteReference"/>
        </w:rPr>
        <w:footnoteRef/>
      </w:r>
      <w:r>
        <w:t xml:space="preserve"> </w:t>
      </w:r>
      <w:r>
        <w:t xml:space="preserve">提后 1:13。</w:t>
      </w:r>
    </w:p>
  </w:footnote>
  <w:footnote w:id="635">
    <w:p>
      <w:pPr>
        <w:pStyle w:val="FootnoteText"/>
      </w:pPr>
      <w:r>
        <w:rPr>
          <w:rStyle w:val="FootnoteReference"/>
        </w:rPr>
        <w:footnoteRef/>
      </w:r>
      <w:r>
        <w:t xml:space="preserve"> </w:t>
      </w:r>
      <w:r>
        <w:t xml:space="preserve">论人当信神的真理</w:t>
      </w:r>
    </w:p>
  </w:footnote>
  <w:footnote w:id="636">
    <w:p>
      <w:pPr>
        <w:pStyle w:val="FootnoteText"/>
      </w:pPr>
      <w:r>
        <w:rPr>
          <w:rStyle w:val="FootnoteReference"/>
        </w:rPr>
        <w:footnoteRef/>
      </w:r>
      <w:r>
        <w:t xml:space="preserve"> </w:t>
      </w:r>
      <w:r>
        <w:t xml:space="preserve">来 11:6；约一 5:7；徒 15:14-15,18；徒 4:27-28。</w:t>
      </w:r>
    </w:p>
  </w:footnote>
  <w:footnote w:id="637">
    <w:p>
      <w:pPr>
        <w:pStyle w:val="FootnoteText"/>
      </w:pPr>
      <w:r>
        <w:rPr>
          <w:rStyle w:val="FootnoteReference"/>
        </w:rPr>
        <w:footnoteRef/>
      </w:r>
      <w:r>
        <w:t xml:space="preserve"> </w:t>
      </w:r>
      <w:r>
        <w:t xml:space="preserve">约 4:24；出 3:14；伯 11:7-9；徒 7:2；提前 6:15；太 5:48；创 17:1；诗 90:2；玛 3:6；雅 1:17；王上 8:27；诗 139:1-13；启 4:8；来 4:13；诗 147:5；罗 16:27；赛 6:3；启 15:4；申 32:4；出 34:6。</w:t>
      </w:r>
    </w:p>
  </w:footnote>
  <w:footnote w:id="638">
    <w:p>
      <w:pPr>
        <w:pStyle w:val="FootnoteText"/>
      </w:pPr>
      <w:r>
        <w:rPr>
          <w:rStyle w:val="FootnoteReference"/>
        </w:rPr>
        <w:footnoteRef/>
      </w:r>
      <w:r>
        <w:t xml:space="preserve"> </w:t>
      </w:r>
      <w:r>
        <w:t xml:space="preserve">申 6:4；林前 8:4,6；耶 10:10。</w:t>
      </w:r>
    </w:p>
  </w:footnote>
  <w:footnote w:id="639">
    <w:p>
      <w:pPr>
        <w:pStyle w:val="FootnoteText"/>
      </w:pPr>
      <w:r>
        <w:rPr>
          <w:rStyle w:val="FootnoteReference"/>
        </w:rPr>
        <w:footnoteRef/>
      </w:r>
      <w:r>
        <w:t xml:space="preserve"> </w:t>
      </w:r>
      <w:r>
        <w:t xml:space="preserve">约一 5:7；太 3:16-17；太 28:19；林后 13:14；约 10:30。</w:t>
      </w:r>
    </w:p>
  </w:footnote>
  <w:footnote w:id="640">
    <w:p>
      <w:pPr>
        <w:pStyle w:val="FootnoteText"/>
      </w:pPr>
      <w:r>
        <w:rPr>
          <w:rStyle w:val="FootnoteReference"/>
        </w:rPr>
        <w:footnoteRef/>
      </w:r>
      <w:r>
        <w:t xml:space="preserve"> </w:t>
      </w:r>
      <w:r>
        <w:t xml:space="preserve">来 1:5-6,8；约 1:14,18；约 15:26；加 4:6。</w:t>
      </w:r>
    </w:p>
  </w:footnote>
  <w:footnote w:id="641">
    <w:p>
      <w:pPr>
        <w:pStyle w:val="FootnoteText"/>
      </w:pPr>
      <w:r>
        <w:rPr>
          <w:rStyle w:val="FootnoteReference"/>
        </w:rPr>
        <w:footnoteRef/>
      </w:r>
      <w:r>
        <w:t xml:space="preserve"> </w:t>
      </w:r>
      <w:r>
        <w:t xml:space="preserve">赛 6:3,5,8；约 12:41；徒 28:25；约一 5:20；徒 5:3-4；约 1:1；赛 9:6；约 2:24-25；林前 2:10-11；西 1:16；创 1:2；太 28:19；林后 13:14。</w:t>
      </w:r>
    </w:p>
  </w:footnote>
  <w:footnote w:id="642">
    <w:p>
      <w:pPr>
        <w:pStyle w:val="FootnoteText"/>
      </w:pPr>
      <w:r>
        <w:rPr>
          <w:rStyle w:val="FootnoteReference"/>
        </w:rPr>
        <w:footnoteRef/>
      </w:r>
      <w:r>
        <w:t xml:space="preserve"> </w:t>
      </w:r>
      <w:r>
        <w:t xml:space="preserve">弗 1:11；罗 11:33；罗 9:14-15,18；弗 1:4,11；罗 9:22-23；诗 33:11。</w:t>
      </w:r>
    </w:p>
  </w:footnote>
  <w:footnote w:id="643">
    <w:p>
      <w:pPr>
        <w:pStyle w:val="FootnoteText"/>
      </w:pPr>
      <w:r>
        <w:rPr>
          <w:rStyle w:val="FootnoteReference"/>
        </w:rPr>
        <w:footnoteRef/>
      </w:r>
      <w:r>
        <w:t xml:space="preserve"> </w:t>
      </w:r>
      <w:r>
        <w:t xml:space="preserve">提前 5:21；弗 1:4-6；帖后 2:13-14；罗 9:17-18,21-22；太 11:25-26；提后 2:20；犹 1:4；彼前 2:8。</w:t>
      </w:r>
    </w:p>
  </w:footnote>
  <w:footnote w:id="644">
    <w:p>
      <w:pPr>
        <w:pStyle w:val="FootnoteText"/>
      </w:pPr>
      <w:r>
        <w:rPr>
          <w:rStyle w:val="FootnoteReference"/>
        </w:rPr>
        <w:footnoteRef/>
      </w:r>
      <w:r>
        <w:t xml:space="preserve"> </w:t>
      </w:r>
      <w:r>
        <w:t xml:space="preserve">弗 1:11。</w:t>
      </w:r>
    </w:p>
  </w:footnote>
  <w:footnote w:id="645">
    <w:p>
      <w:pPr>
        <w:pStyle w:val="FootnoteText"/>
      </w:pPr>
      <w:r>
        <w:rPr>
          <w:rStyle w:val="FootnoteReference"/>
        </w:rPr>
        <w:footnoteRef/>
      </w:r>
      <w:r>
        <w:t xml:space="preserve"> </w:t>
      </w:r>
      <w:r>
        <w:t xml:space="preserve">创 1；来 11:3；箴 16:4。</w:t>
      </w:r>
    </w:p>
  </w:footnote>
  <w:footnote w:id="646">
    <w:p>
      <w:pPr>
        <w:pStyle w:val="FootnoteText"/>
      </w:pPr>
      <w:r>
        <w:rPr>
          <w:rStyle w:val="FootnoteReference"/>
        </w:rPr>
        <w:footnoteRef/>
      </w:r>
      <w:r>
        <w:t xml:space="preserve"> </w:t>
      </w:r>
      <w:r>
        <w:t xml:space="preserve">西 1:16；诗 104:4；太 22:30；太 25:31；撒下 14:17；太 24:36；帖后 1:7；诗 103:20-21；彼后 2:4。</w:t>
      </w:r>
    </w:p>
  </w:footnote>
  <w:footnote w:id="647">
    <w:p>
      <w:pPr>
        <w:pStyle w:val="FootnoteText"/>
      </w:pPr>
      <w:r>
        <w:rPr>
          <w:rStyle w:val="FootnoteReference"/>
        </w:rPr>
        <w:footnoteRef/>
      </w:r>
      <w:r>
        <w:t xml:space="preserve"> </w:t>
      </w:r>
      <w:r>
        <w:t xml:space="preserve">创 1:27；创 2:7；创 2:22；创 2:7；伯 35:11；传 12:7；太 10:28；路 23:43；创 1:27；西 3:10；弗 4:24；罗 2:14-15；传 7:29；创 1:28；创 3:6；传 7:29。</w:t>
      </w:r>
    </w:p>
  </w:footnote>
  <w:footnote w:id="648">
    <w:p>
      <w:pPr>
        <w:pStyle w:val="FootnoteText"/>
      </w:pPr>
      <w:r>
        <w:rPr>
          <w:rStyle w:val="FootnoteReference"/>
        </w:rPr>
        <w:footnoteRef/>
      </w:r>
      <w:r>
        <w:t xml:space="preserve"> </w:t>
      </w:r>
      <w:r>
        <w:t xml:space="preserve">诗 145:17；诗 104:24；赛 28:29；来 1:3；诗 103:19；太 10:29-31；创 45:7；罗 11:36；赛 63:14。</w:t>
      </w:r>
    </w:p>
  </w:footnote>
  <w:footnote w:id="649">
    <w:p>
      <w:pPr>
        <w:pStyle w:val="FootnoteText"/>
      </w:pPr>
      <w:r>
        <w:rPr>
          <w:rStyle w:val="FootnoteReference"/>
        </w:rPr>
        <w:footnoteRef/>
      </w:r>
      <w:r>
        <w:t xml:space="preserve"> </w:t>
      </w:r>
      <w:r>
        <w:t xml:space="preserve">犹 1:6；彼后 2:4；来 2:16；约 8:44；伯 1:12；太 8:31；提前 5:21；可 8:38；来 12:22；诗 104:4；王下 19:35；来 1:14。</w:t>
      </w:r>
    </w:p>
  </w:footnote>
  <w:footnote w:id="650">
    <w:p>
      <w:pPr>
        <w:pStyle w:val="FootnoteText"/>
      </w:pPr>
      <w:r>
        <w:rPr>
          <w:rStyle w:val="FootnoteReference"/>
        </w:rPr>
        <w:footnoteRef/>
      </w:r>
      <w:r>
        <w:t xml:space="preserve"> </w:t>
      </w:r>
      <w:r>
        <w:t xml:space="preserve">创 2:8,15-16；创 1:28；创 2:18；创 1:26-29；创 3:8；创 2:3；加 3:12；罗 10:5；创 2:9,17。</w:t>
      </w:r>
    </w:p>
  </w:footnote>
  <w:footnote w:id="651">
    <w:p>
      <w:pPr>
        <w:pStyle w:val="FootnoteText"/>
      </w:pPr>
      <w:r>
        <w:rPr>
          <w:rStyle w:val="FootnoteReference"/>
        </w:rPr>
        <w:footnoteRef/>
      </w:r>
      <w:r>
        <w:t xml:space="preserve"> </w:t>
      </w:r>
      <w:r>
        <w:t xml:space="preserve">创 3:6-8，13；传 7:29；林后 11:3。</w:t>
      </w:r>
    </w:p>
  </w:footnote>
  <w:footnote w:id="652">
    <w:p>
      <w:pPr>
        <w:pStyle w:val="FootnoteText"/>
      </w:pPr>
      <w:r>
        <w:rPr>
          <w:rStyle w:val="FootnoteReference"/>
        </w:rPr>
        <w:footnoteRef/>
      </w:r>
      <w:r>
        <w:t xml:space="preserve"> </w:t>
      </w:r>
      <w:r>
        <w:t xml:space="preserve">徒 17:26；创 2:16-17；罗 5:12-20；林前 15:21-22。</w:t>
      </w:r>
    </w:p>
  </w:footnote>
  <w:footnote w:id="653">
    <w:p>
      <w:pPr>
        <w:pStyle w:val="FootnoteText"/>
      </w:pPr>
      <w:r>
        <w:rPr>
          <w:rStyle w:val="FootnoteReference"/>
        </w:rPr>
        <w:footnoteRef/>
      </w:r>
      <w:r>
        <w:t xml:space="preserve"> </w:t>
      </w:r>
      <w:r>
        <w:t xml:space="preserve">罗 5:12；罗 3:23。</w:t>
      </w:r>
    </w:p>
  </w:footnote>
  <w:footnote w:id="654">
    <w:p>
      <w:pPr>
        <w:pStyle w:val="FootnoteText"/>
      </w:pPr>
      <w:r>
        <w:rPr>
          <w:rStyle w:val="FootnoteReference"/>
        </w:rPr>
        <w:footnoteRef/>
      </w:r>
      <w:r>
        <w:t xml:space="preserve"> </w:t>
      </w:r>
      <w:r>
        <w:t xml:space="preserve">约一 3:4；加 3:10,12。</w:t>
      </w:r>
    </w:p>
  </w:footnote>
  <w:footnote w:id="655">
    <w:p>
      <w:pPr>
        <w:pStyle w:val="FootnoteText"/>
      </w:pPr>
      <w:r>
        <w:rPr>
          <w:rStyle w:val="FootnoteReference"/>
        </w:rPr>
        <w:footnoteRef/>
      </w:r>
      <w:r>
        <w:t xml:space="preserve"> </w:t>
      </w:r>
      <w:r>
        <w:t xml:space="preserve">罗 5:12,19；罗 3:10-19；弗 2:1-3；罗 5:6；罗 8:7-8；创 6:5；雅 1:14-15；太 15:19。</w:t>
      </w:r>
    </w:p>
  </w:footnote>
  <w:footnote w:id="656">
    <w:p>
      <w:pPr>
        <w:pStyle w:val="FootnoteText"/>
      </w:pPr>
      <w:r>
        <w:rPr>
          <w:rStyle w:val="FootnoteReference"/>
        </w:rPr>
        <w:footnoteRef/>
      </w:r>
      <w:r>
        <w:t xml:space="preserve"> </w:t>
      </w:r>
      <w:r>
        <w:t xml:space="preserve">诗 51:5；伯 14:4；伯 15:14；约 3:6。</w:t>
      </w:r>
    </w:p>
  </w:footnote>
  <w:footnote w:id="657">
    <w:p>
      <w:pPr>
        <w:pStyle w:val="FootnoteText"/>
      </w:pPr>
      <w:r>
        <w:rPr>
          <w:rStyle w:val="FootnoteReference"/>
        </w:rPr>
        <w:footnoteRef/>
      </w:r>
      <w:r>
        <w:t xml:space="preserve"> </w:t>
      </w:r>
      <w:r>
        <w:t xml:space="preserve">创 3:8,10,24；弗 2:2-3；提后 2:26；创 2:17；哀 3:39；罗 6:23；太 25:41,46；犹 1:7。</w:t>
      </w:r>
    </w:p>
  </w:footnote>
  <w:footnote w:id="658">
    <w:p>
      <w:pPr>
        <w:pStyle w:val="FootnoteText"/>
      </w:pPr>
      <w:r>
        <w:rPr>
          <w:rStyle w:val="FootnoteReference"/>
        </w:rPr>
        <w:footnoteRef/>
      </w:r>
      <w:r>
        <w:t xml:space="preserve"> </w:t>
      </w:r>
      <w:r>
        <w:t xml:space="preserve">弗 4:18；罗 1:28；帖后 2:11；罗 2:5；赛 33:14；创 4:13；太 27:4；罗 1:26；创 3:17；申 28:15-68；罗 6:21,23。</w:t>
      </w:r>
    </w:p>
  </w:footnote>
  <w:footnote w:id="659">
    <w:p>
      <w:pPr>
        <w:pStyle w:val="FootnoteText"/>
      </w:pPr>
      <w:r>
        <w:rPr>
          <w:rStyle w:val="FootnoteReference"/>
        </w:rPr>
        <w:footnoteRef/>
      </w:r>
      <w:r>
        <w:t xml:space="preserve"> </w:t>
      </w:r>
      <w:r>
        <w:t xml:space="preserve">帖后 1:9；可 9:43-44,46,48；路 16:24。</w:t>
      </w:r>
    </w:p>
  </w:footnote>
  <w:footnote w:id="660">
    <w:p>
      <w:pPr>
        <w:pStyle w:val="FootnoteText"/>
      </w:pPr>
      <w:r>
        <w:rPr>
          <w:rStyle w:val="FootnoteReference"/>
        </w:rPr>
        <w:footnoteRef/>
      </w:r>
      <w:r>
        <w:t xml:space="preserve"> </w:t>
      </w:r>
      <w:r>
        <w:t xml:space="preserve">帖前 5:9；加 3:10,12；多 3:4-7；加 3:21；罗 3:20-22。</w:t>
      </w:r>
    </w:p>
  </w:footnote>
  <w:footnote w:id="661">
    <w:p>
      <w:pPr>
        <w:pStyle w:val="FootnoteText"/>
      </w:pPr>
      <w:r>
        <w:rPr>
          <w:rStyle w:val="FootnoteReference"/>
        </w:rPr>
        <w:footnoteRef/>
      </w:r>
      <w:r>
        <w:t xml:space="preserve"> </w:t>
      </w:r>
      <w:r>
        <w:t xml:space="preserve">加 3:16；罗 5:15-21；赛 53:10-11。</w:t>
      </w:r>
    </w:p>
  </w:footnote>
  <w:footnote w:id="662">
    <w:p>
      <w:pPr>
        <w:pStyle w:val="FootnoteText"/>
      </w:pPr>
      <w:r>
        <w:rPr>
          <w:rStyle w:val="FootnoteReference"/>
        </w:rPr>
        <w:footnoteRef/>
      </w:r>
      <w:r>
        <w:t xml:space="preserve"> </w:t>
      </w:r>
      <w:r>
        <w:t xml:space="preserve">创 3:15；赛 42:6；约 6:27；约一 5:11-12；约 3:16；约 1:12；箴 1:23；林后 4:13；加 5:22-23；结 36:27；雅 2:18,22；林后 5:14-15；弗 2:10。</w:t>
      </w:r>
    </w:p>
  </w:footnote>
  <w:footnote w:id="663">
    <w:p>
      <w:pPr>
        <w:pStyle w:val="FootnoteText"/>
      </w:pPr>
      <w:r>
        <w:rPr>
          <w:rStyle w:val="FootnoteReference"/>
        </w:rPr>
        <w:footnoteRef/>
      </w:r>
      <w:r>
        <w:t xml:space="preserve"> </w:t>
      </w:r>
      <w:r>
        <w:t xml:space="preserve">林后 3:6-9。</w:t>
      </w:r>
    </w:p>
  </w:footnote>
  <w:footnote w:id="664">
    <w:p>
      <w:pPr>
        <w:pStyle w:val="FootnoteText"/>
      </w:pPr>
      <w:r>
        <w:rPr>
          <w:rStyle w:val="FootnoteReference"/>
        </w:rPr>
        <w:footnoteRef/>
      </w:r>
      <w:r>
        <w:t xml:space="preserve"> </w:t>
      </w:r>
      <w:r>
        <w:t xml:space="preserve">罗 15:8；徒 3:20,24；来 10:1；罗 4:11；林前 5:7；来 8-10,11:13；加 3:7-9,14。</w:t>
      </w:r>
    </w:p>
  </w:footnote>
  <w:footnote w:id="665">
    <w:p>
      <w:pPr>
        <w:pStyle w:val="FootnoteText"/>
      </w:pPr>
      <w:r>
        <w:rPr>
          <w:rStyle w:val="FootnoteReference"/>
        </w:rPr>
        <w:footnoteRef/>
      </w:r>
      <w:r>
        <w:t xml:space="preserve"> </w:t>
      </w:r>
      <w:r>
        <w:t xml:space="preserve">可 16:15；太 28:19-20；林前 11:23-25；林后 3:6-18；来 8:6,10,11；太 28:19。</w:t>
      </w:r>
    </w:p>
  </w:footnote>
  <w:footnote w:id="666">
    <w:p>
      <w:pPr>
        <w:pStyle w:val="FootnoteText"/>
      </w:pPr>
      <w:r>
        <w:rPr>
          <w:rStyle w:val="FootnoteReference"/>
        </w:rPr>
        <w:footnoteRef/>
      </w:r>
      <w:r>
        <w:t xml:space="preserve"> </w:t>
      </w:r>
      <w:r>
        <w:t xml:space="preserve">提前 2:5；约 1:1,14；约 10:30；腓 2:6；加 4:4；路 1:35；罗 9:5；西 2:9；来 7:24-25。</w:t>
      </w:r>
    </w:p>
  </w:footnote>
  <w:footnote w:id="667">
    <w:p>
      <w:pPr>
        <w:pStyle w:val="FootnoteText"/>
      </w:pPr>
      <w:r>
        <w:rPr>
          <w:rStyle w:val="FootnoteReference"/>
        </w:rPr>
        <w:footnoteRef/>
      </w:r>
      <w:r>
        <w:t xml:space="preserve"> </w:t>
      </w:r>
      <w:r>
        <w:t xml:space="preserve">约 1:14；太 26:38；路 1:27,31,35,42；加 4:4；来 4:15；来 7:26。</w:t>
      </w:r>
    </w:p>
  </w:footnote>
  <w:footnote w:id="668">
    <w:p>
      <w:pPr>
        <w:pStyle w:val="FootnoteText"/>
      </w:pPr>
      <w:r>
        <w:rPr>
          <w:rStyle w:val="FootnoteReference"/>
        </w:rPr>
        <w:footnoteRef/>
      </w:r>
      <w:r>
        <w:t xml:space="preserve"> </w:t>
      </w:r>
      <w:r>
        <w:t xml:space="preserve">徒 2:24-25；罗 1:4；罗 4:25；来 9:14；徒 20:28；来 9:14；来 7:25-28；罗 3:24-26；弗 1:6；太 3:17；多 2:13-14；加 4:6；路 1:68-69,71,74；来 5:8-9；来 9:11-15。</w:t>
      </w:r>
    </w:p>
  </w:footnote>
  <w:footnote w:id="669">
    <w:p>
      <w:pPr>
        <w:pStyle w:val="FootnoteText"/>
      </w:pPr>
      <w:r>
        <w:rPr>
          <w:rStyle w:val="FootnoteReference"/>
        </w:rPr>
        <w:footnoteRef/>
      </w:r>
      <w:r>
        <w:t xml:space="preserve"> </w:t>
      </w:r>
      <w:r>
        <w:t xml:space="preserve">来 2:16；加 4:4；来 2:14；来 7:24-25；来 4:15；加 4:5；来 4:16。</w:t>
      </w:r>
    </w:p>
  </w:footnote>
  <w:footnote w:id="670">
    <w:p>
      <w:pPr>
        <w:pStyle w:val="FootnoteText"/>
      </w:pPr>
      <w:r>
        <w:rPr>
          <w:rStyle w:val="FootnoteReference"/>
        </w:rPr>
        <w:footnoteRef/>
      </w:r>
      <w:r>
        <w:t xml:space="preserve"> </w:t>
      </w:r>
      <w:r>
        <w:t xml:space="preserve">太 1:21,23；太 3:17；来 9:14；彼前 2:6。</w:t>
      </w:r>
    </w:p>
  </w:footnote>
  <w:footnote w:id="671">
    <w:p>
      <w:pPr>
        <w:pStyle w:val="FootnoteText"/>
      </w:pPr>
      <w:r>
        <w:rPr>
          <w:rStyle w:val="FootnoteReference"/>
        </w:rPr>
        <w:footnoteRef/>
      </w:r>
      <w:r>
        <w:t xml:space="preserve"> </w:t>
      </w:r>
      <w:r>
        <w:t xml:space="preserve">太 1:21。</w:t>
      </w:r>
    </w:p>
  </w:footnote>
  <w:footnote w:id="672">
    <w:p>
      <w:pPr>
        <w:pStyle w:val="FootnoteText"/>
      </w:pPr>
      <w:r>
        <w:rPr>
          <w:rStyle w:val="FootnoteReference"/>
        </w:rPr>
        <w:footnoteRef/>
      </w:r>
      <w:r>
        <w:t xml:space="preserve"> </w:t>
      </w:r>
      <w:r>
        <w:t xml:space="preserve">约 3:34；诗 45:7；约 6:27；太 28:18-20；徒 3:21-22；路 4:18,21；来 5:5-7；来 4:14-15；诗 2:6；太 21:5；赛 9:6-7；腓 2:8-11。</w:t>
      </w:r>
    </w:p>
  </w:footnote>
  <w:footnote w:id="673">
    <w:p>
      <w:pPr>
        <w:pStyle w:val="FootnoteText"/>
      </w:pPr>
      <w:r>
        <w:rPr>
          <w:rStyle w:val="FootnoteReference"/>
        </w:rPr>
        <w:footnoteRef/>
      </w:r>
      <w:r>
        <w:t xml:space="preserve"> </w:t>
      </w:r>
      <w:r>
        <w:t xml:space="preserve">约 1:18；彼前 1:10-12；来 1:1-2；约 15:15；徒 20:32；弗 4:11-13；约 20:31。</w:t>
      </w:r>
    </w:p>
  </w:footnote>
  <w:footnote w:id="674">
    <w:p>
      <w:pPr>
        <w:pStyle w:val="FootnoteText"/>
      </w:pPr>
      <w:r>
        <w:rPr>
          <w:rStyle w:val="FootnoteReference"/>
        </w:rPr>
        <w:footnoteRef/>
      </w:r>
      <w:r>
        <w:t xml:space="preserve"> </w:t>
      </w:r>
      <w:r>
        <w:t xml:space="preserve">来 9:14,28；来 2:17；来 7:25。</w:t>
      </w:r>
    </w:p>
  </w:footnote>
  <w:footnote w:id="675">
    <w:p>
      <w:pPr>
        <w:pStyle w:val="FootnoteText"/>
      </w:pPr>
      <w:r>
        <w:rPr>
          <w:rStyle w:val="FootnoteReference"/>
        </w:rPr>
        <w:footnoteRef/>
      </w:r>
      <w:r>
        <w:t xml:space="preserve"> </w:t>
      </w:r>
      <w:r>
        <w:t xml:space="preserve">徒 15:14-16；赛 55:4-5；创 49:10；诗 110:3；弗 4:11-12；林前 12:28；赛 33:22；太 18:17-18；林前 5:4-5；徒 5:31；启 22:12；启 2:10；启 3:19；赛 63:9；林前 15:25；诗 110:1-7；罗 14:10-11；罗 8:28；帖后 1:8-9；诗 2:8-9。</w:t>
      </w:r>
    </w:p>
  </w:footnote>
  <w:footnote w:id="676">
    <w:p>
      <w:pPr>
        <w:pStyle w:val="FootnoteText"/>
      </w:pPr>
      <w:r>
        <w:rPr>
          <w:rStyle w:val="FootnoteReference"/>
        </w:rPr>
        <w:footnoteRef/>
      </w:r>
      <w:r>
        <w:t xml:space="preserve"> </w:t>
      </w:r>
      <w:r>
        <w:t xml:space="preserve">腓 2:6-8；路 1:31；林后 8:9；徒 2:24。</w:t>
      </w:r>
    </w:p>
  </w:footnote>
  <w:footnote w:id="677">
    <w:p>
      <w:pPr>
        <w:pStyle w:val="FootnoteText"/>
      </w:pPr>
      <w:r>
        <w:rPr>
          <w:rStyle w:val="FootnoteReference"/>
        </w:rPr>
        <w:footnoteRef/>
      </w:r>
      <w:r>
        <w:t xml:space="preserve"> </w:t>
      </w:r>
      <w:r>
        <w:t xml:space="preserve">约 1:14,18；加 4:4；路 2:7。</w:t>
      </w:r>
    </w:p>
  </w:footnote>
  <w:footnote w:id="678">
    <w:p>
      <w:pPr>
        <w:pStyle w:val="FootnoteText"/>
      </w:pPr>
      <w:r>
        <w:rPr>
          <w:rStyle w:val="FootnoteReference"/>
        </w:rPr>
        <w:footnoteRef/>
      </w:r>
      <w:r>
        <w:t xml:space="preserve"> </w:t>
      </w:r>
      <w:r>
        <w:t xml:space="preserve">加 4:4；太 5:17；罗 5:19；诗 22:6；来 12:2-3；太 4:1-12；路 4:13；来 2:17-18；来 4:15；赛 52:13-14。</w:t>
      </w:r>
    </w:p>
  </w:footnote>
  <w:footnote w:id="679">
    <w:p>
      <w:pPr>
        <w:pStyle w:val="FootnoteText"/>
      </w:pPr>
      <w:r>
        <w:rPr>
          <w:rStyle w:val="FootnoteReference"/>
        </w:rPr>
        <w:footnoteRef/>
      </w:r>
      <w:r>
        <w:t xml:space="preserve"> </w:t>
      </w:r>
      <w:r>
        <w:t xml:space="preserve">太 27:4；太 26:56；赛 53:2-3；太 27:26-50；约 19:34；路 22:44；太 27:46；赛 53:10；腓 2:8；来 12:2；加 3:13。</w:t>
      </w:r>
    </w:p>
  </w:footnote>
  <w:footnote w:id="680">
    <w:p>
      <w:pPr>
        <w:pStyle w:val="FootnoteText"/>
      </w:pPr>
      <w:r>
        <w:rPr>
          <w:rStyle w:val="FootnoteReference"/>
        </w:rPr>
        <w:footnoteRef/>
      </w:r>
      <w:r>
        <w:t xml:space="preserve"> </w:t>
      </w:r>
      <w:r>
        <w:t xml:space="preserve">林前 15:3-4；诗 16:10；徒 2:24-27,31；罗 6:9；太 12:40。</w:t>
      </w:r>
    </w:p>
  </w:footnote>
  <w:footnote w:id="681">
    <w:p>
      <w:pPr>
        <w:pStyle w:val="FootnoteText"/>
      </w:pPr>
      <w:r>
        <w:rPr>
          <w:rStyle w:val="FootnoteReference"/>
        </w:rPr>
        <w:footnoteRef/>
      </w:r>
      <w:r>
        <w:t xml:space="preserve"> </w:t>
      </w:r>
      <w:r>
        <w:t xml:space="preserve">林前 15:4；可 16:19；弗 1:20；徒 1:11；徒 17:31。</w:t>
      </w:r>
    </w:p>
  </w:footnote>
  <w:footnote w:id="682">
    <w:p>
      <w:pPr>
        <w:pStyle w:val="FootnoteText"/>
      </w:pPr>
      <w:r>
        <w:rPr>
          <w:rStyle w:val="FootnoteReference"/>
        </w:rPr>
        <w:footnoteRef/>
      </w:r>
      <w:r>
        <w:t xml:space="preserve"> </w:t>
      </w:r>
      <w:r>
        <w:t xml:space="preserve">徒 2:24,27；路 24:39；罗 6:9；启 1:18；约 10:18；罗 1:4；罗 8:34；来 2:14；罗 14:9；林前 15:21-22；弗 1:20,22-23；西 1:18；罗 4:25；弗 2:1,5-6；西 2:12；林前 15:25-27；林前 15:20。</w:t>
      </w:r>
    </w:p>
  </w:footnote>
  <w:footnote w:id="683">
    <w:p>
      <w:pPr>
        <w:pStyle w:val="FootnoteText"/>
      </w:pPr>
      <w:r>
        <w:rPr>
          <w:rStyle w:val="FootnoteReference"/>
        </w:rPr>
        <w:footnoteRef/>
      </w:r>
      <w:r>
        <w:t xml:space="preserve"> </w:t>
      </w:r>
      <w:r>
        <w:t xml:space="preserve">徒 1:2-3；太 28:19-20；来 6:20；弗 4:8；徒 1:9-11；弗 4:10；诗 68:18；西 3:1-2；约 14:3；徒 3:21。</w:t>
      </w:r>
    </w:p>
  </w:footnote>
  <w:footnote w:id="684">
    <w:p>
      <w:pPr>
        <w:pStyle w:val="FootnoteText"/>
      </w:pPr>
      <w:r>
        <w:rPr>
          <w:rStyle w:val="FootnoteReference"/>
        </w:rPr>
        <w:footnoteRef/>
      </w:r>
      <w:r>
        <w:t xml:space="preserve"> </w:t>
      </w:r>
      <w:r>
        <w:t xml:space="preserve">腓 2:9；徒 2:28；诗 16:11；约 17:5；弗 1:22；彼前 3:22；弗 4:10-12；诗 110:1；罗 8:34。</w:t>
      </w:r>
    </w:p>
  </w:footnote>
  <w:footnote w:id="685">
    <w:p>
      <w:pPr>
        <w:pStyle w:val="FootnoteText"/>
      </w:pPr>
      <w:r>
        <w:rPr>
          <w:rStyle w:val="FootnoteReference"/>
        </w:rPr>
        <w:footnoteRef/>
      </w:r>
      <w:r>
        <w:t xml:space="preserve"> </w:t>
      </w:r>
      <w:r>
        <w:t xml:space="preserve">来 9:12,24；来 1:3；约 3:16；约 17:9,20,24；罗 8:33-34；罗 5:1-2；约一 2:1-2；来 4:16；弗 1:6；彼前 2:5。</w:t>
      </w:r>
    </w:p>
  </w:footnote>
  <w:footnote w:id="686">
    <w:p>
      <w:pPr>
        <w:pStyle w:val="FootnoteText"/>
      </w:pPr>
      <w:r>
        <w:rPr>
          <w:rStyle w:val="FootnoteReference"/>
        </w:rPr>
        <w:footnoteRef/>
      </w:r>
      <w:r>
        <w:t xml:space="preserve"> </w:t>
      </w:r>
      <w:r>
        <w:t xml:space="preserve">徒 3:14-15；太 24:30；路 9:26；太 25:31；帖前 4:16；徒 17:31。</w:t>
      </w:r>
    </w:p>
  </w:footnote>
  <w:footnote w:id="687">
    <w:p>
      <w:pPr>
        <w:pStyle w:val="FootnoteText"/>
      </w:pPr>
      <w:r>
        <w:rPr>
          <w:rStyle w:val="FootnoteReference"/>
        </w:rPr>
        <w:footnoteRef/>
      </w:r>
      <w:r>
        <w:t xml:space="preserve"> </w:t>
      </w:r>
      <w:r>
        <w:t xml:space="preserve">来 9:12；林后 1:20。</w:t>
      </w:r>
    </w:p>
  </w:footnote>
  <w:footnote w:id="688">
    <w:p>
      <w:pPr>
        <w:pStyle w:val="FootnoteText"/>
      </w:pPr>
      <w:r>
        <w:rPr>
          <w:rStyle w:val="FootnoteReference"/>
        </w:rPr>
        <w:footnoteRef/>
      </w:r>
      <w:r>
        <w:t xml:space="preserve"> </w:t>
      </w:r>
      <w:r>
        <w:t xml:space="preserve">约 1:11-12；多 3:5-6。</w:t>
      </w:r>
    </w:p>
  </w:footnote>
  <w:footnote w:id="689">
    <w:p>
      <w:pPr>
        <w:pStyle w:val="FootnoteText"/>
      </w:pPr>
      <w:r>
        <w:rPr>
          <w:rStyle w:val="FootnoteReference"/>
        </w:rPr>
        <w:footnoteRef/>
      </w:r>
      <w:r>
        <w:t xml:space="preserve"> </w:t>
      </w:r>
      <w:r>
        <w:t xml:space="preserve">弗 1:13-14；约 6:37,39；约 10:15-16；弗 2:8；林后 4:13。</w:t>
      </w:r>
    </w:p>
  </w:footnote>
  <w:footnote w:id="690">
    <w:p>
      <w:pPr>
        <w:pStyle w:val="FootnoteText"/>
      </w:pPr>
      <w:r>
        <w:rPr>
          <w:rStyle w:val="FootnoteReference"/>
        </w:rPr>
        <w:footnoteRef/>
      </w:r>
      <w:r>
        <w:t xml:space="preserve"> </w:t>
      </w:r>
      <w:r>
        <w:t xml:space="preserve">罗 10:14；帖后 1:8-9；弗 2:12；约 1:10-12；约 8:24；可 16:16；林前 1:20-24；约 4:22；罗 9:31-32；腓 3:4-9；徒 4:12；弗 5:23。</w:t>
      </w:r>
    </w:p>
  </w:footnote>
  <w:footnote w:id="691">
    <w:p>
      <w:pPr>
        <w:pStyle w:val="FootnoteText"/>
      </w:pPr>
      <w:r>
        <w:rPr>
          <w:rStyle w:val="FootnoteReference"/>
        </w:rPr>
        <w:footnoteRef/>
      </w:r>
      <w:r>
        <w:t xml:space="preserve"> </w:t>
      </w:r>
      <w:r>
        <w:t xml:space="preserve">约 12:38-40；罗 9:6；太 22:14；太 7:21；罗 11:7。</w:t>
      </w:r>
    </w:p>
  </w:footnote>
  <w:footnote w:id="692">
    <w:p>
      <w:pPr>
        <w:pStyle w:val="FootnoteText"/>
      </w:pPr>
      <w:r>
        <w:rPr>
          <w:rStyle w:val="FootnoteReference"/>
        </w:rPr>
        <w:footnoteRef/>
      </w:r>
      <w:r>
        <w:t xml:space="preserve"> </w:t>
      </w:r>
      <w:r>
        <w:t xml:space="preserve">林前 1:2；林前 12:13；罗 15:9-12；启 7:9；诗 2:8；诗 22:27-31；诗 45:17；太 28:19-20；赛 59:21；林前 7:14；徒 2:39；罗 11:16；创 17:7。</w:t>
      </w:r>
    </w:p>
  </w:footnote>
  <w:footnote w:id="693">
    <w:p>
      <w:pPr>
        <w:pStyle w:val="FootnoteText"/>
      </w:pPr>
      <w:r>
        <w:rPr>
          <w:rStyle w:val="FootnoteReference"/>
        </w:rPr>
        <w:footnoteRef/>
      </w:r>
      <w:r>
        <w:t xml:space="preserve"> </w:t>
      </w:r>
      <w:r>
        <w:t xml:space="preserve">赛 4:5-6；提前 4:10；诗 115:1-18；赛 31:4-5；亚 12:2-4,8-9；徒 2:39,42；诗 147:19-20；罗 9:4；弗 4:11-12；可 16:15-16；约 6:37。</w:t>
      </w:r>
    </w:p>
  </w:footnote>
  <w:footnote w:id="694">
    <w:p>
      <w:pPr>
        <w:pStyle w:val="FootnoteText"/>
      </w:pPr>
      <w:r>
        <w:rPr>
          <w:rStyle w:val="FootnoteReference"/>
        </w:rPr>
        <w:footnoteRef/>
      </w:r>
      <w:r>
        <w:t xml:space="preserve"> </w:t>
      </w:r>
      <w:r>
        <w:t xml:space="preserve">弗 1:10,22-23；约 10:16；约 11:52。</w:t>
      </w:r>
    </w:p>
  </w:footnote>
  <w:footnote w:id="695">
    <w:p>
      <w:pPr>
        <w:pStyle w:val="FootnoteText"/>
      </w:pPr>
      <w:r>
        <w:rPr>
          <w:rStyle w:val="FootnoteReference"/>
        </w:rPr>
        <w:footnoteRef/>
      </w:r>
      <w:r>
        <w:t xml:space="preserve"> </w:t>
      </w:r>
      <w:r>
        <w:t xml:space="preserve">约 17:21；弗 2:5-6；约 17:24。</w:t>
      </w:r>
    </w:p>
  </w:footnote>
  <w:footnote w:id="696">
    <w:p>
      <w:pPr>
        <w:pStyle w:val="FootnoteText"/>
      </w:pPr>
      <w:r>
        <w:rPr>
          <w:rStyle w:val="FootnoteReference"/>
        </w:rPr>
        <w:footnoteRef/>
      </w:r>
      <w:r>
        <w:t xml:space="preserve"> </w:t>
      </w:r>
      <w:r>
        <w:t xml:space="preserve">弗 1:22；弗 2:6-8；林前 6:17；约 10:28；弗 5:23,30；彼前 5:10；林前 1:9。</w:t>
      </w:r>
    </w:p>
  </w:footnote>
  <w:footnote w:id="697">
    <w:p>
      <w:pPr>
        <w:pStyle w:val="FootnoteText"/>
      </w:pPr>
      <w:r>
        <w:rPr>
          <w:rStyle w:val="FootnoteReference"/>
        </w:rPr>
        <w:footnoteRef/>
      </w:r>
      <w:r>
        <w:t xml:space="preserve"> </w:t>
      </w:r>
      <w:r>
        <w:t xml:space="preserve">约 5:25；弗 1:18-20；提后 1:8-9；多 3:4-5；弗 2:4-5,7-9；罗 9:11；林后 5:20，林后 6:1-2；约 6:44；帖后 2:13-14；徒 26:18；林前 2:10,12；结 11:19；结 36:26-27；约 6:45；弗 2:5；腓 2:13；申 30:6。</w:t>
      </w:r>
    </w:p>
  </w:footnote>
  <w:footnote w:id="698">
    <w:p>
      <w:pPr>
        <w:pStyle w:val="FootnoteText"/>
      </w:pPr>
      <w:r>
        <w:rPr>
          <w:rStyle w:val="FootnoteReference"/>
        </w:rPr>
        <w:footnoteRef/>
      </w:r>
      <w:r>
        <w:t xml:space="preserve"> </w:t>
      </w:r>
      <w:r>
        <w:t xml:space="preserve">徒 13:48；太 22:14；太 7:22；太 13:20-21；来 6:4-6；约 12:38-40；徒 28:25-27；约 6:64-65；诗 81:11-12。</w:t>
      </w:r>
    </w:p>
  </w:footnote>
  <w:footnote w:id="699">
    <w:p>
      <w:pPr>
        <w:pStyle w:val="FootnoteText"/>
      </w:pPr>
      <w:r>
        <w:rPr>
          <w:rStyle w:val="FootnoteReference"/>
        </w:rPr>
        <w:footnoteRef/>
      </w:r>
      <w:r>
        <w:t xml:space="preserve"> </w:t>
      </w:r>
      <w:r>
        <w:t xml:space="preserve">罗 8:30；弗 1:5；林前 1:30。</w:t>
      </w:r>
    </w:p>
  </w:footnote>
  <w:footnote w:id="700">
    <w:p>
      <w:pPr>
        <w:pStyle w:val="FootnoteText"/>
      </w:pPr>
      <w:r>
        <w:rPr>
          <w:rStyle w:val="FootnoteReference"/>
        </w:rPr>
        <w:footnoteRef/>
      </w:r>
      <w:r>
        <w:t xml:space="preserve"> </w:t>
      </w:r>
      <w:r>
        <w:t xml:space="preserve">罗 3:22,24-25；罗 4:5；林后 5:19,21；罗 3:22,24-25,27-28；多 3:5,7；弗 1:7；罗 5:17-19；罗 4:6-8；徒 10:43；加 2:16；腓 3:9。</w:t>
      </w:r>
    </w:p>
  </w:footnote>
  <w:footnote w:id="701">
    <w:p>
      <w:pPr>
        <w:pStyle w:val="FootnoteText"/>
      </w:pPr>
      <w:r>
        <w:rPr>
          <w:rStyle w:val="FootnoteReference"/>
        </w:rPr>
        <w:footnoteRef/>
      </w:r>
      <w:r>
        <w:t xml:space="preserve"> </w:t>
      </w:r>
      <w:r>
        <w:t xml:space="preserve">罗 5:8-10,19；提前 2:5-6；来 10:10；太 20:28；但 9:24,26；赛 53:4-6；赛 53:10-12；来 7:22；罗 8:32；彼前 1:18-19；林后 5:21；罗 3:24-25；弗 2:8；弗 1:7。</w:t>
      </w:r>
    </w:p>
  </w:footnote>
  <w:footnote w:id="702">
    <w:p>
      <w:pPr>
        <w:pStyle w:val="FootnoteText"/>
      </w:pPr>
      <w:r>
        <w:rPr>
          <w:rStyle w:val="FootnoteReference"/>
        </w:rPr>
        <w:footnoteRef/>
      </w:r>
      <w:r>
        <w:t xml:space="preserve"> </w:t>
      </w:r>
      <w:r>
        <w:t xml:space="preserve">来 10:39；林后 4:13；弗 1:17-19；罗 10:14,17；徒 2:37；徒 16:30；约 16:8-9；罗 5:6；弗 2:1；徒 4:12；弗 1:13；约 1:12；徒 16:31；徒 10:43；腓 3:9；徒 15:11。</w:t>
      </w:r>
    </w:p>
  </w:footnote>
  <w:footnote w:id="703">
    <w:p>
      <w:pPr>
        <w:pStyle w:val="FootnoteText"/>
      </w:pPr>
      <w:r>
        <w:rPr>
          <w:rStyle w:val="FootnoteReference"/>
        </w:rPr>
        <w:footnoteRef/>
      </w:r>
      <w:r>
        <w:t xml:space="preserve"> </w:t>
      </w:r>
      <w:r>
        <w:t xml:space="preserve">加 3:11；罗 3:28；罗 4:5；罗 10:10；约 1:12；腓 3:9；加 2:16。</w:t>
      </w:r>
    </w:p>
  </w:footnote>
  <w:footnote w:id="704">
    <w:p>
      <w:pPr>
        <w:pStyle w:val="FootnoteText"/>
      </w:pPr>
      <w:r>
        <w:rPr>
          <w:rStyle w:val="FootnoteReference"/>
        </w:rPr>
        <w:footnoteRef/>
      </w:r>
      <w:r>
        <w:t xml:space="preserve"> </w:t>
      </w:r>
      <w:r>
        <w:t xml:space="preserve">约一 3:1；弗 1:5；加 4:4-5；约 1:12；林后 6:18；启 3:12；加 4:6；诗 103:13；箴 14:26；太 6:32；来 6:12；罗 8:17。</w:t>
      </w:r>
    </w:p>
  </w:footnote>
  <w:footnote w:id="705">
    <w:p>
      <w:pPr>
        <w:pStyle w:val="FootnoteText"/>
      </w:pPr>
      <w:r>
        <w:rPr>
          <w:rStyle w:val="FootnoteReference"/>
        </w:rPr>
        <w:footnoteRef/>
      </w:r>
      <w:r>
        <w:t xml:space="preserve"> </w:t>
      </w:r>
      <w:r>
        <w:t xml:space="preserve">弗 1:4；林前 6:11；帖后 2:13；罗 6:4-6；弗 4:23-24；徒 11:18；约一 3:9；犹 1:20；来 6:11-12；弗 3:16-19；西 1:10-11；罗 6:4,6,14；加 5:24。</w:t>
      </w:r>
    </w:p>
  </w:footnote>
  <w:footnote w:id="706">
    <w:p>
      <w:pPr>
        <w:pStyle w:val="FootnoteText"/>
      </w:pPr>
      <w:r>
        <w:rPr>
          <w:rStyle w:val="FootnoteReference"/>
        </w:rPr>
        <w:footnoteRef/>
      </w:r>
      <w:r>
        <w:t xml:space="preserve"> </w:t>
      </w:r>
      <w:r>
        <w:t xml:space="preserve">提后 2:25；亚 12:10；徒 11:18,20-21；结 18:28,30,32；路 15:17-18；何 2:6-7；结 36:31；赛 30:22；珥 2:12-13；耶 31:18-19；林后 7:11；徒 26:18；结 14:6；王上 8:47-48；诗 119:6,59,128；路 1:6；王下 23:25。</w:t>
      </w:r>
    </w:p>
  </w:footnote>
  <w:footnote w:id="707">
    <w:p>
      <w:pPr>
        <w:pStyle w:val="FootnoteText"/>
      </w:pPr>
      <w:r>
        <w:rPr>
          <w:rStyle w:val="FootnoteReference"/>
        </w:rPr>
        <w:footnoteRef/>
      </w:r>
      <w:r>
        <w:t xml:space="preserve"> </w:t>
      </w:r>
      <w:r>
        <w:t xml:space="preserve">林前 6:11；林前 1:30；罗 4:6,8；结 36:27；罗 3:24-25；罗 6:6,14；罗 8:33-34；约一 2:12-14；来 5:12-14；约一 1:8,10；林后 7:1；腓 3:12-14。</w:t>
      </w:r>
    </w:p>
  </w:footnote>
  <w:footnote w:id="708">
    <w:p>
      <w:pPr>
        <w:pStyle w:val="FootnoteText"/>
      </w:pPr>
      <w:r>
        <w:rPr>
          <w:rStyle w:val="FootnoteReference"/>
        </w:rPr>
        <w:footnoteRef/>
      </w:r>
      <w:r>
        <w:t xml:space="preserve"> </w:t>
      </w:r>
      <w:r>
        <w:t xml:space="preserve">罗 7:18,23；可 14:66-72；加 2:11-12；来 12:1；赛 64:6；出 28:38。</w:t>
      </w:r>
    </w:p>
  </w:footnote>
  <w:footnote w:id="709">
    <w:p>
      <w:pPr>
        <w:pStyle w:val="FootnoteText"/>
      </w:pPr>
      <w:r>
        <w:rPr>
          <w:rStyle w:val="FootnoteReference"/>
        </w:rPr>
        <w:footnoteRef/>
      </w:r>
      <w:r>
        <w:t xml:space="preserve"> </w:t>
      </w:r>
      <w:r>
        <w:t xml:space="preserve">耶 31:3；提后 2:19；来 13:20-21；撒下 23:5；林前 1:8-9；来 7:25；路 22:32；约一 3:9；约一 2:27；耶 32:40；约 10:28；彼前 1:5。</w:t>
      </w:r>
    </w:p>
  </w:footnote>
  <w:footnote w:id="710">
    <w:p>
      <w:pPr>
        <w:pStyle w:val="FootnoteText"/>
      </w:pPr>
      <w:r>
        <w:rPr>
          <w:rStyle w:val="FootnoteReference"/>
        </w:rPr>
        <w:footnoteRef/>
      </w:r>
      <w:r>
        <w:t xml:space="preserve"> </w:t>
      </w:r>
      <w:r>
        <w:t xml:space="preserve">约一 2:3；林前 2:12；约一 3:14,18-19,21,24；约一 4:13,16；来 6:11-12；罗 8:16；约一 5:13。</w:t>
      </w:r>
    </w:p>
  </w:footnote>
  <w:footnote w:id="711">
    <w:p>
      <w:pPr>
        <w:pStyle w:val="FootnoteText"/>
      </w:pPr>
      <w:r>
        <w:rPr>
          <w:rStyle w:val="FootnoteReference"/>
        </w:rPr>
        <w:footnoteRef/>
      </w:r>
      <w:r>
        <w:t xml:space="preserve"> </w:t>
      </w:r>
      <w:r>
        <w:t xml:space="preserve">弗 1:13；赛 1:10；诗 88:1-18；诗 77:1-12；歌 5:2-3,6；诗 51:8,12；诗 31:22；诗 22:1；约一 3:9；伯 13:15；诗 73:15,23；赛 54:7-10。</w:t>
      </w:r>
    </w:p>
  </w:footnote>
  <w:footnote w:id="712">
    <w:p>
      <w:pPr>
        <w:pStyle w:val="FootnoteText"/>
      </w:pPr>
      <w:r>
        <w:rPr>
          <w:rStyle w:val="FootnoteReference"/>
        </w:rPr>
        <w:footnoteRef/>
      </w:r>
      <w:r>
        <w:t xml:space="preserve"> </w:t>
      </w:r>
      <w:r>
        <w:t xml:space="preserve">林后 3:18；路 23:43；帖前 4:17。</w:t>
      </w:r>
    </w:p>
  </w:footnote>
  <w:footnote w:id="713">
    <w:p>
      <w:pPr>
        <w:pStyle w:val="FootnoteText"/>
      </w:pPr>
      <w:r>
        <w:rPr>
          <w:rStyle w:val="FootnoteReference"/>
        </w:rPr>
        <w:footnoteRef/>
      </w:r>
      <w:r>
        <w:t xml:space="preserve"> </w:t>
      </w:r>
      <w:r>
        <w:t xml:space="preserve">弗 2:6；罗 5:5 与林后 1:22；罗 5:1-2；罗 14:17；创 4:13；太 27:4；来 10:27；罗 2:9；可 9:44。</w:t>
      </w:r>
    </w:p>
  </w:footnote>
  <w:footnote w:id="714">
    <w:p>
      <w:pPr>
        <w:pStyle w:val="FootnoteText"/>
      </w:pPr>
      <w:r>
        <w:rPr>
          <w:rStyle w:val="FootnoteReference"/>
        </w:rPr>
        <w:footnoteRef/>
      </w:r>
      <w:r>
        <w:t xml:space="preserve"> </w:t>
      </w:r>
      <w:r>
        <w:t xml:space="preserve">罗 6:23；来 9:27；罗 5:12。</w:t>
      </w:r>
    </w:p>
  </w:footnote>
  <w:footnote w:id="715">
    <w:p>
      <w:pPr>
        <w:pStyle w:val="FootnoteText"/>
      </w:pPr>
      <w:r>
        <w:rPr>
          <w:rStyle w:val="FootnoteReference"/>
        </w:rPr>
        <w:footnoteRef/>
      </w:r>
      <w:r>
        <w:t xml:space="preserve"> </w:t>
      </w:r>
      <w:r>
        <w:t xml:space="preserve">林前 15:26,55-57；来 2:15；赛 57:1-2；王下 22:20；启 14:13；弗 5:27；路 23:43；腓 1:23。</w:t>
      </w:r>
    </w:p>
  </w:footnote>
  <w:footnote w:id="716">
    <w:p>
      <w:pPr>
        <w:pStyle w:val="FootnoteText"/>
      </w:pPr>
      <w:r>
        <w:rPr>
          <w:rStyle w:val="FootnoteReference"/>
        </w:rPr>
        <w:footnoteRef/>
      </w:r>
      <w:r>
        <w:t xml:space="preserve"> </w:t>
      </w:r>
      <w:r>
        <w:t xml:space="preserve">来 12:23；林后 5:1,6,8；腓 1:23；徒 3:21；弗 4:10；约一 3:2；林前 13:12；罗 8:23；诗 16:9；帖前 4:14；赛 57:2；伯 19:26-27；路 16:23-24；徒 1:25；犹 1:6-7。</w:t>
      </w:r>
    </w:p>
  </w:footnote>
  <w:footnote w:id="717">
    <w:p>
      <w:pPr>
        <w:pStyle w:val="FootnoteText"/>
      </w:pPr>
      <w:r>
        <w:rPr>
          <w:rStyle w:val="FootnoteReference"/>
        </w:rPr>
        <w:footnoteRef/>
      </w:r>
      <w:r>
        <w:t xml:space="preserve"> </w:t>
      </w:r>
      <w:r>
        <w:t xml:space="preserve">徒 24:15；林前 15:51-53；帖前 4:15-17；约 5:28-29；林前 15:21-23,42-44；腓 3:21；约 5:27-29；太 25:33。</w:t>
      </w:r>
    </w:p>
  </w:footnote>
  <w:footnote w:id="718">
    <w:p>
      <w:pPr>
        <w:pStyle w:val="FootnoteText"/>
      </w:pPr>
      <w:r>
        <w:rPr>
          <w:rStyle w:val="FootnoteReference"/>
        </w:rPr>
        <w:footnoteRef/>
      </w:r>
      <w:r>
        <w:t xml:space="preserve"> </w:t>
      </w:r>
      <w:r>
        <w:t xml:space="preserve">彼后 2:4；犹 1:6-7,14-15；太 25:46；太 24:36,42,44；路 21:35-36。</w:t>
      </w:r>
    </w:p>
  </w:footnote>
  <w:footnote w:id="719">
    <w:p>
      <w:pPr>
        <w:pStyle w:val="FootnoteText"/>
      </w:pPr>
      <w:r>
        <w:rPr>
          <w:rStyle w:val="FootnoteReference"/>
        </w:rPr>
        <w:footnoteRef/>
      </w:r>
      <w:r>
        <w:t xml:space="preserve"> </w:t>
      </w:r>
      <w:r>
        <w:t xml:space="preserve">太 25:33；罗 2:15-16；太 25:41-43；路 16:26；帖后 1:8-9。</w:t>
      </w:r>
    </w:p>
  </w:footnote>
  <w:footnote w:id="720">
    <w:p>
      <w:pPr>
        <w:pStyle w:val="FootnoteText"/>
      </w:pPr>
      <w:r>
        <w:rPr>
          <w:rStyle w:val="FootnoteReference"/>
        </w:rPr>
        <w:footnoteRef/>
      </w:r>
      <w:r>
        <w:t xml:space="preserve"> </w:t>
      </w:r>
      <w:r>
        <w:t xml:space="preserve">帖前 4:17；太 25:33；太 10:32；林前 6:2-3；太 25:34,46；弗 5:27；启 14:13；诗 16:11；来 12:22-23；约一 3:2；林前 13:12；帖前 4:17-18。</w:t>
      </w:r>
    </w:p>
  </w:footnote>
  <w:footnote w:id="721">
    <w:p>
      <w:pPr>
        <w:pStyle w:val="FootnoteText"/>
      </w:pPr>
      <w:r>
        <w:rPr>
          <w:rStyle w:val="FootnoteReference"/>
        </w:rPr>
        <w:footnoteRef/>
      </w:r>
      <w:r>
        <w:t xml:space="preserve"> </w:t>
      </w:r>
      <w:r>
        <w:t xml:space="preserve">既已明白圣经主要教导我们信神的真理，接下来要思想圣经对人本分的要求</w:t>
      </w:r>
    </w:p>
  </w:footnote>
  <w:footnote w:id="722">
    <w:p>
      <w:pPr>
        <w:pStyle w:val="FootnoteText"/>
      </w:pPr>
      <w:r>
        <w:rPr>
          <w:rStyle w:val="FootnoteReference"/>
        </w:rPr>
        <w:footnoteRef/>
      </w:r>
      <w:r>
        <w:t xml:space="preserve"> </w:t>
      </w:r>
      <w:r>
        <w:t xml:space="preserve">罗 12:1-2；弥 6:8；撒上 15:22。</w:t>
      </w:r>
    </w:p>
  </w:footnote>
  <w:footnote w:id="723">
    <w:p>
      <w:pPr>
        <w:pStyle w:val="FootnoteText"/>
      </w:pPr>
      <w:r>
        <w:rPr>
          <w:rStyle w:val="FootnoteReference"/>
        </w:rPr>
        <w:footnoteRef/>
      </w:r>
      <w:r>
        <w:t xml:space="preserve"> </w:t>
      </w:r>
      <w:r>
        <w:t xml:space="preserve">创 1:26-27；罗 2:14-15；罗 10:5；创 2:17。</w:t>
      </w:r>
    </w:p>
  </w:footnote>
  <w:footnote w:id="724">
    <w:p>
      <w:pPr>
        <w:pStyle w:val="FootnoteText"/>
      </w:pPr>
      <w:r>
        <w:rPr>
          <w:rStyle w:val="FootnoteReference"/>
        </w:rPr>
        <w:footnoteRef/>
      </w:r>
      <w:r>
        <w:t xml:space="preserve"> </w:t>
      </w:r>
      <w:r>
        <w:t xml:space="preserve">违背的必死亡。</w:t>
      </w:r>
    </w:p>
  </w:footnote>
  <w:footnote w:id="725">
    <w:p>
      <w:pPr>
        <w:pStyle w:val="FootnoteText"/>
      </w:pPr>
      <w:r>
        <w:rPr>
          <w:rStyle w:val="FootnoteReference"/>
        </w:rPr>
        <w:footnoteRef/>
      </w:r>
      <w:r>
        <w:t xml:space="preserve"> </w:t>
      </w:r>
      <w:r>
        <w:t xml:space="preserve">申 5:1-3,31,33；路 10:26-27；加 3:10；帖前 5:23；路 1:75；徒 24:16；罗 10:5；加 3:10,12。</w:t>
      </w:r>
    </w:p>
  </w:footnote>
  <w:footnote w:id="726">
    <w:p>
      <w:pPr>
        <w:pStyle w:val="FootnoteText"/>
      </w:pPr>
      <w:r>
        <w:rPr>
          <w:rStyle w:val="FootnoteReference"/>
        </w:rPr>
        <w:footnoteRef/>
      </w:r>
      <w:r>
        <w:t xml:space="preserve"> </w:t>
      </w:r>
      <w:r>
        <w:t xml:space="preserve">罗 8:3；加 2:16；提前 1:8。</w:t>
      </w:r>
    </w:p>
  </w:footnote>
  <w:footnote w:id="727">
    <w:p>
      <w:pPr>
        <w:pStyle w:val="FootnoteText"/>
      </w:pPr>
      <w:r>
        <w:rPr>
          <w:rStyle w:val="FootnoteReference"/>
        </w:rPr>
        <w:footnoteRef/>
      </w:r>
      <w:r>
        <w:t xml:space="preserve"> </w:t>
      </w:r>
      <w:r>
        <w:t xml:space="preserve">需要他完全的顺服。</w:t>
      </w:r>
    </w:p>
  </w:footnote>
  <w:footnote w:id="728">
    <w:p>
      <w:pPr>
        <w:pStyle w:val="FootnoteText"/>
      </w:pPr>
      <w:r>
        <w:rPr>
          <w:rStyle w:val="FootnoteReference"/>
        </w:rPr>
        <w:footnoteRef/>
      </w:r>
      <w:r>
        <w:t xml:space="preserve"> </w:t>
      </w:r>
      <w:r>
        <w:t xml:space="preserve">利 11:44-45；利 20:7-8；罗 7:12；弥 6:8；雅 2:10-11；诗 19:11-12；罗 3:20；罗 7:7；罗 3:9,23；加 3:21-22；罗 10:4。</w:t>
      </w:r>
    </w:p>
  </w:footnote>
  <w:footnote w:id="729">
    <w:p>
      <w:pPr>
        <w:pStyle w:val="FootnoteText"/>
      </w:pPr>
      <w:r>
        <w:rPr>
          <w:rStyle w:val="FootnoteReference"/>
        </w:rPr>
        <w:footnoteRef/>
      </w:r>
      <w:r>
        <w:t xml:space="preserve"> </w:t>
      </w:r>
      <w:r>
        <w:t xml:space="preserve">提前 1:9-10；加 3:24；罗 1:20；罗 2:15；加 3:10。</w:t>
      </w:r>
    </w:p>
  </w:footnote>
  <w:footnote w:id="730">
    <w:p>
      <w:pPr>
        <w:pStyle w:val="FootnoteText"/>
      </w:pPr>
      <w:r>
        <w:rPr>
          <w:rStyle w:val="FootnoteReference"/>
        </w:rPr>
        <w:footnoteRef/>
      </w:r>
      <w:r>
        <w:t xml:space="preserve"> </w:t>
      </w:r>
      <w:r>
        <w:t xml:space="preserve">罗 6:14；罗 7:4,6；加 4:4-5；罗 3:20；加 5:23；罗 8:1；罗 7:24-25；加 3:13-14；罗 8:3-4；路 1:68-69,74-75；西 1:12-14；罗 7:22；罗 12:2；多 2:11-14。</w:t>
      </w:r>
    </w:p>
  </w:footnote>
  <w:footnote w:id="731">
    <w:p>
      <w:pPr>
        <w:pStyle w:val="FootnoteText"/>
      </w:pPr>
      <w:r>
        <w:rPr>
          <w:rStyle w:val="FootnoteReference"/>
        </w:rPr>
        <w:footnoteRef/>
      </w:r>
      <w:r>
        <w:t xml:space="preserve"> </w:t>
      </w:r>
      <w:r>
        <w:t xml:space="preserve">申 10:4；出 34:1-4；太 22:37-40。</w:t>
      </w:r>
    </w:p>
  </w:footnote>
  <w:footnote w:id="732">
    <w:p>
      <w:pPr>
        <w:pStyle w:val="FootnoteText"/>
      </w:pPr>
      <w:r>
        <w:rPr>
          <w:rStyle w:val="FootnoteReference"/>
        </w:rPr>
        <w:footnoteRef/>
      </w:r>
    </w:p>
    <w:p>
      <w:pPr>
        <w:pStyle w:val="Compact"/>
        <w:numPr>
          <w:ilvl w:val="0"/>
          <w:numId w:val="1001"/>
        </w:numPr>
      </w:pPr>
      <w:r>
        <w:t xml:space="preserve">律法是完全的，约束每个人在全人位格上完全符合其公义，永远完全顺服；要求每项本分都尽善尽美，禁止任何程度的罪。</w:t>
      </w:r>
    </w:p>
  </w:footnote>
  <w:footnote w:id="733">
    <w:p>
      <w:pPr>
        <w:pStyle w:val="FootnoteText"/>
      </w:pPr>
      <w:r>
        <w:rPr>
          <w:rStyle w:val="FootnoteReference"/>
        </w:rPr>
        <w:footnoteRef/>
      </w:r>
    </w:p>
    <w:p>
      <w:pPr>
        <w:pStyle w:val="Compact"/>
        <w:numPr>
          <w:ilvl w:val="0"/>
          <w:numId w:val="1002"/>
        </w:numPr>
      </w:pPr>
      <w:r>
        <w:t xml:space="preserve">律法是属灵的，因此涉及悟性、意志、情感和灵魂的其他一切能力；也涉及言语、行为和举止。</w:t>
      </w:r>
    </w:p>
  </w:footnote>
  <w:footnote w:id="734">
    <w:p>
      <w:pPr>
        <w:pStyle w:val="FootnoteText"/>
      </w:pPr>
      <w:r>
        <w:rPr>
          <w:rStyle w:val="FootnoteReference"/>
        </w:rPr>
        <w:footnoteRef/>
      </w:r>
    </w:p>
    <w:p>
      <w:pPr>
        <w:pStyle w:val="Compact"/>
        <w:numPr>
          <w:ilvl w:val="0"/>
          <w:numId w:val="1003"/>
        </w:numPr>
      </w:pPr>
      <w:r>
        <w:t xml:space="preserve">同一件事在不同方面可能在几条诫命中被要求或禁止。</w:t>
      </w:r>
    </w:p>
  </w:footnote>
  <w:footnote w:id="735">
    <w:p>
      <w:pPr>
        <w:pStyle w:val="FootnoteText"/>
      </w:pPr>
      <w:r>
        <w:rPr>
          <w:rStyle w:val="FootnoteReference"/>
        </w:rPr>
        <w:footnoteRef/>
      </w:r>
    </w:p>
    <w:p>
      <w:pPr>
        <w:pStyle w:val="Compact"/>
        <w:numPr>
          <w:ilvl w:val="0"/>
          <w:numId w:val="1004"/>
        </w:numPr>
      </w:pPr>
      <w:r>
        <w:t xml:space="preserve">凡命令尽的本分，就禁止相反的罪；凡禁止的罪，就命令相反的本分。同样，凡附带应许的，就包含相反的警告；凡附带警告的，就包含相反的应许。</w:t>
      </w:r>
    </w:p>
  </w:footnote>
  <w:footnote w:id="736">
    <w:p>
      <w:pPr>
        <w:pStyle w:val="FootnoteText"/>
      </w:pPr>
      <w:r>
        <w:rPr>
          <w:rStyle w:val="FootnoteReference"/>
        </w:rPr>
        <w:footnoteRef/>
      </w:r>
    </w:p>
    <w:p>
      <w:pPr>
        <w:pStyle w:val="Compact"/>
        <w:numPr>
          <w:ilvl w:val="0"/>
          <w:numId w:val="1005"/>
        </w:numPr>
      </w:pPr>
      <w:r>
        <w:t xml:space="preserve">神所禁止的，在任何时候都不可行；神所命令的，永远是我们的本分；但并非每项具体的本分都要在任何时候行。</w:t>
      </w:r>
    </w:p>
  </w:footnote>
  <w:footnote w:id="737">
    <w:p>
      <w:pPr>
        <w:pStyle w:val="FootnoteText"/>
      </w:pPr>
      <w:r>
        <w:rPr>
          <w:rStyle w:val="FootnoteReference"/>
        </w:rPr>
        <w:footnoteRef/>
      </w:r>
    </w:p>
    <w:p>
      <w:pPr>
        <w:pStyle w:val="Compact"/>
        <w:numPr>
          <w:ilvl w:val="0"/>
          <w:numId w:val="1006"/>
        </w:numPr>
      </w:pPr>
      <w:r>
        <w:t xml:space="preserve">在一种罪或本分之下，同类的都被禁止或命令；连同一切原因、方式、机会、表现和诱因。</w:t>
      </w:r>
    </w:p>
  </w:footnote>
  <w:footnote w:id="738">
    <w:p>
      <w:pPr>
        <w:pStyle w:val="FootnoteText"/>
      </w:pPr>
      <w:r>
        <w:rPr>
          <w:rStyle w:val="FootnoteReference"/>
        </w:rPr>
        <w:footnoteRef/>
      </w:r>
    </w:p>
    <w:p>
      <w:pPr>
        <w:pStyle w:val="Compact"/>
        <w:numPr>
          <w:ilvl w:val="0"/>
          <w:numId w:val="1007"/>
        </w:numPr>
      </w:pPr>
      <w:r>
        <w:t xml:space="preserve">凡向我们禁止或命令的，我们都有责任按各自的地位，努力使别人也按其地位的本分避免或遵行。</w:t>
      </w:r>
    </w:p>
  </w:footnote>
  <w:footnote w:id="739">
    <w:p>
      <w:pPr>
        <w:pStyle w:val="FootnoteText"/>
      </w:pPr>
      <w:r>
        <w:rPr>
          <w:rStyle w:val="FootnoteReference"/>
        </w:rPr>
        <w:footnoteRef/>
      </w:r>
    </w:p>
    <w:p>
      <w:pPr>
        <w:pStyle w:val="Compact"/>
        <w:numPr>
          <w:ilvl w:val="0"/>
          <w:numId w:val="1008"/>
        </w:numPr>
      </w:pPr>
      <w:r>
        <w:t xml:space="preserve">凡向别人所命令的，我们都有责任按各自的地位和呼召帮助他们；也要谨慎，不要在别人被禁止的事上有分。</w:t>
      </w:r>
    </w:p>
  </w:footnote>
  <w:footnote w:id="740">
    <w:p>
      <w:pPr>
        <w:pStyle w:val="FootnoteText"/>
      </w:pPr>
      <w:r>
        <w:rPr>
          <w:rStyle w:val="FootnoteReference"/>
        </w:rPr>
        <w:footnoteRef/>
      </w:r>
      <w:r>
        <w:t xml:space="preserve"> </w:t>
      </w:r>
      <w:r>
        <w:t xml:space="preserve">诗 19:7；雅 2:10；太 5:21-22；罗 7:14；申 6:5；太 22:37-39；太 5:27-28,33-34,37-39,43-44；西 3:5；摩 8:5；箴 1:19；提前 6:10；赛 58:13；申 6:13；太 4:9-10；太 15:4-6；太 5:21-24；弗 4:28；出 20:12；箴 30:17；耶 18:7-8；出 20:7；诗 15:1,4-5；诗 24:4-5；伯 13:7-8；罗 3:8；伯 36:21；来 11:25；申 4:8-9；太 12:7；太 5:21-22,27-28；太 15:4-6；来 10:24-25；帖前 5:22；犹 1:23；加 5:26；西 3:21；出 20:10；利 19:17；创 18:19；书 24:15；申 6:6-7；林后 1:24；提前 5:22；弗 5:11。</w:t>
      </w:r>
    </w:p>
  </w:footnote>
  <w:footnote w:id="741">
    <w:p>
      <w:pPr>
        <w:pStyle w:val="FootnoteText"/>
      </w:pPr>
      <w:r>
        <w:rPr>
          <w:rStyle w:val="FootnoteReference"/>
        </w:rPr>
        <w:footnoteRef/>
      </w:r>
      <w:r>
        <w:t xml:space="preserve"> </w:t>
      </w:r>
      <w:r>
        <w:t xml:space="preserve">出 20:2；赛 44:6；出 3:14；出 6:3；徒 17:24,28；创 17:7；罗 3:29；路 1:74-75；彼前 1:15-18；利 18:30；利 19:37。</w:t>
      </w:r>
    </w:p>
  </w:footnote>
  <w:footnote w:id="742">
    <w:p>
      <w:pPr>
        <w:pStyle w:val="FootnoteText"/>
      </w:pPr>
      <w:r>
        <w:rPr>
          <w:rStyle w:val="FootnoteReference"/>
        </w:rPr>
        <w:footnoteRef/>
      </w:r>
      <w:r>
        <w:t xml:space="preserve"> </w:t>
      </w:r>
      <w:r>
        <w:t xml:space="preserve">路 10:27。</w:t>
      </w:r>
    </w:p>
  </w:footnote>
  <w:footnote w:id="743">
    <w:p>
      <w:pPr>
        <w:pStyle w:val="FootnoteText"/>
      </w:pPr>
      <w:r>
        <w:rPr>
          <w:rStyle w:val="FootnoteReference"/>
        </w:rPr>
        <w:footnoteRef/>
      </w:r>
      <w:r>
        <w:t xml:space="preserve"> </w:t>
      </w:r>
      <w:r>
        <w:t xml:space="preserve">出 20:3。</w:t>
      </w:r>
    </w:p>
  </w:footnote>
  <w:footnote w:id="744">
    <w:p>
      <w:pPr>
        <w:pStyle w:val="FootnoteText"/>
      </w:pPr>
      <w:r>
        <w:rPr>
          <w:rStyle w:val="FootnoteReference"/>
        </w:rPr>
        <w:footnoteRef/>
      </w:r>
      <w:r>
        <w:t xml:space="preserve"> </w:t>
      </w:r>
      <w:r>
        <w:t xml:space="preserve">代上 28:9；申 26:17；赛 43:10；耶 14:22；诗 95:6-7；太 4:10；诗 29:2；玛 3:16；诗 63:6；传 12:1；诗 71:19；玛 1:6；赛 45:23；书 24:15,22；申 6:5；诗 123:25；赛 8:13；出 14:31；赛 26:4；诗 130:7；诗 37:4；诗 32:11；罗 12:11；民 25:11；腓 4:6；耶 7:23；雅 4:7；约一 3:22；耶 31:18；诗 119:136；弥 6:8。</w:t>
      </w:r>
    </w:p>
  </w:footnote>
  <w:footnote w:id="745">
    <w:p>
      <w:pPr>
        <w:pStyle w:val="FootnoteText"/>
      </w:pPr>
      <w:r>
        <w:rPr>
          <w:rStyle w:val="FootnoteReference"/>
        </w:rPr>
        <w:footnoteRef/>
      </w:r>
      <w:r>
        <w:t xml:space="preserve"> </w:t>
      </w:r>
      <w:r>
        <w:t xml:space="preserve">诗 14:1；弗 2:12；耶 2:27-28；帖前 1:9；诗 81:11；赛 43:22-24；耶 4:22；何 4:1,6；耶 2:32；徒 17:23,29；赛 40:18；诗 1:21；申 29:29；多 1:16；来 12:16；罗 1:30；提后 3:2；腓 2:21；约一 2:15-16；撒上 2:29；西 3:2,5；约一 4:1；来 3:12；加 5:20；多 3:10；徒 26:9；诗 78:22；创 4:13；耶 5:3；赛 42:25；罗 2:5；耶 13:15；诗 19:13；番 1:12；太 4:7；罗 3:8；耶 17:5；提后 3:4；加 4:17；约 16:2；罗 10:2；路 9:54-55；启 3:16；启 3:1；结 14:5；赛 1:4-5；罗 10:13-14；何 4:12；徒 10:25-26；启 19:10；太 4:10；西 2:18；罗 1:25；利 20:6；撒上 28:7,11；代上 10:13-14；徒 5:3；林后 1:24；太 23:9；申 32:15；撒下 12:9；箴 13:13；徒 7:51；弗 4:30；诗 73:2-3,13-15,22；伯 1:22；撒上 6:7-9；但 5:23；申 8:17；但 4:30；哈 1:16。</w:t>
      </w:r>
    </w:p>
  </w:footnote>
  <w:footnote w:id="746">
    <w:p>
      <w:pPr>
        <w:pStyle w:val="FootnoteText"/>
      </w:pPr>
      <w:r>
        <w:rPr>
          <w:rStyle w:val="FootnoteReference"/>
        </w:rPr>
        <w:footnoteRef/>
      </w:r>
      <w:r>
        <w:t xml:space="preserve"> </w:t>
      </w:r>
      <w:r>
        <w:t xml:space="preserve">结 8:5-18；诗 44:20-21；代上 28:9。</w:t>
      </w:r>
    </w:p>
  </w:footnote>
  <w:footnote w:id="747">
    <w:p>
      <w:pPr>
        <w:pStyle w:val="FootnoteText"/>
      </w:pPr>
      <w:r>
        <w:rPr>
          <w:rStyle w:val="FootnoteReference"/>
        </w:rPr>
        <w:footnoteRef/>
      </w:r>
      <w:r>
        <w:t xml:space="preserve"> </w:t>
      </w:r>
      <w:r>
        <w:t xml:space="preserve">出 20:4-6。</w:t>
      </w:r>
    </w:p>
  </w:footnote>
  <w:footnote w:id="748">
    <w:p>
      <w:pPr>
        <w:pStyle w:val="FootnoteText"/>
      </w:pPr>
      <w:r>
        <w:rPr>
          <w:rStyle w:val="FootnoteReference"/>
        </w:rPr>
        <w:footnoteRef/>
      </w:r>
      <w:r>
        <w:t xml:space="preserve"> </w:t>
      </w:r>
      <w:r>
        <w:t xml:space="preserve">申 32:46-47；太 28:20；徒 2:42；提前 6:13-14；腓 4:6；弗 5:20；申 17:18-19；徒 15:21；提后 4:2；雅 1:21-22；徒 10:33；太 28:19；林前 11:23-30；太 18:15-17；太 16:19；林前 5:1-13；林前 12:28；弗 4:11-12；提前 5:17-18；林前 9:7-15；珥 2:12-13；林前 7:5；申 6:13；赛 19:21；诗 76:11；徒 17:16-17；诗 16:4；申 7:5；赛 30:22。</w:t>
      </w:r>
    </w:p>
  </w:footnote>
  <w:footnote w:id="749">
    <w:p>
      <w:pPr>
        <w:pStyle w:val="FootnoteText"/>
      </w:pPr>
      <w:r>
        <w:rPr>
          <w:rStyle w:val="FootnoteReference"/>
        </w:rPr>
        <w:footnoteRef/>
      </w:r>
      <w:r>
        <w:t xml:space="preserve"> </w:t>
      </w:r>
      <w:r>
        <w:t xml:space="preserve">民 15:39；申 13:6-8；何 5:11；弥 6:16；王上 11:33；王上 12:33；申 12:30-32；申 13:6-12；亚 13:2-3；启 2:2,14-15,20；启 17:12,16-17；申 4:15-19；徒 17:29；罗 1:21-23,25；但 3:18；加 4:8；出 32:5；出 32:8；王上 18:26,28；赛 65:11；徒 17:22；西 2:21-23；玛 1:7-8,14；申 4:2；诗 106:39；太 15:9；彼前 1:18；耶 44:17；赛 65:3-5；加 1:13-14；撒上 13:11-12；撒上 15:21；徒 8:18；罗 2:22；玛 3:8；出 4:24-26；太 22:5；玛 1:7,13；太 23:13；徒 13:44-45；帖前 2:15-16。</w:t>
      </w:r>
    </w:p>
  </w:footnote>
  <w:footnote w:id="750">
    <w:p>
      <w:pPr>
        <w:pStyle w:val="FootnoteText"/>
      </w:pPr>
      <w:r>
        <w:rPr>
          <w:rStyle w:val="FootnoteReference"/>
        </w:rPr>
        <w:footnoteRef/>
      </w:r>
      <w:r>
        <w:t xml:space="preserve"> </w:t>
      </w:r>
      <w:r>
        <w:t xml:space="preserve">出 20:5-6；诗 45:11；启 15:3-4；出 34:13-14；林前 10:20-22；耶 7:18-20；结 16:26-27；申 32:16-20；何 2:2-4；申 5:29。</w:t>
      </w:r>
    </w:p>
  </w:footnote>
  <w:footnote w:id="751">
    <w:p>
      <w:pPr>
        <w:pStyle w:val="FootnoteText"/>
      </w:pPr>
      <w:r>
        <w:rPr>
          <w:rStyle w:val="FootnoteReference"/>
        </w:rPr>
        <w:footnoteRef/>
      </w:r>
      <w:r>
        <w:t xml:space="preserve"> </w:t>
      </w:r>
      <w:r>
        <w:t xml:space="preserve">出 20:7。</w:t>
      </w:r>
    </w:p>
  </w:footnote>
  <w:footnote w:id="752">
    <w:p>
      <w:pPr>
        <w:pStyle w:val="FootnoteText"/>
      </w:pPr>
      <w:r>
        <w:rPr>
          <w:rStyle w:val="FootnoteReference"/>
        </w:rPr>
        <w:footnoteRef/>
      </w:r>
      <w:r>
        <w:t xml:space="preserve"> </w:t>
      </w:r>
      <w:r>
        <w:t xml:space="preserve">太 6:9；申 28:58；诗 29:2；诗 68:4；启 15:3-4；玛 1:14；传 5:1；诗 138:2；林前 11:24-25,28-29；提前 2:8；耶 4:2；传 5:2,4-6；徒 1:24,26；伯 36:24；玛 3:16；诗 8:1,3-4,9；西 3:17；诗 105:2,5；诗 102:18；彼前 3:15；弥 4:5；腓 1:27；林前 10:31；耶 32:39；彼前 2:12。</w:t>
      </w:r>
    </w:p>
  </w:footnote>
  <w:footnote w:id="753">
    <w:p>
      <w:pPr>
        <w:pStyle w:val="FootnoteText"/>
      </w:pPr>
      <w:r>
        <w:rPr>
          <w:rStyle w:val="FootnoteReference"/>
        </w:rPr>
        <w:footnoteRef/>
      </w:r>
      <w:r>
        <w:t xml:space="preserve"> </w:t>
      </w:r>
      <w:r>
        <w:t xml:space="preserve">玛 2:2；徒 17:23；箴 30:9；玛 1:6-7,12；玛 3:14；撒上 4:3-5；耶 7:4,9-10,14,31；西 2:20-22；王下 18:30,35；出 5:2；诗 139:20；诗 1:16-17；赛 5:12；王下 19:22；利 24:11；亚 5:4；亚 8:17；撒上 17:43；撒下 16:5；耶 5:7；耶 23:10；申 23:18；徒 23:12,14；斯 3:7；斯 9:24；诗 22:18；诗 24:4；结 17:16,18-19；可 6:26；撒上 25:22,32-34；罗 9:14,19-20；申 29:29；罗 3:5,7；罗 6:1-2；传 8:11；传 9:3；诗 39:1-13；太 5:21-28；结 13:22；彼后 3:16；太 22:24-31；赛 22:13；耶 23:34,36,38；提前 1:4,6-7；提前 6:4-5,20；提后 4:3-4；罗 13:13-14；王上 21:9-10；犹 1:4；徒 13:45；约一 3:12；诗 1:1；彼后 3:3；彼前 4:4；徒 13:45-46,50；徒 4:18；徒 19:9；帖前 2:16；来 10:29；提后 3:5；太 23:14；太 6:1-2,5,16；可 8:38；诗 73:14-15；林前 6:5-6；弗 5:15-17；赛 5:4；彼后 1:8-9；罗 2:23-24；加 3:1,3；来 6:6；提后 2:14；多 3:9；申 18:10-14；徒 19:13。</w:t>
      </w:r>
    </w:p>
  </w:footnote>
  <w:footnote w:id="754">
    <w:p>
      <w:pPr>
        <w:pStyle w:val="FootnoteText"/>
      </w:pPr>
      <w:r>
        <w:rPr>
          <w:rStyle w:val="FootnoteReference"/>
        </w:rPr>
        <w:footnoteRef/>
      </w:r>
      <w:r>
        <w:t xml:space="preserve"> </w:t>
      </w:r>
      <w:r>
        <w:t xml:space="preserve">出 20:7；利 19:12；结 36:21-23；申 28:58-59；亚 5:2-4；撒上 2:12,17,22,24；撒上 3:13。</w:t>
      </w:r>
    </w:p>
  </w:footnote>
  <w:footnote w:id="755">
    <w:p>
      <w:pPr>
        <w:pStyle w:val="FootnoteText"/>
      </w:pPr>
      <w:r>
        <w:rPr>
          <w:rStyle w:val="FootnoteReference"/>
        </w:rPr>
        <w:footnoteRef/>
      </w:r>
      <w:r>
        <w:t xml:space="preserve"> </w:t>
      </w:r>
      <w:r>
        <w:t xml:space="preserve">出 20:8-11。</w:t>
      </w:r>
    </w:p>
  </w:footnote>
  <w:footnote w:id="756">
    <w:p>
      <w:pPr>
        <w:pStyle w:val="FootnoteText"/>
      </w:pPr>
      <w:r>
        <w:rPr>
          <w:rStyle w:val="FootnoteReference"/>
        </w:rPr>
        <w:footnoteRef/>
      </w:r>
      <w:r>
        <w:t xml:space="preserve"> </w:t>
      </w:r>
      <w:r>
        <w:t xml:space="preserve">申 5:12-14；创 2:2-3；林前 16:1-2；徒 20:7；太 5:17-18；赛 56:2,4,6-7；启 1:10。</w:t>
      </w:r>
    </w:p>
  </w:footnote>
  <w:footnote w:id="757">
    <w:p>
      <w:pPr>
        <w:pStyle w:val="FootnoteText"/>
      </w:pPr>
      <w:r>
        <w:rPr>
          <w:rStyle w:val="FootnoteReference"/>
        </w:rPr>
        <w:footnoteRef/>
      </w:r>
      <w:r>
        <w:t xml:space="preserve"> </w:t>
      </w:r>
      <w:r>
        <w:t xml:space="preserve">出 20:8,10；出 16:25-28；尼 13:15-22；耶 17:21-22；太 12:1-13；赛 58:13；路 4:16；徒 20:7；林前 16:1-2；诗 92 标题；赛 66:23；利 23:3；出 20:8；路 23:54,56；出 16:22,25-26,29；尼 13:19。</w:t>
      </w:r>
    </w:p>
  </w:footnote>
  <w:footnote w:id="758">
    <w:p>
      <w:pPr>
        <w:pStyle w:val="FootnoteText"/>
      </w:pPr>
      <w:r>
        <w:rPr>
          <w:rStyle w:val="FootnoteReference"/>
        </w:rPr>
        <w:footnoteRef/>
      </w:r>
      <w:r>
        <w:t xml:space="preserve"> </w:t>
      </w:r>
      <w:r>
        <w:t xml:space="preserve">出 20:10；书 24:15；尼 13:15,17；耶 17:20-22；出 23:12。</w:t>
      </w:r>
    </w:p>
  </w:footnote>
  <w:footnote w:id="759">
    <w:p>
      <w:pPr>
        <w:pStyle w:val="FootnoteText"/>
      </w:pPr>
      <w:r>
        <w:rPr>
          <w:rStyle w:val="FootnoteReference"/>
        </w:rPr>
        <w:footnoteRef/>
      </w:r>
      <w:r>
        <w:t xml:space="preserve"> </w:t>
      </w:r>
      <w:r>
        <w:t xml:space="preserve">结 22:26；徒 20:7,9；结 33:30-32；摩 8:5；玛 1:13；结 23:38；耶 17:24,27；赛 58:13。</w:t>
      </w:r>
    </w:p>
  </w:footnote>
  <w:footnote w:id="760">
    <w:p>
      <w:pPr>
        <w:pStyle w:val="FootnoteText"/>
      </w:pPr>
      <w:r>
        <w:rPr>
          <w:rStyle w:val="FootnoteReference"/>
        </w:rPr>
        <w:footnoteRef/>
      </w:r>
      <w:r>
        <w:t xml:space="preserve"> </w:t>
      </w:r>
      <w:r>
        <w:t xml:space="preserve">出 20:9；出 20:10；出 20:11。</w:t>
      </w:r>
    </w:p>
  </w:footnote>
  <w:footnote w:id="761">
    <w:p>
      <w:pPr>
        <w:pStyle w:val="FootnoteText"/>
      </w:pPr>
      <w:r>
        <w:rPr>
          <w:rStyle w:val="FootnoteReference"/>
        </w:rPr>
        <w:footnoteRef/>
      </w:r>
      <w:r>
        <w:t xml:space="preserve"> </w:t>
      </w:r>
      <w:r>
        <w:t xml:space="preserve">出 20:8；出 16:23；路 23:54,56；可 15:42；尼 13:19；诗 92 标题,诗 92:13-14；结 20:12,19-20；创 2:2-3；诗 118:22,24；徒 4:10-11；启 1:10；结 22:26；尼 9:14；出 34:21；申 5:14-15；摩 8:5；哀 1:7；耶 17:21-23；尼 13:15-23。</w:t>
      </w:r>
    </w:p>
  </w:footnote>
  <w:footnote w:id="762">
    <w:p>
      <w:pPr>
        <w:pStyle w:val="FootnoteText"/>
      </w:pPr>
      <w:r>
        <w:rPr>
          <w:rStyle w:val="FootnoteReference"/>
        </w:rPr>
        <w:footnoteRef/>
      </w:r>
      <w:r>
        <w:t xml:space="preserve"> </w:t>
      </w:r>
      <w:r>
        <w:t xml:space="preserve">太 22:39；太 7:12。</w:t>
      </w:r>
    </w:p>
  </w:footnote>
  <w:footnote w:id="763">
    <w:p>
      <w:pPr>
        <w:pStyle w:val="FootnoteText"/>
      </w:pPr>
      <w:r>
        <w:rPr>
          <w:rStyle w:val="FootnoteReference"/>
        </w:rPr>
        <w:footnoteRef/>
      </w:r>
      <w:r>
        <w:t xml:space="preserve"> </w:t>
      </w:r>
      <w:r>
        <w:t xml:space="preserve">出 20:12。</w:t>
      </w:r>
    </w:p>
  </w:footnote>
  <w:footnote w:id="764">
    <w:p>
      <w:pPr>
        <w:pStyle w:val="FootnoteText"/>
      </w:pPr>
      <w:r>
        <w:rPr>
          <w:rStyle w:val="FootnoteReference"/>
        </w:rPr>
        <w:footnoteRef/>
      </w:r>
      <w:r>
        <w:t xml:space="preserve"> </w:t>
      </w:r>
      <w:r>
        <w:t xml:space="preserve">箴 23:22,25；弗 6:1-2；提前 5:1-2；创 4:20-22；创 45:8；王下 5:13；王下 2:12；王下 13:14；加 4:19；赛 49:23。</w:t>
      </w:r>
    </w:p>
  </w:footnote>
  <w:footnote w:id="765">
    <w:p>
      <w:pPr>
        <w:pStyle w:val="FootnoteText"/>
      </w:pPr>
      <w:r>
        <w:rPr>
          <w:rStyle w:val="FootnoteReference"/>
        </w:rPr>
        <w:footnoteRef/>
      </w:r>
      <w:r>
        <w:t xml:space="preserve"> </w:t>
      </w:r>
      <w:r>
        <w:t xml:space="preserve">弗 6:4；林后 12:14；帖前 2:7-8,11；民 11:11-12；林前 4:14-16；王下 5:13。</w:t>
      </w:r>
    </w:p>
  </w:footnote>
  <w:footnote w:id="766">
    <w:p>
      <w:pPr>
        <w:pStyle w:val="FootnoteText"/>
      </w:pPr>
      <w:r>
        <w:rPr>
          <w:rStyle w:val="FootnoteReference"/>
        </w:rPr>
        <w:footnoteRef/>
      </w:r>
      <w:r>
        <w:t xml:space="preserve"> </w:t>
      </w:r>
      <w:r>
        <w:t xml:space="preserve">弗 5:21；彼前 2:17；罗 12:10。</w:t>
      </w:r>
    </w:p>
  </w:footnote>
  <w:footnote w:id="767">
    <w:p>
      <w:pPr>
        <w:pStyle w:val="FootnoteText"/>
      </w:pPr>
      <w:r>
        <w:rPr>
          <w:rStyle w:val="FootnoteReference"/>
        </w:rPr>
        <w:footnoteRef/>
      </w:r>
      <w:r>
        <w:t xml:space="preserve"> </w:t>
      </w:r>
      <w:r>
        <w:t xml:space="preserve">玛 1:6；利 19:3；箴 31:28；彼前 3:6；利 19:32；王上 2:19；提前 2:1-2；来 13:7；腓 3:17；弗 6:1-2,5-7；彼前 2:13-14；罗 13:1-5；来 13:17；箴 4:3-4；箴 23:22；出 18:19,24；来 12:9；彼前 2:18-20；多 2:9-10；撒上 26:15-16；撒下 18:3；斯 6:2；太 22:21；罗 13:6-7；提前 5:17-18；加 6:6；创 45:11；创 47:12；彼前 2:18；箴 23:22；创 9:23；诗 127:3-5；箴 31:23。</w:t>
      </w:r>
    </w:p>
  </w:footnote>
  <w:footnote w:id="768">
    <w:p>
      <w:pPr>
        <w:pStyle w:val="FootnoteText"/>
      </w:pPr>
      <w:r>
        <w:rPr>
          <w:rStyle w:val="FootnoteReference"/>
        </w:rPr>
        <w:footnoteRef/>
      </w:r>
      <w:r>
        <w:t xml:space="preserve"> </w:t>
      </w:r>
      <w:r>
        <w:t xml:space="preserve">太 15:4-6；民 11:28-29；撒上 8:7；赛 3:5；撒下 15:1-12；出 21:15；撒上 10:27；撒上 2:25；申 21:18-21；箴 30:11,17；箴 19:26。</w:t>
      </w:r>
    </w:p>
  </w:footnote>
  <w:footnote w:id="769">
    <w:p>
      <w:pPr>
        <w:pStyle w:val="FootnoteText"/>
      </w:pPr>
      <w:r>
        <w:rPr>
          <w:rStyle w:val="FootnoteReference"/>
        </w:rPr>
        <w:footnoteRef/>
      </w:r>
      <w:r>
        <w:t xml:space="preserve"> </w:t>
      </w:r>
      <w:r>
        <w:t xml:space="preserve">西 3:19；多 2:4；撒上 12:23；伯 1:5；王上 8:55-56；来 7:7；创 49:28；申 6:6-7；弗 6:4；彼前 3:7；彼前 2:14；罗 13:3；斯 6:3；罗 13:3-4；箴 29:15；彼前 2:14；伯 29:12-17；赛 1:10,17；弗 6:4；提前 5:8；提前 4:12；多 2:3-5；王上 3:28；多 2:15。</w:t>
      </w:r>
    </w:p>
  </w:footnote>
  <w:footnote w:id="770">
    <w:p>
      <w:pPr>
        <w:pStyle w:val="FootnoteText"/>
      </w:pPr>
      <w:r>
        <w:rPr>
          <w:rStyle w:val="FootnoteReference"/>
        </w:rPr>
        <w:footnoteRef/>
      </w:r>
      <w:r>
        <w:t xml:space="preserve"> </w:t>
      </w:r>
      <w:r>
        <w:t xml:space="preserve">结 34:2-4；腓 2:21；约 5:44；约 7:18；赛 56:10-11；申 17:17；但 3:4-6；徒 4:17-18；出 5:10-18；太 23:2,4；太 14:8；可 6:24；撒下 13:28；撒上 3:13；约 7:46-49；西 3:21；出 5:17；彼前 2:18-20；来 12:10；申 25:3；创 38:11,26；徒 18:17；弗 6:4；创 9:21；王上 12:13-16；王上 1:6；撒上 2:29-31。</w:t>
      </w:r>
    </w:p>
  </w:footnote>
  <w:footnote w:id="771">
    <w:p>
      <w:pPr>
        <w:pStyle w:val="FootnoteText"/>
      </w:pPr>
      <w:r>
        <w:rPr>
          <w:rStyle w:val="FootnoteReference"/>
        </w:rPr>
        <w:footnoteRef/>
      </w:r>
      <w:r>
        <w:t xml:space="preserve"> </w:t>
      </w:r>
      <w:r>
        <w:t xml:space="preserve">彼前 2:17；罗 12:10；罗 12:15-16；腓 2:3-4。</w:t>
      </w:r>
    </w:p>
  </w:footnote>
  <w:footnote w:id="772">
    <w:p>
      <w:pPr>
        <w:pStyle w:val="FootnoteText"/>
      </w:pPr>
      <w:r>
        <w:rPr>
          <w:rStyle w:val="FootnoteReference"/>
        </w:rPr>
        <w:footnoteRef/>
      </w:r>
      <w:r>
        <w:t xml:space="preserve"> </w:t>
      </w:r>
      <w:r>
        <w:t xml:space="preserve">罗 13:8；提后 3:3；徒 7:9；加 5:26；民 12:2；斯 6:12-13；约三 1:9；路 22:24。</w:t>
      </w:r>
    </w:p>
  </w:footnote>
  <w:footnote w:id="773">
    <w:p>
      <w:pPr>
        <w:pStyle w:val="FootnoteText"/>
      </w:pPr>
      <w:r>
        <w:rPr>
          <w:rStyle w:val="FootnoteReference"/>
        </w:rPr>
        <w:footnoteRef/>
      </w:r>
      <w:r>
        <w:t xml:space="preserve"> </w:t>
      </w:r>
      <w:r>
        <w:t xml:space="preserve">出 20:12；申 5:16；王上 8:25；弗 6:2-3。</w:t>
      </w:r>
    </w:p>
  </w:footnote>
  <w:footnote w:id="774">
    <w:p>
      <w:pPr>
        <w:pStyle w:val="FootnoteText"/>
      </w:pPr>
      <w:r>
        <w:rPr>
          <w:rStyle w:val="FootnoteReference"/>
        </w:rPr>
        <w:footnoteRef/>
      </w:r>
      <w:r>
        <w:t xml:space="preserve"> </w:t>
      </w:r>
      <w:r>
        <w:t xml:space="preserve">出 20:13。</w:t>
      </w:r>
    </w:p>
  </w:footnote>
  <w:footnote w:id="775">
    <w:p>
      <w:pPr>
        <w:pStyle w:val="FootnoteText"/>
      </w:pPr>
      <w:r>
        <w:rPr>
          <w:rStyle w:val="FootnoteReference"/>
        </w:rPr>
        <w:footnoteRef/>
      </w:r>
      <w:r>
        <w:t xml:space="preserve"> </w:t>
      </w:r>
      <w:r>
        <w:t xml:space="preserve">弗 5:28-29；王上 18:4；耶 26:15-16；徒 23:12,16-17,21,27；弗 4:26-27；撒下 2:22；申 22:8；太 4:6-7；箴 1:10-11,15-16；撒上 24:12；撒上 26:9-11；创 37:21-22；诗 82:4；箴 24:11-12；撒上 14:45；雅 5:7-11；来 12:9；帖前 4:11；彼前 3:3-4；诗 37:8-11；箴 17:22；箴 25:16,27；提前 5:23；赛 38:21；诗 127:2；传 5:12；帖后 3:10,12；箴 16:26；传 3:4,11；撒上 19:4-5；撒上 22:13-14；罗 13:10；路 10:33-34；西 3:12-13；雅 3:17；彼前 3:8-11；箴 15:1；士 8:1-3；太 5:24；弗 4:2,32；罗 12:17,20-21；帖前 5:14；伯 31:19-20；太 25:35-36；箴 31:8-9。</w:t>
      </w:r>
    </w:p>
  </w:footnote>
  <w:footnote w:id="776">
    <w:p>
      <w:pPr>
        <w:pStyle w:val="FootnoteText"/>
      </w:pPr>
      <w:r>
        <w:rPr>
          <w:rStyle w:val="FootnoteReference"/>
        </w:rPr>
        <w:footnoteRef/>
      </w:r>
      <w:r>
        <w:t xml:space="preserve"> </w:t>
      </w:r>
      <w:r>
        <w:t xml:space="preserve">徒 16:28；创 9:6；民 35:31,33；耶 48:10；申 20:1-20；出 22:2-3；太 25:42-43；雅 2:15-16；传 6:1-2；太 5:22；约一 3:15；利 19:17；箴 14:30；罗 12:19；弗 4:31；太 6:31,34；路 21:34；罗 13:13；传 12:12；传 2:22-23；赛 5:12；箴 15:1；箴 12:18；结 18:18；出 1:14；加 5:15；箴 23:29；民 35:16-18,21；出 21:18-36。</w:t>
      </w:r>
    </w:p>
  </w:footnote>
  <w:footnote w:id="777">
    <w:p>
      <w:pPr>
        <w:pStyle w:val="FootnoteText"/>
      </w:pPr>
      <w:r>
        <w:rPr>
          <w:rStyle w:val="FootnoteReference"/>
        </w:rPr>
        <w:footnoteRef/>
      </w:r>
      <w:r>
        <w:t xml:space="preserve"> </w:t>
      </w:r>
      <w:r>
        <w:t xml:space="preserve">出 20:14。</w:t>
      </w:r>
    </w:p>
  </w:footnote>
  <w:footnote w:id="778">
    <w:p>
      <w:pPr>
        <w:pStyle w:val="FootnoteText"/>
      </w:pPr>
      <w:r>
        <w:rPr>
          <w:rStyle w:val="FootnoteReference"/>
        </w:rPr>
        <w:footnoteRef/>
      </w:r>
      <w:r>
        <w:t xml:space="preserve"> </w:t>
      </w:r>
      <w:r>
        <w:t xml:space="preserve">帖前 4:4；伯 31:1；林前 7:34；西 4:6；彼前 3:2；林前 7:2,35-36；伯 31:1；徒 24:24-25；箴 2:16-20；提前 2:9；林前 7:2,9；箴 5:19-20；彼前 3:7；箴 31:11,27-28；箴 5:8；创 39:8-10。</w:t>
      </w:r>
    </w:p>
  </w:footnote>
  <w:footnote w:id="779">
    <w:p>
      <w:pPr>
        <w:pStyle w:val="FootnoteText"/>
      </w:pPr>
      <w:r>
        <w:rPr>
          <w:rStyle w:val="FootnoteReference"/>
        </w:rPr>
        <w:footnoteRef/>
      </w:r>
      <w:r>
        <w:t xml:space="preserve"> </w:t>
      </w:r>
      <w:r>
        <w:t xml:space="preserve">箴 5:7；来 13:4；加 5:19；撒下 13:14；林前 5:1；罗 1:24,26-27；利 20:15-16；太 5:28；太 15:19；西 3:5；弗 5:3-4；箴 7:5,21-22；赛 3:16；彼后 2:14；箴 7:10,13；提前 4:3；利 18:1-21；可 6:18；玛 2:11-12；王上 15:12；王下 23:7；申 23:17-18；利 19:29；耶 5:7；箴 7:24-27；太 19:10-11；林前 7:7-9；创 38:26；玛 2:14-15；太 19:5；玛 2:16；太 5:32；林前 7:12-13；结 16:49；箴 23:30-33；创 39:10；箴 5:8；弗 5:4；结 23:14-16；赛 23:15-17；赛 3:16；可 6:22；罗 13:13；彼前 4:3；王下 9:30；耶 4:30；结 23:40。</w:t>
      </w:r>
    </w:p>
  </w:footnote>
  <w:footnote w:id="780">
    <w:p>
      <w:pPr>
        <w:pStyle w:val="FootnoteText"/>
      </w:pPr>
      <w:r>
        <w:rPr>
          <w:rStyle w:val="FootnoteReference"/>
        </w:rPr>
        <w:footnoteRef/>
      </w:r>
      <w:r>
        <w:t xml:space="preserve"> </w:t>
      </w:r>
      <w:r>
        <w:t xml:space="preserve">出 20:15。</w:t>
      </w:r>
    </w:p>
  </w:footnote>
  <w:footnote w:id="781">
    <w:p>
      <w:pPr>
        <w:pStyle w:val="FootnoteText"/>
      </w:pPr>
      <w:r>
        <w:rPr>
          <w:rStyle w:val="FootnoteReference"/>
        </w:rPr>
        <w:footnoteRef/>
      </w:r>
      <w:r>
        <w:t xml:space="preserve"> </w:t>
      </w:r>
      <w:r>
        <w:t xml:space="preserve">诗 15:2,4；亚 7:4,10；亚 8:16-17；罗 13:7；利 6:2-5；路 19:8；路 6:30,38；约一 3:17；弗 4:28；加 6:10；提前 6:6-9；加 6:14；提前 5:8；箴 27:23-27；传 2:24；传 3:12-13；提前 6:17-18；赛 38:1；太 11:8；林前 7:20；创 2:15；创 3:19；弗 4:28；箴 10:4；约 6:12；箴 21:20；林前 6:1-9；箴 6:1-6；箴 11:15；利 25:35；申 22:1-4；出 23:4-5；创 47:14,20；腓 2:4；太 22:39。</w:t>
      </w:r>
    </w:p>
  </w:footnote>
  <w:footnote w:id="782">
    <w:p>
      <w:pPr>
        <w:pStyle w:val="FootnoteText"/>
      </w:pPr>
      <w:r>
        <w:rPr>
          <w:rStyle w:val="FootnoteReference"/>
        </w:rPr>
        <w:footnoteRef/>
      </w:r>
      <w:r>
        <w:t xml:space="preserve"> </w:t>
      </w:r>
      <w:r>
        <w:t xml:space="preserve">雅 2:15-16；约一 3:17；弗 4:28；诗 62:10；提前 1:10；箴 29:24；诗 1:18；帖前 4:6；箴 11:1；箴 20:10；申 19:14；箴 23:10；摩 8:5；诗 37:21；路 16:10-12；结 22:29；利 25:17；太 23:25；结 22:12；诗 15:5；伯 15:34；林前 6:6-8；箴 3:29-30；赛 5:8；弥 2:2；箴 11:26；徒 19:19,24-25；伯 20:19；雅 5:4；箴 21:6；路 12:15；提前 6:5；西 3:2；箴 23:5；诗 62:10；太 6:25,31,34；传 5:12；诗 73:3；诗 37:1,7；帖后 3:11；箴 18:9；箴 21:17；箴 23:20-21；箴 28:19；传 4:8；传 6:2；提前 5:8。</w:t>
      </w:r>
    </w:p>
  </w:footnote>
  <w:footnote w:id="783">
    <w:p>
      <w:pPr>
        <w:pStyle w:val="FootnoteText"/>
      </w:pPr>
      <w:r>
        <w:rPr>
          <w:rStyle w:val="FootnoteReference"/>
        </w:rPr>
        <w:footnoteRef/>
      </w:r>
      <w:r>
        <w:t xml:space="preserve"> </w:t>
      </w:r>
      <w:r>
        <w:t xml:space="preserve">出 20:16。</w:t>
      </w:r>
    </w:p>
  </w:footnote>
  <w:footnote w:id="784">
    <w:p>
      <w:pPr>
        <w:pStyle w:val="FootnoteText"/>
      </w:pPr>
      <w:r>
        <w:rPr>
          <w:rStyle w:val="FootnoteReference"/>
        </w:rPr>
        <w:footnoteRef/>
      </w:r>
      <w:r>
        <w:t xml:space="preserve"> </w:t>
      </w:r>
      <w:r>
        <w:t xml:space="preserve">亚 8:16；约三 1:12；箴 31:8-9；诗 15:2；代下 19:9；撒上 19:4-5；书 7:19；撒下 14:18-20；利 19:15；箴 14:5,25；林后 1:17-18；弗 4:25；来 6:9；林前 13:7；罗 1:8；约二 1:4；约三 1:3-4；林前 1:4-5,7；提后 1:4-5；撒上 22:14；林前 13:6-7；诗 15:3；箴 25:23；箴 26:24-25；诗 101:5；箴 22:1；约 8:49；诗 15:4；腓 4:8；林后 2:4；林后 12:21；箴 17:9；彼前 4:8。</w:t>
      </w:r>
    </w:p>
  </w:footnote>
  <w:footnote w:id="785">
    <w:p>
      <w:pPr>
        <w:pStyle w:val="FootnoteText"/>
      </w:pPr>
      <w:r>
        <w:rPr>
          <w:rStyle w:val="FootnoteReference"/>
        </w:rPr>
        <w:footnoteRef/>
      </w:r>
      <w:r>
        <w:t xml:space="preserve"> </w:t>
      </w:r>
      <w:r>
        <w:t xml:space="preserve">撒上 17:28；撒下 16:3；撒下 1:9-10,15-16；利 19:15；哈 1:4；箴 19:5；箴 6:16,19；徒 6:13；耶 9:3,5；徒 24:2,5；诗 12:3-4；诗 52:1-4；箴 17:15；王上 21:9-14；赛 5:23；诗 119:69；路 19:8；路 16:5-7；利 5:1；申 13:8；徒 5:3,8-9；提后 4:16；王上 1:6；利 19:17；赛 59:4；箴 29:11；撒上 22:9-10；诗 52:1-5；诗 56:5；约 2:19；太 26:60-61；创 3:5；创 26:7,9；赛 59:13；利 19:11；西 3:9；诗 50:20；诗 15:3；雅 4:11；耶 38:4；利 19:16；罗 1:29-30；创 21:9；加 4:29；林前 6:10；太 7:1；徒 28:4；创 38:24；罗 2:1；尼 6:6-8；罗 3:8；诗 69:10；撒上 1:13-15；撒下 10:3；诗 12:2-3；提后 3:2；路 18:9,11；罗 12:16；林前 4:6；徒 12:22；出 4:10-14；伯 27:5-6；伯 4:6；太 7:3-5；箴 28:13；箴 30:20；创 3:12-13；耶 2:35；王下 5:25；创 4:9；创 9:22；箴 25:9-10；出 23:1；箴 29:12；徒 7:56-57；伯 31:13-14；林前 13:5；提前 6:4；民 11:29；太 21:15；拉 4:12-13；耶 48:27；诗 35:15-16,21；太 27:28-29；犹 1:16；徒 12:22；罗 1:31；提后 3:3；撒上 2:24；撒下 13:12-13；箴 5:8-9；箴 6:33。</w:t>
      </w:r>
    </w:p>
  </w:footnote>
  <w:footnote w:id="786">
    <w:p>
      <w:pPr>
        <w:pStyle w:val="FootnoteText"/>
      </w:pPr>
      <w:r>
        <w:rPr>
          <w:rStyle w:val="FootnoteReference"/>
        </w:rPr>
        <w:footnoteRef/>
      </w:r>
      <w:r>
        <w:t xml:space="preserve"> </w:t>
      </w:r>
      <w:r>
        <w:t xml:space="preserve">出 20:17。</w:t>
      </w:r>
    </w:p>
  </w:footnote>
  <w:footnote w:id="787">
    <w:p>
      <w:pPr>
        <w:pStyle w:val="FootnoteText"/>
      </w:pPr>
      <w:r>
        <w:rPr>
          <w:rStyle w:val="FootnoteReference"/>
        </w:rPr>
        <w:footnoteRef/>
      </w:r>
      <w:r>
        <w:t xml:space="preserve"> </w:t>
      </w:r>
      <w:r>
        <w:t xml:space="preserve">来 13:5；提前 6:6；伯 31:29；罗 12:15；诗 122:7-9；提前 1:5；斯 10:3；林前 13:4-7。</w:t>
      </w:r>
    </w:p>
  </w:footnote>
  <w:footnote w:id="788">
    <w:p>
      <w:pPr>
        <w:pStyle w:val="FootnoteText"/>
      </w:pPr>
      <w:r>
        <w:rPr>
          <w:rStyle w:val="FootnoteReference"/>
        </w:rPr>
        <w:footnoteRef/>
      </w:r>
      <w:r>
        <w:t xml:space="preserve"> </w:t>
      </w:r>
      <w:r>
        <w:t xml:space="preserve">王上 21:4；斯 5:13；林前 10:10；加 5:26；雅 3:14,16；诗 112:9-10；尼 2:10；罗 7:7-8；罗 13:9；西 3:5；申 5:21。</w:t>
      </w:r>
    </w:p>
  </w:footnote>
  <w:footnote w:id="789">
    <w:p>
      <w:pPr>
        <w:pStyle w:val="FootnoteText"/>
      </w:pPr>
      <w:r>
        <w:rPr>
          <w:rStyle w:val="FootnoteReference"/>
        </w:rPr>
        <w:footnoteRef/>
      </w:r>
      <w:r>
        <w:t xml:space="preserve"> </w:t>
      </w:r>
      <w:r>
        <w:t xml:space="preserve">雅 3:2；约 15:5；罗 8:3；传 7:20；约一 1:8,10；加 5:17；罗 7:18-19；创 6:5；创 8:21；罗 3:9-19；雅 3:2-13。</w:t>
      </w:r>
    </w:p>
  </w:footnote>
  <w:footnote w:id="790">
    <w:p>
      <w:pPr>
        <w:pStyle w:val="FootnoteText"/>
      </w:pPr>
      <w:r>
        <w:rPr>
          <w:rStyle w:val="FootnoteReference"/>
        </w:rPr>
        <w:footnoteRef/>
      </w:r>
      <w:r>
        <w:t xml:space="preserve"> </w:t>
      </w:r>
      <w:r>
        <w:t xml:space="preserve">约 19:11；结 8:6,13,15；约一 5:16；诗 78:17,32,56。</w:t>
      </w:r>
    </w:p>
  </w:footnote>
  <w:footnote w:id="791">
    <w:p>
      <w:pPr>
        <w:pStyle w:val="FootnoteText"/>
      </w:pPr>
      <w:r>
        <w:rPr>
          <w:rStyle w:val="FootnoteReference"/>
        </w:rPr>
        <w:footnoteRef/>
      </w:r>
    </w:p>
    <w:p>
      <w:pPr>
        <w:pStyle w:val="Compact"/>
        <w:numPr>
          <w:ilvl w:val="0"/>
          <w:numId w:val="1009"/>
        </w:numPr>
      </w:pPr>
      <w:r>
        <w:t xml:space="preserve">犯罪的人：如果他们年纪较长，经历或恩典较多，在信仰告白、恩赐、地位、职分上显著，是他人的引导者，其榜样可能被他人效法。</w:t>
      </w:r>
    </w:p>
  </w:footnote>
  <w:footnote w:id="792">
    <w:p>
      <w:pPr>
        <w:pStyle w:val="FootnoteText"/>
      </w:pPr>
      <w:r>
        <w:rPr>
          <w:rStyle w:val="FootnoteReference"/>
        </w:rPr>
        <w:footnoteRef/>
      </w:r>
    </w:p>
    <w:p>
      <w:pPr>
        <w:pStyle w:val="Compact"/>
        <w:numPr>
          <w:ilvl w:val="0"/>
          <w:numId w:val="1010"/>
        </w:numPr>
      </w:pPr>
      <w:r>
        <w:t xml:space="preserve">得罪的对象：如果直接得罪神、他的属性和敬拜；得罪基督和他的恩典；得罪圣灵、他的见证和工作；得罪上位者、显要人物，以及与我们有特殊关系和约定的人；得罪任何圣徒，特别是软弱的弟兄，得罪他们或他人的灵魂，以及众人或多人的共同利益。</w:t>
      </w:r>
    </w:p>
  </w:footnote>
  <w:footnote w:id="793">
    <w:p>
      <w:pPr>
        <w:pStyle w:val="FootnoteText"/>
      </w:pPr>
      <w:r>
        <w:rPr>
          <w:rStyle w:val="FootnoteReference"/>
        </w:rPr>
        <w:footnoteRef/>
      </w:r>
    </w:p>
    <w:p>
      <w:pPr>
        <w:pStyle w:val="Compact"/>
        <w:numPr>
          <w:ilvl w:val="0"/>
          <w:numId w:val="1011"/>
        </w:numPr>
      </w:pPr>
      <w:r>
        <w:t xml:space="preserve">罪行的性质和特征：如果违背律法明文规定，违背多条诫命，包含多种罪；如果不仅心里怀着，还在言语和行为上表现出来，使他人跌倒，且无法弥补；如果违背方法、怜悯、审判、自然之光、良心的谴责、公开或私下的劝诫、教会的惩戒、民事的惩罚；以及我们向神或人所作的祷告、目的、承诺、誓言、约定和承诺；如果是经过深思熟虑、故意、自以为是、厚颜无耻、夸耀、恶意、频繁、顽固地犯罪，以此为乐，持续犯罪，或在悔改后故态复萌。</w:t>
      </w:r>
    </w:p>
  </w:footnote>
  <w:footnote w:id="794">
    <w:p>
      <w:pPr>
        <w:pStyle w:val="FootnoteText"/>
      </w:pPr>
      <w:r>
        <w:rPr>
          <w:rStyle w:val="FootnoteReference"/>
        </w:rPr>
        <w:footnoteRef/>
      </w:r>
    </w:p>
    <w:p>
      <w:pPr>
        <w:pStyle w:val="Compact"/>
        <w:numPr>
          <w:ilvl w:val="0"/>
          <w:numId w:val="1012"/>
        </w:numPr>
      </w:pPr>
      <w:r>
        <w:t xml:space="preserve">时间和地点的情况：如果在主日或其他敬拜时间；或在这些时间之前或之后，或在其他防止或补救这类过失的帮助之时；如果在公开场合，或在他人面前，可能因此使他人受到挑动或玷污。</w:t>
      </w:r>
    </w:p>
  </w:footnote>
  <w:footnote w:id="795">
    <w:p>
      <w:pPr>
        <w:pStyle w:val="FootnoteText"/>
      </w:pPr>
      <w:r>
        <w:rPr>
          <w:rStyle w:val="FootnoteReference"/>
        </w:rPr>
        <w:footnoteRef/>
      </w:r>
      <w:r>
        <w:t xml:space="preserve"> </w:t>
      </w:r>
      <w:r>
        <w:t xml:space="preserve">雅 2:10-11；出 20:1-2；哈 1:13；利 10:3；利 11:44-45；约一 3:4；罗 7:12；弗 5:6；加 3:10；哀 3:39；申 28:15-68；太 25:41；来 9:22；彼前 1:18-19。</w:t>
      </w:r>
    </w:p>
  </w:footnote>
  <w:footnote w:id="796">
    <w:p>
      <w:pPr>
        <w:pStyle w:val="FootnoteText"/>
      </w:pPr>
      <w:r>
        <w:rPr>
          <w:rStyle w:val="FootnoteReference"/>
        </w:rPr>
        <w:footnoteRef/>
      </w:r>
      <w:r>
        <w:t xml:space="preserve"> </w:t>
      </w:r>
      <w:r>
        <w:t xml:space="preserve">徒 20:21；太 3:7-8；路 13:3,5；徒 16:30-31；约 3:16,18；箴 2:1-5；箴 8:33-36。</w:t>
      </w:r>
    </w:p>
  </w:footnote>
  <w:footnote w:id="797">
    <w:p>
      <w:pPr>
        <w:pStyle w:val="FootnoteText"/>
      </w:pPr>
      <w:r>
        <w:rPr>
          <w:rStyle w:val="FootnoteReference"/>
        </w:rPr>
        <w:footnoteRef/>
      </w:r>
      <w:r>
        <w:t xml:space="preserve"> </w:t>
      </w:r>
      <w:r>
        <w:t xml:space="preserve">太 28:19-20；徒 2:42,46-47。</w:t>
      </w:r>
    </w:p>
  </w:footnote>
  <w:footnote w:id="798">
    <w:p>
      <w:pPr>
        <w:pStyle w:val="FootnoteText"/>
      </w:pPr>
      <w:r>
        <w:rPr>
          <w:rStyle w:val="FootnoteReference"/>
        </w:rPr>
        <w:footnoteRef/>
      </w:r>
      <w:r>
        <w:t xml:space="preserve"> </w:t>
      </w:r>
      <w:r>
        <w:t xml:space="preserve">尼 8:8；徒 26:18；诗 19:8；林前 14:24-25；代下 34:18-19,26-28；徒 2:37,41；徒 8:27-39；林后 3:18；林后 10:4-6；罗 6:17；太 4:4,7,10；弗 6:16-17；诗 19:11；林前 10:11；徒 20:32；提后 3:15-17；罗 16:25；帖前 3:2,10-11,13；罗 15:4；罗 10:13-17；罗 1:16。</w:t>
      </w:r>
    </w:p>
  </w:footnote>
  <w:footnote w:id="799">
    <w:p>
      <w:pPr>
        <w:pStyle w:val="FootnoteText"/>
      </w:pPr>
      <w:r>
        <w:rPr>
          <w:rStyle w:val="FootnoteReference"/>
        </w:rPr>
        <w:footnoteRef/>
      </w:r>
      <w:r>
        <w:t xml:space="preserve"> </w:t>
      </w:r>
      <w:r>
        <w:t xml:space="preserve">申 31:9,11-13；尼 8:2-3；尼 9:3-5；申 17:19；启 1:3；约 5:39；赛 34:16；申 6:6-9；创 18:17,19；诗 78:5-7；林前 14:6,9,11-12,15-16,24,27-28。</w:t>
      </w:r>
    </w:p>
  </w:footnote>
  <w:footnote w:id="800">
    <w:p>
      <w:pPr>
        <w:pStyle w:val="FootnoteText"/>
      </w:pPr>
      <w:r>
        <w:rPr>
          <w:rStyle w:val="FootnoteReference"/>
        </w:rPr>
        <w:footnoteRef/>
      </w:r>
      <w:r>
        <w:t xml:space="preserve"> </w:t>
      </w:r>
      <w:r>
        <w:t xml:space="preserve">诗 19:10；尼 8:3-10；出 24:7；代下 34:27；赛 66:2；彼后 1:19-21；路 24:45；林后 3:13-16；申 17:19-20；徒 17:11；徒 8:30,34；路 10:26-28；诗 1:2；诗 119:97；代下 34:21；箴 3:5；申 33:3；箴 2:1-6；诗 119:18；尼 8:6,8。</w:t>
      </w:r>
    </w:p>
  </w:footnote>
  <w:footnote w:id="801">
    <w:p>
      <w:pPr>
        <w:pStyle w:val="FootnoteText"/>
      </w:pPr>
      <w:r>
        <w:rPr>
          <w:rStyle w:val="FootnoteReference"/>
        </w:rPr>
        <w:footnoteRef/>
      </w:r>
      <w:r>
        <w:t xml:space="preserve"> </w:t>
      </w:r>
      <w:r>
        <w:t xml:space="preserve">提前 3:2,6；弗 4:8-11；何 4:6；玛 2:7；林后 3:6；耶 14:15；罗 10:15；来 5:4；林前 12:28-29；提前 3:10；提前 4:14；提前 5:22。</w:t>
      </w:r>
    </w:p>
  </w:footnote>
  <w:footnote w:id="802">
    <w:p>
      <w:pPr>
        <w:pStyle w:val="FootnoteText"/>
      </w:pPr>
      <w:r>
        <w:rPr>
          <w:rStyle w:val="FootnoteReference"/>
        </w:rPr>
        <w:footnoteRef/>
      </w:r>
      <w:r>
        <w:t xml:space="preserve"> </w:t>
      </w:r>
      <w:r>
        <w:t xml:space="preserve">多 2:1,8；徒 18:25；提后 4:2；林前 14:19；林前 2:4；耶 23:28；林前 4:1-2；徒 20:27；西 1:28；提后 2:15；林前 3:2；来 5:12-14；路 12:42；徒 18:25；林后 5:13-14；腓 1:15-17；西 4:12；林后 12:15；林后 2:17；林后 4:2；帖前 2:4-6；约 7:18；林前 9:19-22；林后 12:19；弗 4:12；提前 4:16；徒 26:16-18。</w:t>
      </w:r>
    </w:p>
  </w:footnote>
  <w:footnote w:id="803">
    <w:p>
      <w:pPr>
        <w:pStyle w:val="FootnoteText"/>
      </w:pPr>
      <w:r>
        <w:rPr>
          <w:rStyle w:val="FootnoteReference"/>
        </w:rPr>
        <w:footnoteRef/>
      </w:r>
      <w:r>
        <w:t xml:space="preserve"> </w:t>
      </w:r>
      <w:r>
        <w:t xml:space="preserve">箴 8:34；彼前 2:1-2；路 8:18；诗 119:18；弗 6:18-19；徒 17:11；来 4:2；帖后 2:10；雅 1:21；徒 17:11；帖前 2:13；路 9:44；来 2:1；路 24:14；申 6:6-7；箴 2:1；诗 119:11；路 8:15；雅 1:25。</w:t>
      </w:r>
    </w:p>
  </w:footnote>
  <w:footnote w:id="804">
    <w:p>
      <w:pPr>
        <w:pStyle w:val="FootnoteText"/>
      </w:pPr>
      <w:r>
        <w:rPr>
          <w:rStyle w:val="FootnoteReference"/>
        </w:rPr>
        <w:footnoteRef/>
      </w:r>
      <w:r>
        <w:t xml:space="preserve"> </w:t>
      </w:r>
      <w:r>
        <w:t xml:space="preserve">彼前 3:21；徒 8:13,23；林前 3:6-7；林前 12:13。</w:t>
      </w:r>
    </w:p>
  </w:footnote>
  <w:footnote w:id="805">
    <w:p>
      <w:pPr>
        <w:pStyle w:val="FootnoteText"/>
      </w:pPr>
      <w:r>
        <w:rPr>
          <w:rStyle w:val="FootnoteReference"/>
        </w:rPr>
        <w:footnoteRef/>
      </w:r>
      <w:r>
        <w:t xml:space="preserve"> </w:t>
      </w:r>
      <w:r>
        <w:t xml:space="preserve">创 17:7,10；出 12:1-51；太 28:19；太 26:26-28；罗 4:11；林前 11:24-25；罗 15:8；出 12:48；徒 2:38；林前 10:16；罗 4:11；加 3:27；罗 6:3-4；林前 10:21；弗 4:2-5；林前 12:13；弗 2:11；创 34:14。</w:t>
      </w:r>
    </w:p>
  </w:footnote>
  <w:footnote w:id="806">
    <w:p>
      <w:pPr>
        <w:pStyle w:val="FootnoteText"/>
      </w:pPr>
      <w:r>
        <w:rPr>
          <w:rStyle w:val="FootnoteReference"/>
        </w:rPr>
        <w:footnoteRef/>
      </w:r>
      <w:r>
        <w:t xml:space="preserve"> </w:t>
      </w:r>
      <w:r>
        <w:t xml:space="preserve">太 3:11；彼前 3:21；罗 2:28-29。</w:t>
      </w:r>
    </w:p>
  </w:footnote>
  <w:footnote w:id="807">
    <w:p>
      <w:pPr>
        <w:pStyle w:val="FootnoteText"/>
      </w:pPr>
      <w:r>
        <w:rPr>
          <w:rStyle w:val="FootnoteReference"/>
        </w:rPr>
        <w:footnoteRef/>
      </w:r>
      <w:r>
        <w:t xml:space="preserve"> </w:t>
      </w:r>
      <w:r>
        <w:t xml:space="preserve">太 28:19；林前 11:20,23；太 26:26-28。</w:t>
      </w:r>
    </w:p>
  </w:footnote>
  <w:footnote w:id="808">
    <w:p>
      <w:pPr>
        <w:pStyle w:val="FootnoteText"/>
      </w:pPr>
      <w:r>
        <w:rPr>
          <w:rStyle w:val="FootnoteReference"/>
        </w:rPr>
        <w:footnoteRef/>
      </w:r>
      <w:r>
        <w:t xml:space="preserve"> </w:t>
      </w:r>
      <w:r>
        <w:t xml:space="preserve">太 28:19；林后 11:20,23；太 26:26-28；太 5:26；加 3:26-27；林前 15:29；罗 6:5；林前 12:13；罗 6:4。</w:t>
      </w:r>
    </w:p>
  </w:footnote>
  <w:footnote w:id="809">
    <w:p>
      <w:pPr>
        <w:pStyle w:val="FootnoteText"/>
      </w:pPr>
      <w:r>
        <w:rPr>
          <w:rStyle w:val="FootnoteReference"/>
        </w:rPr>
        <w:footnoteRef/>
      </w:r>
      <w:r>
        <w:t xml:space="preserve"> </w:t>
      </w:r>
      <w:r>
        <w:t xml:space="preserve">徒 8:36-37；徒 2:38；创 17:7,9；加 3:9,14；西 2:11-12；徒 2:38-39；罗 4:11-12；林前 7:14；太 28:19；路 18:15-16；罗 11:16。</w:t>
      </w:r>
    </w:p>
  </w:footnote>
  <w:footnote w:id="810">
    <w:p>
      <w:pPr>
        <w:pStyle w:val="FootnoteText"/>
      </w:pPr>
      <w:r>
        <w:rPr>
          <w:rStyle w:val="FootnoteReference"/>
        </w:rPr>
        <w:footnoteRef/>
      </w:r>
      <w:r>
        <w:t xml:space="preserve"> </w:t>
      </w:r>
      <w:r>
        <w:t xml:space="preserve">西 2:11-12；罗 6:4,6,11；罗 6:3-5；林前 1:11-13；罗 6:2-3；罗 4:11-12；彼前 3:21；罗 6:3-5；加 3:26-27；罗 6:22；徒 2:38；林前 12:13,25-27。</w:t>
      </w:r>
    </w:p>
  </w:footnote>
  <w:footnote w:id="811">
    <w:p>
      <w:pPr>
        <w:pStyle w:val="FootnoteText"/>
      </w:pPr>
      <w:r>
        <w:rPr>
          <w:rStyle w:val="FootnoteReference"/>
        </w:rPr>
        <w:footnoteRef/>
      </w:r>
      <w:r>
        <w:t xml:space="preserve"> </w:t>
      </w:r>
      <w:r>
        <w:t xml:space="preserve">路 22:20；太 26:26-28；林前 11:23-26；林前 10:16；林前 11:24；林前 10:14-16,21；林前 10:17。</w:t>
      </w:r>
    </w:p>
  </w:footnote>
  <w:footnote w:id="812">
    <w:p>
      <w:pPr>
        <w:pStyle w:val="FootnoteText"/>
      </w:pPr>
      <w:r>
        <w:rPr>
          <w:rStyle w:val="FootnoteReference"/>
        </w:rPr>
        <w:footnoteRef/>
      </w:r>
      <w:r>
        <w:t xml:space="preserve"> </w:t>
      </w:r>
      <w:r>
        <w:t xml:space="preserve">林前 11:23-24；太 26:26-28；可 14:22-24；路 22:19-20。</w:t>
      </w:r>
    </w:p>
  </w:footnote>
  <w:footnote w:id="813">
    <w:p>
      <w:pPr>
        <w:pStyle w:val="FootnoteText"/>
      </w:pPr>
      <w:r>
        <w:rPr>
          <w:rStyle w:val="FootnoteReference"/>
        </w:rPr>
        <w:footnoteRef/>
      </w:r>
      <w:r>
        <w:t xml:space="preserve"> </w:t>
      </w:r>
      <w:r>
        <w:t xml:space="preserve">徒 3:21；太 26:26,28；林前 11:24-29；林前 10:16。</w:t>
      </w:r>
    </w:p>
  </w:footnote>
  <w:footnote w:id="814">
    <w:p>
      <w:pPr>
        <w:pStyle w:val="FootnoteText"/>
      </w:pPr>
      <w:r>
        <w:rPr>
          <w:rStyle w:val="FootnoteReference"/>
        </w:rPr>
        <w:footnoteRef/>
      </w:r>
      <w:r>
        <w:t xml:space="preserve"> </w:t>
      </w:r>
      <w:r>
        <w:t xml:space="preserve">林前 11:28；林后 13:5；林前 5:7；出 12:15；林前 11:29；林后 13:5；太 26:28；亚 12:10；林前 11:31；林前 10:16-17；徒 2:46-47；林前 5:8；林前 11:18,20；太 5:23-24；赛 55:1；约 7:37；林前 5:7-8；林前 11:25-26,28；来 10:21-22,24；诗 26:6；林前 11:24-25；代下 30:18-19；太 26:26。</w:t>
      </w:r>
    </w:p>
  </w:footnote>
  <w:footnote w:id="815">
    <w:p>
      <w:pPr>
        <w:pStyle w:val="FootnoteText"/>
      </w:pPr>
      <w:r>
        <w:rPr>
          <w:rStyle w:val="FootnoteReference"/>
        </w:rPr>
        <w:footnoteRef/>
      </w:r>
      <w:r>
        <w:t xml:space="preserve"> </w:t>
      </w:r>
      <w:r>
        <w:t xml:space="preserve">赛 1:10；约一 5:13；诗 88:1-18；诗 77:1-12；拿 2:4,7；赛 54:7-10；太 5:3-4；诗 31:22；诗 73:13,22-23；腓 3:8-9；诗 10:17；诗 42:1-2,5,11；提后 2:19；赛 1:10；诗 66:18-20；赛 40:11,29,31；太 11:28；太 12:20；太 26:28；可 9:24；徒 2:37；徒 16:30；罗 4:11；林前 11:28。</w:t>
      </w:r>
    </w:p>
  </w:footnote>
  <w:footnote w:id="816">
    <w:p>
      <w:pPr>
        <w:pStyle w:val="FootnoteText"/>
      </w:pPr>
      <w:r>
        <w:rPr>
          <w:rStyle w:val="FootnoteReference"/>
        </w:rPr>
        <w:footnoteRef/>
      </w:r>
      <w:r>
        <w:t xml:space="preserve"> </w:t>
      </w:r>
      <w:r>
        <w:t xml:space="preserve">林前 11:27-34；太 7:6；林前 5:1-13；犹 1:23；提前 5:22；林后 2:7。</w:t>
      </w:r>
    </w:p>
  </w:footnote>
  <w:footnote w:id="817">
    <w:p>
      <w:pPr>
        <w:pStyle w:val="FootnoteText"/>
      </w:pPr>
      <w:r>
        <w:rPr>
          <w:rStyle w:val="FootnoteReference"/>
        </w:rPr>
        <w:footnoteRef/>
      </w:r>
      <w:r>
        <w:t xml:space="preserve"> </w:t>
      </w:r>
      <w:r>
        <w:t xml:space="preserve">利 10:3；来 12:28；诗 5:7；林前 11:17,26-27；出 24:8；太 26:28；林前 11:29；路 22:19；林前 11:26；林前 10:3-5,11,14；林前 11:31；亚 12:10；启 22:17；约 6:35；约 1:16；腓 3:9；诗 63:4-5；代下 30:21；诗 22:26；耶 1:5；诗 1:5；徒 2:42。</w:t>
      </w:r>
    </w:p>
  </w:footnote>
  <w:footnote w:id="818">
    <w:p>
      <w:pPr>
        <w:pStyle w:val="FootnoteText"/>
      </w:pPr>
      <w:r>
        <w:rPr>
          <w:rStyle w:val="FootnoteReference"/>
        </w:rPr>
        <w:footnoteRef/>
      </w:r>
      <w:r>
        <w:t xml:space="preserve"> </w:t>
      </w:r>
      <w:r>
        <w:t xml:space="preserve">诗 28:7；诗 85:8；林前 11:17,30-31；代下 30:21-23,25-26；徒 2:42,46-47；诗 36:10；歌 3:4；代上 29:18；林前 10:3-5,12；诗 1:14；林前 11:25-26；徒 2:42,46；歌 5:1-6；传 5:1-6；诗 73:1-2；诗 42:5,8；诗 43:3-5；代下 30:18-19；赛 1:16,18；林后 7:11；代上 15:12-14。</w:t>
      </w:r>
    </w:p>
  </w:footnote>
  <w:footnote w:id="819">
    <w:p>
      <w:pPr>
        <w:pStyle w:val="FootnoteText"/>
      </w:pPr>
      <w:r>
        <w:rPr>
          <w:rStyle w:val="FootnoteReference"/>
        </w:rPr>
        <w:footnoteRef/>
      </w:r>
      <w:r>
        <w:t xml:space="preserve"> </w:t>
      </w:r>
      <w:r>
        <w:t xml:space="preserve">太 28:19；林前 11:23；罗 6:3-4；林前 10:16；罗 4:11；西 2:12；太 26:27-28；约 1:33；太 28:19；林前 11:23；林前 4:1；来 5:4；太 28:19-20；林前 11:26。</w:t>
      </w:r>
    </w:p>
  </w:footnote>
  <w:footnote w:id="820">
    <w:p>
      <w:pPr>
        <w:pStyle w:val="FootnoteText"/>
      </w:pPr>
      <w:r>
        <w:rPr>
          <w:rStyle w:val="FootnoteReference"/>
        </w:rPr>
        <w:footnoteRef/>
      </w:r>
      <w:r>
        <w:t xml:space="preserve"> </w:t>
      </w:r>
      <w:r>
        <w:t xml:space="preserve">太 3:11；多 3:5；加 3:27；创 17:7,9；徒 2:38-39；林前 7:14；林前 11:23-26；林前 10:16；林前 11:28-29。</w:t>
      </w:r>
    </w:p>
  </w:footnote>
  <w:footnote w:id="821">
    <w:p>
      <w:pPr>
        <w:pStyle w:val="FootnoteText"/>
      </w:pPr>
      <w:r>
        <w:rPr>
          <w:rStyle w:val="FootnoteReference"/>
        </w:rPr>
        <w:footnoteRef/>
      </w:r>
      <w:r>
        <w:t xml:space="preserve"> </w:t>
      </w:r>
      <w:r>
        <w:t xml:space="preserve">诗 62:8；约 16:23；罗 8:26；诗 32:5-6；但 9:4；腓 4:6。</w:t>
      </w:r>
    </w:p>
  </w:footnote>
  <w:footnote w:id="822">
    <w:p>
      <w:pPr>
        <w:pStyle w:val="FootnoteText"/>
      </w:pPr>
      <w:r>
        <w:rPr>
          <w:rStyle w:val="FootnoteReference"/>
        </w:rPr>
        <w:footnoteRef/>
      </w:r>
      <w:r>
        <w:t xml:space="preserve"> </w:t>
      </w:r>
      <w:r>
        <w:t xml:space="preserve">王上 8:39；徒 1:24；罗 8:27；诗 65:2；弥 7:18；诗 145:18-19；罗 10:14；太 4:10；林前 1:2；诗 50:15；罗 10:14。</w:t>
      </w:r>
    </w:p>
  </w:footnote>
  <w:footnote w:id="823">
    <w:p>
      <w:pPr>
        <w:pStyle w:val="FootnoteText"/>
      </w:pPr>
      <w:r>
        <w:rPr>
          <w:rStyle w:val="FootnoteReference"/>
        </w:rPr>
        <w:footnoteRef/>
      </w:r>
      <w:r>
        <w:t xml:space="preserve"> </w:t>
      </w:r>
      <w:r>
        <w:t xml:space="preserve">约 14:13-14；约 16:24；但 9:17；太 7:21；来 4:14-16；约一 5:13-15。</w:t>
      </w:r>
    </w:p>
  </w:footnote>
  <w:footnote w:id="824">
    <w:p>
      <w:pPr>
        <w:pStyle w:val="FootnoteText"/>
      </w:pPr>
      <w:r>
        <w:rPr>
          <w:rStyle w:val="FootnoteReference"/>
        </w:rPr>
        <w:footnoteRef/>
      </w:r>
      <w:r>
        <w:t xml:space="preserve"> </w:t>
      </w:r>
      <w:r>
        <w:t xml:space="preserve">约 14:6；赛 59:2；弗 3:12；约 6:27；来 7:25-27；提前 2:5；西 3:17；来 13:15。</w:t>
      </w:r>
    </w:p>
  </w:footnote>
  <w:footnote w:id="825">
    <w:p>
      <w:pPr>
        <w:pStyle w:val="FootnoteText"/>
      </w:pPr>
      <w:r>
        <w:rPr>
          <w:rStyle w:val="FootnoteReference"/>
        </w:rPr>
        <w:footnoteRef/>
      </w:r>
      <w:r>
        <w:t xml:space="preserve"> </w:t>
      </w:r>
      <w:r>
        <w:t xml:space="preserve">罗 8:26-27；诗 10:17；亚 12:10。</w:t>
      </w:r>
    </w:p>
  </w:footnote>
  <w:footnote w:id="826">
    <w:p>
      <w:pPr>
        <w:pStyle w:val="FootnoteText"/>
      </w:pPr>
      <w:r>
        <w:rPr>
          <w:rStyle w:val="FootnoteReference"/>
        </w:rPr>
        <w:footnoteRef/>
      </w:r>
      <w:r>
        <w:t xml:space="preserve"> </w:t>
      </w:r>
      <w:r>
        <w:t xml:space="preserve">弗 6:18；诗 28:9；提前 2:1-2；西 4:3；创 32:11；雅 5:16；太 5:44；提前 2:1-2；约 17:20；撒下 7:29；撒下 12:21-23；约一 5:16。</w:t>
      </w:r>
    </w:p>
  </w:footnote>
  <w:footnote w:id="827">
    <w:p>
      <w:pPr>
        <w:pStyle w:val="FootnoteText"/>
      </w:pPr>
      <w:r>
        <w:rPr>
          <w:rStyle w:val="FootnoteReference"/>
        </w:rPr>
        <w:footnoteRef/>
      </w:r>
      <w:r>
        <w:t xml:space="preserve"> </w:t>
      </w:r>
      <w:r>
        <w:t xml:space="preserve">太 6:9；诗 51:18；诗 122:6；太 7:11；诗 125:4；约一 5:14。</w:t>
      </w:r>
    </w:p>
  </w:footnote>
  <w:footnote w:id="828">
    <w:p>
      <w:pPr>
        <w:pStyle w:val="FootnoteText"/>
      </w:pPr>
      <w:r>
        <w:rPr>
          <w:rStyle w:val="FootnoteReference"/>
        </w:rPr>
        <w:footnoteRef/>
      </w:r>
      <w:r>
        <w:t xml:space="preserve"> </w:t>
      </w:r>
      <w:r>
        <w:t xml:space="preserve">传 5:1；创 18:27；创 32:10；路 15:17-19；路 18:13-14；诗 51:17；腓 4:6；撒上 1:15；撒上 2:1；林前 14:15；可 11:24；雅 1:6；诗 145:18；诗 17:1；雅 5:16；提前 2:8；弗 6:18；弥 7:7；太 26:39。</w:t>
      </w:r>
    </w:p>
  </w:footnote>
  <w:footnote w:id="829">
    <w:p>
      <w:pPr>
        <w:pStyle w:val="FootnoteText"/>
      </w:pPr>
      <w:r>
        <w:rPr>
          <w:rStyle w:val="FootnoteReference"/>
        </w:rPr>
        <w:footnoteRef/>
      </w:r>
      <w:r>
        <w:t xml:space="preserve"> </w:t>
      </w:r>
      <w:r>
        <w:t xml:space="preserve">约一 5:14；太 6:9-13；路 11:2-4。</w:t>
      </w:r>
    </w:p>
  </w:footnote>
  <w:footnote w:id="830">
    <w:p>
      <w:pPr>
        <w:pStyle w:val="FootnoteText"/>
      </w:pPr>
      <w:r>
        <w:rPr>
          <w:rStyle w:val="FootnoteReference"/>
        </w:rPr>
        <w:footnoteRef/>
      </w:r>
      <w:r>
        <w:t xml:space="preserve"> </w:t>
      </w:r>
      <w:r>
        <w:t xml:space="preserve">太 6:9；路 11:2。</w:t>
      </w:r>
    </w:p>
  </w:footnote>
  <w:footnote w:id="831">
    <w:p>
      <w:pPr>
        <w:pStyle w:val="FootnoteText"/>
      </w:pPr>
      <w:r>
        <w:rPr>
          <w:rStyle w:val="FootnoteReference"/>
        </w:rPr>
        <w:footnoteRef/>
      </w:r>
      <w:r>
        <w:t xml:space="preserve"> </w:t>
      </w:r>
      <w:r>
        <w:t xml:space="preserve">太 6:9；路 11:13；罗 8:15；赛 64:9；诗 123:1；哀 3:41；赛 63:15-16；尼 1:4-6；徒 12:5。</w:t>
      </w:r>
    </w:p>
  </w:footnote>
  <w:footnote w:id="832">
    <w:p>
      <w:pPr>
        <w:pStyle w:val="FootnoteText"/>
      </w:pPr>
      <w:r>
        <w:rPr>
          <w:rStyle w:val="FootnoteReference"/>
        </w:rPr>
        <w:footnoteRef/>
      </w:r>
      <w:r>
        <w:t xml:space="preserve"> </w:t>
      </w:r>
      <w:r>
        <w:t xml:space="preserve">太 6:9；林后 3:5；诗 51:15；诗 67:2-3；诗 83:18；诗 86:10-13,15；帖后 3:1；诗 147:19-20；诗 138:1-3；林后 2:14-15；诗 145:1-21；诗 8；诗 103:1；诗 19:14；腓 1:9,11；诗 67:1-4；弗 1:17-18；诗 97:7；诗 74:18,22-23；王下 19:15-16；代下 20:6,10-12；诗 83:1-18；诗 140:4-8。</w:t>
      </w:r>
    </w:p>
  </w:footnote>
  <w:footnote w:id="833">
    <w:p>
      <w:pPr>
        <w:pStyle w:val="FootnoteText"/>
      </w:pPr>
      <w:r>
        <w:rPr>
          <w:rStyle w:val="FootnoteReference"/>
        </w:rPr>
        <w:footnoteRef/>
      </w:r>
      <w:r>
        <w:t xml:space="preserve"> </w:t>
      </w:r>
      <w:r>
        <w:t xml:space="preserve">太 6:10；弗 2:2-3；诗 68:1,18；启 12:10-11；帖后 3:1；罗 10:1；约 17:9,20；罗 11:25-26；诗 67:1-7；太 9:38；帖后 3:1；玛 1:11；番 3:9；提前 2:1-2；徒 4:29-30；弗 3:14-20；启 22:20；赛 64:1-2；启 4:8-11；弗 6:18-20；罗 15:29-30,32；帖后 1:11；帖后 2:16-17。</w:t>
      </w:r>
    </w:p>
  </w:footnote>
  <w:footnote w:id="834">
    <w:p>
      <w:pPr>
        <w:pStyle w:val="FootnoteText"/>
      </w:pPr>
      <w:r>
        <w:rPr>
          <w:rStyle w:val="FootnoteReference"/>
        </w:rPr>
        <w:footnoteRef/>
      </w:r>
      <w:r>
        <w:t xml:space="preserve"> </w:t>
      </w:r>
      <w:r>
        <w:t xml:space="preserve">太 6:10；罗 7:18；伯 21:14；林前 2:14；罗 8:7；出 17:7；民 14:2；弗 2:2；弗 1:17-18；弗 3:16；太 26:40-41；耶 31:18-19；诗 119:1,8,35-36；徒 21:14；弥 6:8；诗 100:2；伯 1:21；撒下 15:25-26；赛 38:3；诗 119:4-5；罗 12:11；诗 119:80；诗 119:112；赛 6:2-3；诗 103:20-21；太 18:10。</w:t>
      </w:r>
    </w:p>
  </w:footnote>
  <w:footnote w:id="835">
    <w:p>
      <w:pPr>
        <w:pStyle w:val="FootnoteText"/>
      </w:pPr>
      <w:r>
        <w:rPr>
          <w:rStyle w:val="FootnoteReference"/>
        </w:rPr>
        <w:footnoteRef/>
      </w:r>
      <w:r>
        <w:t xml:space="preserve"> </w:t>
      </w:r>
      <w:r>
        <w:t xml:space="preserve">太 6:11；创 2:17；创 3:17；罗 8:20-22；耶 5:25；申 28:15-68；申 8:3；创 32:10；申 8:17-18；耶 6:13；可 7:21-22；何 12:7；雅 4:3；创 43:12-14；创 28:20；弗 4:28；帖后 3:11-12；腓 4:6；提前 4:3-5；提前 6:6-8；箴 30:8-9。</w:t>
      </w:r>
    </w:p>
  </w:footnote>
  <w:footnote w:id="836">
    <w:p>
      <w:pPr>
        <w:pStyle w:val="FootnoteText"/>
      </w:pPr>
      <w:r>
        <w:rPr>
          <w:rStyle w:val="FootnoteReference"/>
        </w:rPr>
        <w:footnoteRef/>
      </w:r>
      <w:r>
        <w:t xml:space="preserve"> </w:t>
      </w:r>
      <w:r>
        <w:t xml:space="preserve">太 6:12；罗 3:9-22；太 18:24-25；诗 130:3-4；罗 3:24-26；来 9:22；弗 1:6-7；彼后 1:2；何 14:2；耶 14:7；罗 15:13；诗 51:7-10,12；路 11:4；太 6:14-15；太 18:35。</w:t>
      </w:r>
    </w:p>
  </w:footnote>
  <w:footnote w:id="837">
    <w:p>
      <w:pPr>
        <w:pStyle w:val="FootnoteText"/>
      </w:pPr>
      <w:r>
        <w:rPr>
          <w:rStyle w:val="FootnoteReference"/>
        </w:rPr>
        <w:footnoteRef/>
      </w:r>
      <w:r>
        <w:t xml:space="preserve"> </w:t>
      </w:r>
      <w:r>
        <w:t xml:space="preserve">太 6:13；代下 32:31；代上 21:1；路 21:34；可 4:19；雅 1:14；加 5:17；太 26:41；太 26:69-72；加 2:11-14；代下 18:3；代下 19:2；罗 7:23-24；代上 21:1-4；代下 16:7-10；诗 81:11-12；约 17:15；诗 51:10；诗 119:133；林后 12:7-8；林前 10:12-13；来 13:20-21；太 26:41；诗 19:13；弗 3:14-17；帖前 3:13；犹 1:24；诗 51:12；彼前 5:8-10；林后 13:7,9；罗 16:20；亚 3:2；路 12:31-32；约 17:15；帖前 5:23。</w:t>
      </w:r>
    </w:p>
  </w:footnote>
  <w:footnote w:id="838">
    <w:p>
      <w:pPr>
        <w:pStyle w:val="FootnoteText"/>
      </w:pPr>
      <w:r>
        <w:rPr>
          <w:rStyle w:val="FootnoteReference"/>
        </w:rPr>
        <w:footnoteRef/>
      </w:r>
      <w:r>
        <w:t xml:space="preserve"> </w:t>
      </w:r>
      <w:r>
        <w:t xml:space="preserve">太 6:13；罗 15:30；但 9:4,7-9,16-19；腓 4:6；代上 29:10-13；弗 3:20-21；路 11:13；代下 20:6,11；代下 14:11；林前 14:16；启 22:20-21。</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00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00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00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7">
    <w:nsid w:val="00A9941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18">
    <w:nsid w:val="00A9941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威斯敏斯特准则</dc:title>
  <dc:creator/>
  <dc:language>zh-CN</dc:language>
  <cp:keywords/>
  <dcterms:created xsi:type="dcterms:W3CDTF">2026-07-21T02:53:18Z</dcterms:created>
  <dcterms:modified xsi:type="dcterms:W3CDTF">2026-07-21T02:53:18Z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