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公教会教理</w:t>
      </w:r>
    </w:p>
    <w:p>
      <w:pPr>
        <w:pStyle w:val="Author"/>
      </w:pP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50" w:name="序言"/>
    <w:p>
      <w:pPr>
        <w:pStyle w:val="Heading1"/>
      </w:pPr>
      <w:r>
        <w:t xml:space="preserve">序言</w:t>
      </w:r>
    </w:p>
    <w:p>
      <w:pPr>
        <w:pStyle w:val="FirstParagraph"/>
      </w:pPr>
      <w:r>
        <w:t xml:space="preserve">「父啊，……认识你独一的真神，并且认识你所差来的耶稣基督，这就是永生。」</w:t>
      </w:r>
      <w:r>
        <w:rPr>
          <w:rStyle w:val="FootnoteReference"/>
        </w:rPr>
        <w:footnoteReference w:id="20"/>
      </w:r>
      <w:r>
        <w:t xml:space="preserve">「在神我们救主面前，他愿意万人得救，明白真道。」</w:t>
      </w:r>
      <w:r>
        <w:rPr>
          <w:rStyle w:val="FootnoteReference"/>
        </w:rPr>
        <w:footnoteReference w:id="21"/>
      </w:r>
      <w:r>
        <w:t xml:space="preserve">「除他以外，别无拯救；因为在天下人间，没有赐下别的名，我们可以靠着得救。」</w:t>
      </w:r>
      <w:r>
        <w:rPr>
          <w:rStyle w:val="FootnoteReference"/>
        </w:rPr>
        <w:footnoteReference w:id="22"/>
      </w:r>
    </w:p>
    <w:bookmarkStart w:id="26" w:name="一人的生命认识并爱神"/>
    <w:p>
      <w:pPr>
        <w:pStyle w:val="Heading2"/>
      </w:pPr>
      <w:r>
        <w:t xml:space="preserve">一、人的生命——认识并爱神</w:t>
      </w:r>
    </w:p>
    <w:p>
      <w:pPr>
        <w:pStyle w:val="FirstParagraph"/>
      </w:pPr>
      <w:r>
        <w:t xml:space="preserve">无限完美和福乐的神，按着他纯全的美意自由地创造了人，为了使他分享自己的福乐生命。因此，无论何时何地，神总亲近人，呼召人寻求他，认识他，尽心尽力爱他。他召集被罪分散和分裂的众人，进入他家庭——教会的合一。为成就这事，及至时候满足，神差遣他的儿子作为救赎主和拯救者。在他的儿子里，并借着他，他邀请人们在圣灵中成为他收纳的儿女，成为他福乐生命的后嗣。</w:t>
      </w:r>
    </w:p>
    <w:p>
      <w:pPr>
        <w:pStyle w:val="BodyText"/>
      </w:pPr>
      <w:r>
        <w:t xml:space="preserve">为使这呼召响彻世界，基督差遣他所拣选的使徒，委派他们传扬福音：「所以你们要去，使万民作我的门徒，奉父、子、圣灵的名给他们施洗。凡我所吩咐你们的，都教训他们遵守。我就常与你们同在，直到世界的末了。」</w:t>
      </w:r>
      <w:r>
        <w:rPr>
          <w:rStyle w:val="FootnoteReference"/>
        </w:rPr>
        <w:footnoteReference w:id="23"/>
      </w:r>
      <w:r>
        <w:t xml:space="preserve">使徒们得了这使命的坚固，「就出去，到处宣传福音。主和他们同工，用神迹随着，证实所传的道。」</w:t>
      </w:r>
      <w:r>
        <w:rPr>
          <w:rStyle w:val="FootnoteReference"/>
        </w:rPr>
        <w:footnoteReference w:id="24"/>
      </w:r>
    </w:p>
    <w:p>
      <w:pPr>
        <w:pStyle w:val="BodyText"/>
      </w:pPr>
      <w:r>
        <w:t xml:space="preserve">那些在神帮助下接受基督呼召并自由回应的人，被基督的爱激励，向普天下传扬福音。这从使徒领受的宝贝，由他们的继承者忠心守护。所有基督的信徒都蒙召将其代代相传，藉着信仰的宣认，藉着在弟兄姊妹间的生活分享，藉着在礼仪和祷告中的庆祝。</w:t>
      </w:r>
      <w:r>
        <w:rPr>
          <w:rStyle w:val="FootnoteReference"/>
        </w:rPr>
        <w:footnoteReference w:id="25"/>
      </w:r>
    </w:p>
    <w:bookmarkEnd w:id="26"/>
    <w:bookmarkStart w:id="35" w:name="二传递信仰教理讲授"/>
    <w:p>
      <w:pPr>
        <w:pStyle w:val="Heading2"/>
      </w:pPr>
      <w:r>
        <w:t xml:space="preserve">二、传递信仰：教理讲授</w:t>
      </w:r>
    </w:p>
    <w:p>
      <w:pPr>
        <w:pStyle w:val="FirstParagraph"/>
      </w:pPr>
      <w:r>
        <w:t xml:space="preserve">很早以来，教会将其使人成为门徒的全部努力称为</w:t>
      </w:r>
      <w:r>
        <w:rPr>
          <w:i/>
          <w:iCs/>
        </w:rPr>
        <w:t xml:space="preserve">教理讲授</w:t>
      </w:r>
      <w:r>
        <w:t xml:space="preserve">，帮助人相信耶稣是神的儿子，使他们因信而在他名里得生命，并在这生命中受教育和教导，从而建立基督的身体。</w:t>
      </w:r>
      <w:r>
        <w:rPr>
          <w:rStyle w:val="FootnoteReference"/>
        </w:rPr>
        <w:footnoteReference w:id="27"/>
      </w:r>
    </w:p>
    <w:p>
      <w:pPr>
        <w:pStyle w:val="BodyText"/>
      </w:pPr>
      <w:r>
        <w:t xml:space="preserve">「教理讲授是对儿童、青年和成人的</w:t>
      </w:r>
      <w:r>
        <w:rPr>
          <w:i/>
          <w:iCs/>
        </w:rPr>
        <w:t xml:space="preserve">信仰教育</w:t>
      </w:r>
      <w:r>
        <w:t xml:space="preserve">，特别包括基督教义的传授，总的来说是以有序和系统的方式进行，旨在引导听者进入基督徒生活的丰盛。」</w:t>
      </w:r>
      <w:r>
        <w:rPr>
          <w:rStyle w:val="FootnoteReference"/>
        </w:rPr>
        <w:footnoteReference w:id="28"/>
      </w:r>
    </w:p>
    <w:p>
      <w:pPr>
        <w:pStyle w:val="BodyText"/>
      </w:pPr>
      <w:r>
        <w:t xml:space="preserve">教理讲授虽然不与它们正式等同，却建立在教会牧灵使命中具有教理性质的若干要素之上，这些要素为教理讲授作准备，或由其产生。它们是：为激发信仰而初次宣讲福音或传教讲道；对信仰理由的探究；基督徒生活的体验；圣事的庆祝；融入教会团体；以及使徒性和宣教的见证。</w:t>
      </w:r>
      <w:r>
        <w:rPr>
          <w:rStyle w:val="FootnoteReference"/>
        </w:rPr>
        <w:footnoteReference w:id="29"/>
      </w:r>
    </w:p>
    <w:p>
      <w:pPr>
        <w:pStyle w:val="BodyText"/>
      </w:pPr>
      <w:r>
        <w:t xml:space="preserve">「教理讲授与教会的整个生命密切相关。不仅教会的地理扩展和人数增长，更重要是她的内在成长和与神计划的契合，本质上都依赖于教理讲授。」</w:t>
      </w:r>
      <w:r>
        <w:rPr>
          <w:rStyle w:val="FootnoteReference"/>
        </w:rPr>
        <w:footnoteReference w:id="30"/>
      </w:r>
    </w:p>
    <w:p>
      <w:pPr>
        <w:pStyle w:val="BodyText"/>
      </w:pPr>
      <w:r>
        <w:t xml:space="preserve">教会的复兴时期也是教理讲授的高峰。在教父的伟大时代，圣洁的主教们将他们事工的重要部分献给教理讲授。耶路撒冷的圣区利罗和圣约翰屈梭多模，圣安波罗修和圣奥古斯丁，以及许多其他教父都撰写了教理作品，至今仍是我们的典范。</w:t>
      </w:r>
      <w:r>
        <w:rPr>
          <w:rStyle w:val="FootnoteReference"/>
        </w:rPr>
        <w:footnoteReference w:id="31"/>
      </w:r>
    </w:p>
    <w:p>
      <w:pPr>
        <w:pStyle w:val="BodyText"/>
      </w:pPr>
      <w:r>
        <w:t xml:space="preserve">「教理讲授的事工从大公会议中不断汲取新的活力。特伦多大公会议就是一个显著的例子。它在会议决议和法令中将教理讲授置于优先地位。它促成了《罗马教理》的产生，这部教理也以该会议的名字而闻名，是基督教教义概要的一流著作……」</w:t>
      </w:r>
      <w:r>
        <w:rPr>
          <w:rStyle w:val="FootnoteReference"/>
        </w:rPr>
        <w:footnoteReference w:id="32"/>
      </w:r>
      <w:r>
        <w:t xml:space="preserve">特利腾会议启动了教会教理讲授的卓越组织。感谢圣伯多禄·加尼修、圣嘉禄·鲍荣茂、圣图里比乌斯·蒙格罗维约和圣罗伯特·白敏等圣主教和神学家的工作，它促成了众多教理的出版。</w:t>
      </w:r>
    </w:p>
    <w:p>
      <w:pPr>
        <w:pStyle w:val="BodyText"/>
      </w:pPr>
      <w:r>
        <w:t xml:space="preserve">因此，教会的教理讲授在梵蒂冈第二次大公会议之后再次引起关注也就不足为奇了。教宗保禄六世将其视为现代的伟大教理。《总教理目录》（1971 年）、主教会议关于福传（1974 年）和教理讲授（1977 年）的会议、《福音的宣讲》（1975 年）和《教理讲授》（1979 年）宗座劝谕，都证明了这一点。1985 年非常主教会议请求「编写一本关于信仰和道德的所有公教会教义的教理或纲要」</w:t>
      </w:r>
      <w:r>
        <w:rPr>
          <w:rStyle w:val="FootnoteReference"/>
        </w:rPr>
        <w:footnoteReference w:id="33"/>
      </w:r>
      <w:r>
        <w:t xml:space="preserve">教宗若望保禄二世教宗将会议的愿望视为自己的愿望，承认「这个愿望完全符合普世教会和各地方教会的实际需要」。</w:t>
      </w:r>
      <w:r>
        <w:rPr>
          <w:rStyle w:val="FootnoteReference"/>
        </w:rPr>
        <w:footnoteReference w:id="34"/>
      </w:r>
      <w:r>
        <w:t xml:space="preserve">他启动了一切必要的措施来实现主教们的愿望。</w:t>
      </w:r>
    </w:p>
    <w:bookmarkEnd w:id="35"/>
    <w:bookmarkStart w:id="37" w:name="三教理的目的和预期读者"/>
    <w:p>
      <w:pPr>
        <w:pStyle w:val="Heading2"/>
      </w:pPr>
      <w:r>
        <w:t xml:space="preserve">三、教理的目的和预期读者</w:t>
      </w:r>
    </w:p>
    <w:p>
      <w:pPr>
        <w:pStyle w:val="FirstParagraph"/>
      </w:pPr>
      <w:r>
        <w:t xml:space="preserve">这部教理旨在根据梵蒂冈第二次大公会议和整个教会的圣传，呈现公教会教义在信仰和道德方面的基本内容的有机综合。其主要来源是圣经、教父、礼仪和教会的训导权。它旨在「作为各国编写的教理或纲要的参考」。</w:t>
      </w:r>
      <w:r>
        <w:rPr>
          <w:rStyle w:val="FootnoteReference"/>
        </w:rPr>
        <w:footnoteReference w:id="36"/>
      </w:r>
    </w:p>
    <w:p>
      <w:pPr>
        <w:pStyle w:val="BodyText"/>
      </w:pPr>
      <w:r>
        <w:t xml:space="preserve">这部教理主要为负责教理讲授的人而设：首先是主教们，作为信仰的教师和教会的牧者。它被作为一种工具提供给他们，以履行他们教导神子民的责任。通过主教们，它也面向教理编纂者、司祭和教理教师。它也将对所有其他基督信徒有益。</w:t>
      </w:r>
    </w:p>
    <w:bookmarkEnd w:id="37"/>
    <w:bookmarkStart w:id="43" w:name="四本教理的结构"/>
    <w:p>
      <w:pPr>
        <w:pStyle w:val="Heading2"/>
      </w:pPr>
      <w:r>
        <w:t xml:space="preserve">四、本教理的结构</w:t>
      </w:r>
    </w:p>
    <w:p>
      <w:pPr>
        <w:pStyle w:val="FirstParagraph"/>
      </w:pPr>
      <w:r>
        <w:t xml:space="preserve">这部教理的结构受教理伟大传统的启发，建立在四个支柱上：洗礼的信仰宣认（</w:t>
      </w:r>
      <w:r>
        <w:rPr>
          <w:i/>
          <w:iCs/>
        </w:rPr>
        <w:t xml:space="preserve">信经</w:t>
      </w:r>
      <w:r>
        <w:t xml:space="preserve">）、信仰的圣事、信仰的生活（</w:t>
      </w:r>
      <w:r>
        <w:rPr>
          <w:i/>
          <w:iCs/>
        </w:rPr>
        <w:t xml:space="preserve">诫命</w:t>
      </w:r>
      <w:r>
        <w:t xml:space="preserve">）和信徒的祷告（</w:t>
      </w:r>
      <w:r>
        <w:rPr>
          <w:i/>
          <w:iCs/>
        </w:rPr>
        <w:t xml:space="preserve">主祷文</w:t>
      </w:r>
      <w:r>
        <w:t xml:space="preserve">）。</w:t>
      </w:r>
    </w:p>
    <w:bookmarkStart w:id="39" w:name="卷一信仰的宣认"/>
    <w:p>
      <w:pPr>
        <w:pStyle w:val="Heading3"/>
      </w:pPr>
      <w:r>
        <w:t xml:space="preserve">卷一：信仰的宣认</w:t>
      </w:r>
    </w:p>
    <w:p>
      <w:pPr>
        <w:pStyle w:val="FirstParagraph"/>
      </w:pPr>
      <w:r>
        <w:t xml:space="preserve">那些藉信心和洗礼归于基督的人，必须在世人面前宣认他们的洗礼信仰。</w:t>
      </w:r>
      <w:r>
        <w:rPr>
          <w:rStyle w:val="FootnoteReference"/>
        </w:rPr>
        <w:footnoteReference w:id="38"/>
      </w:r>
      <w:r>
        <w:t xml:space="preserve">因此，首先教理阐述了启示，借此神向人说话，并将自己赐给人；以及人以信心回应神（</w:t>
      </w:r>
      <w:r>
        <w:rPr>
          <w:i/>
          <w:iCs/>
        </w:rPr>
        <w:t xml:space="preserve">第一部分</w:t>
      </w:r>
      <w:r>
        <w:t xml:space="preserve">）。信仰的宣认总结了神赐给人的恩赐：作为一切美善的源头；作为救赎主；作为成圣者。它在关于我们对独一神的洗礼信仰的三章中展开了这些内容：全能的父，创造者；他的子耶稣基督，我们的主和救主；以及在圣教会中的圣灵，成圣者（</w:t>
      </w:r>
      <w:r>
        <w:rPr>
          <w:i/>
          <w:iCs/>
        </w:rPr>
        <w:t xml:space="preserve">第二部分</w:t>
      </w:r>
      <w:r>
        <w:t xml:space="preserve">）。</w:t>
      </w:r>
    </w:p>
    <w:bookmarkEnd w:id="39"/>
    <w:bookmarkStart w:id="40" w:name="卷二信仰的圣事"/>
    <w:p>
      <w:pPr>
        <w:pStyle w:val="Heading3"/>
      </w:pPr>
      <w:r>
        <w:t xml:space="preserve">卷二：信仰的圣事</w:t>
      </w:r>
    </w:p>
    <w:p>
      <w:pPr>
        <w:pStyle w:val="FirstParagraph"/>
      </w:pPr>
      <w:r>
        <w:t xml:space="preserve">教理的第二部分解释神藉基督耶稣和圣灵一次成就的救恩如何在教会礼仪的圣事中显现（</w:t>
      </w:r>
      <w:r>
        <w:rPr>
          <w:i/>
          <w:iCs/>
        </w:rPr>
        <w:t xml:space="preserve">第一部分</w:t>
      </w:r>
      <w:r>
        <w:t xml:space="preserve">），特别是在七圣事中（</w:t>
      </w:r>
      <w:r>
        <w:rPr>
          <w:i/>
          <w:iCs/>
        </w:rPr>
        <w:t xml:space="preserve">第二部分</w:t>
      </w:r>
      <w:r>
        <w:t xml:space="preserve">）。</w:t>
      </w:r>
    </w:p>
    <w:bookmarkEnd w:id="40"/>
    <w:bookmarkStart w:id="41" w:name="卷三信仰的生活"/>
    <w:p>
      <w:pPr>
        <w:pStyle w:val="Heading3"/>
      </w:pPr>
      <w:r>
        <w:t xml:space="preserve">卷三：信仰的生活</w:t>
      </w:r>
    </w:p>
    <w:p>
      <w:pPr>
        <w:pStyle w:val="FirstParagraph"/>
      </w:pPr>
      <w:r>
        <w:t xml:space="preserve">教理的第三部分论述按神形象被造之人的最终目的：福乐，以及达到福乐的途径——藉着自由选择的正当行为，在神律法和恩典的帮助下（</w:t>
      </w:r>
      <w:r>
        <w:rPr>
          <w:i/>
          <w:iCs/>
        </w:rPr>
        <w:t xml:space="preserve">第一部分</w:t>
      </w:r>
      <w:r>
        <w:t xml:space="preserve">），并藉着履行爱之双重诫命的行为，具体体现在神的十诫中（</w:t>
      </w:r>
      <w:r>
        <w:rPr>
          <w:i/>
          <w:iCs/>
        </w:rPr>
        <w:t xml:space="preserve">第二部分</w:t>
      </w:r>
      <w:r>
        <w:t xml:space="preserve">）。</w:t>
      </w:r>
    </w:p>
    <w:bookmarkEnd w:id="41"/>
    <w:bookmarkStart w:id="42" w:name="卷四信仰生活中的祷告"/>
    <w:p>
      <w:pPr>
        <w:pStyle w:val="Heading3"/>
      </w:pPr>
      <w:r>
        <w:t xml:space="preserve">卷四：信仰生活中的祷告</w:t>
      </w:r>
    </w:p>
    <w:p>
      <w:pPr>
        <w:pStyle w:val="FirstParagraph"/>
      </w:pPr>
      <w:r>
        <w:t xml:space="preserve">教理的最后部分论述祷告在信徒生活中的意义和重要性（</w:t>
      </w:r>
      <w:r>
        <w:rPr>
          <w:i/>
          <w:iCs/>
        </w:rPr>
        <w:t xml:space="preserve">第一部分</w:t>
      </w:r>
      <w:r>
        <w:t xml:space="preserve">），并以对主祷文七个祈求的简要释义作结（</w:t>
      </w:r>
      <w:r>
        <w:rPr>
          <w:i/>
          <w:iCs/>
        </w:rPr>
        <w:t xml:space="preserve">第二部分</w:t>
      </w:r>
      <w:r>
        <w:t xml:space="preserve">）；因为在这些祈求中，我们确实找到了我们所当盼望的一切美善，也是我们天父所愿赐给我们的。</w:t>
      </w:r>
    </w:p>
    <w:bookmarkEnd w:id="42"/>
    <w:bookmarkEnd w:id="43"/>
    <w:bookmarkStart w:id="44" w:name="五本教理的使用指南"/>
    <w:p>
      <w:pPr>
        <w:pStyle w:val="Heading2"/>
      </w:pPr>
      <w:r>
        <w:t xml:space="preserve">五、本教理的使用指南</w:t>
      </w:r>
    </w:p>
    <w:p>
      <w:pPr>
        <w:pStyle w:val="FirstParagraph"/>
      </w:pPr>
      <w:r>
        <w:t xml:space="preserve">这部教理被设计为公教信仰的</w:t>
      </w:r>
      <w:r>
        <w:rPr>
          <w:i/>
          <w:iCs/>
        </w:rPr>
        <w:t xml:space="preserve">有机呈现</w:t>
      </w:r>
      <w:r>
        <w:t xml:space="preserve">。因此，应将其视为一个统一的整体。文中边注的众多交叉引用（句末的数字指向处理相同主题的其他段落），以及卷末的分析索引，使读者能在信仰整体的关系中看待每个主题。</w:t>
      </w:r>
    </w:p>
    <w:p>
      <w:pPr>
        <w:pStyle w:val="BodyText"/>
      </w:pPr>
      <w:r>
        <w:t xml:space="preserve">圣经的经文常常不是逐字引用，而仅以参考（</w:t>
      </w:r>
      <w:r>
        <w:rPr>
          <w:b/>
          <w:bCs/>
        </w:rPr>
        <w:t xml:space="preserve">参</w:t>
      </w:r>
      <w:r>
        <w:t xml:space="preserve">）表示。为更深入理解这些经文，读者应查阅圣经原文。这些圣经参考是教理讲授中宝贵的工具。</w:t>
      </w:r>
    </w:p>
    <w:p>
      <w:pPr>
        <w:pStyle w:val="BodyText"/>
      </w:pPr>
      <w:r>
        <w:t xml:space="preserve">某些段落中使用</w:t>
      </w:r>
      <w:r>
        <w:rPr>
          <w:b/>
          <w:bCs/>
        </w:rPr>
        <w:t xml:space="preserve">小字体</w:t>
      </w:r>
      <w:r>
        <w:t xml:space="preserve">表示具有历史或护教学性质的观察，或补充的教义解释。</w:t>
      </w:r>
    </w:p>
    <w:p>
      <w:pPr>
        <w:pStyle w:val="BodyText"/>
      </w:pPr>
      <w:r>
        <w:rPr>
          <w:b/>
          <w:bCs/>
        </w:rPr>
        <w:t xml:space="preserve">引文</w:t>
      </w:r>
      <w:r>
        <w:t xml:space="preserve">，也用小字体，来自教父、礼仪、训导权或圣徒传记，旨在丰富教义的呈现。这些文本常常被选用以便直接用于教理讲授。</w:t>
      </w:r>
    </w:p>
    <w:p>
      <w:pPr>
        <w:pStyle w:val="BodyText"/>
      </w:pPr>
      <w:r>
        <w:t xml:space="preserve">在每个主题单元的末尾，一系列小体斜体的简短文本以简明的公式总结该单元教导的要点。这些</w:t>
      </w:r>
      <w:r>
        <w:rPr>
          <w:i/>
          <w:iCs/>
        </w:rPr>
        <w:t xml:space="preserve">综述</w:t>
      </w:r>
      <w:r>
        <w:t xml:space="preserve">可以为地方教理讲授者提供可供记忆的简要公式。</w:t>
      </w:r>
    </w:p>
    <w:bookmarkEnd w:id="44"/>
    <w:bookmarkStart w:id="47" w:name="六必要的适应"/>
    <w:p>
      <w:pPr>
        <w:pStyle w:val="Heading2"/>
      </w:pPr>
      <w:r>
        <w:t xml:space="preserve">六、必要的适应</w:t>
      </w:r>
    </w:p>
    <w:p>
      <w:pPr>
        <w:pStyle w:val="FirstParagraph"/>
      </w:pPr>
      <w:r>
        <w:t xml:space="preserve">教理强调教义的阐述。它旨在帮助加深对信仰的理解。这样，它就指向信仰的成熟，使其在个人生活中扎根，并在个人行为中彰显。</w:t>
      </w:r>
      <w:r>
        <w:rPr>
          <w:rStyle w:val="FootnoteReference"/>
        </w:rPr>
        <w:footnoteReference w:id="45"/>
      </w:r>
    </w:p>
    <w:p>
      <w:pPr>
        <w:pStyle w:val="BodyText"/>
      </w:pPr>
      <w:r>
        <w:t xml:space="preserve">按设计，这部教理并不考虑因文化、年龄、灵性成熟度，以及社会和教会状况的差异而需要的教义呈现和教理方法的适应。这些不可或缺的适应是具体教理的责任，更是教导信徒者的责任：</w:t>
      </w:r>
    </w:p>
    <w:p>
      <w:pPr>
        <w:pStyle w:val="BodyText"/>
      </w:pPr>
      <w:r>
        <w:t xml:space="preserve">作教导的人必须「向什么样的人就作什么样的人」（林前 9:22），为要引领众人归向基督……教师最重要的是不可想象只有一种心灵托付给他们，因而以为用同一种方法教导和培育所有信徒真实的虔诚是合宜的！他们必须明白，有些人在基督里如同初生婴孩，有些如同少年，还有些如同成年人完全掌握能力……蒙召传道的人必须按着听众的成熟度和理解力调整他们的言语，在传授信仰奥秘和道德行为准则时如此行。</w:t>
      </w:r>
      <w:r>
        <w:rPr>
          <w:rStyle w:val="FootnoteReference"/>
        </w:rPr>
        <w:footnoteReference w:id="46"/>
      </w:r>
    </w:p>
    <w:bookmarkEnd w:id="47"/>
    <w:bookmarkStart w:id="49" w:name="最高的准则爱"/>
    <w:p>
      <w:pPr>
        <w:pStyle w:val="Heading2"/>
      </w:pPr>
      <w:r>
        <w:t xml:space="preserve">最高的准则——爱</w:t>
      </w:r>
    </w:p>
    <w:p>
      <w:pPr>
        <w:pStyle w:val="FirstParagraph"/>
      </w:pPr>
      <w:r>
        <w:t xml:space="preserve">作为本序言的结束，适合引述《罗马教理》的牧养原则：</w:t>
      </w:r>
    </w:p>
    <w:p>
      <w:pPr>
        <w:pStyle w:val="BodyText"/>
      </w:pPr>
      <w:r>
        <w:t xml:space="preserve">一切教义与教导，其关切和目标应是那永不止息的爱。无论讲论信仰对象，盼望目标，或行为准则，总要使人明白，一切基督徒美德的行为都源于爱，其终向也不外乎爱。</w:t>
      </w:r>
      <w:r>
        <w:rPr>
          <w:rStyle w:val="FootnoteReference"/>
        </w:rPr>
        <w:footnoteReference w:id="48"/>
      </w:r>
    </w:p>
    <w:bookmarkEnd w:id="49"/>
    <w:bookmarkEnd w:id="50"/>
    <w:bookmarkStart w:id="1964" w:name="卷一信仰的宣认-1"/>
    <w:p>
      <w:pPr>
        <w:pStyle w:val="Heading1"/>
      </w:pPr>
      <w:r>
        <w:t xml:space="preserve">卷一：信仰的宣认</w:t>
      </w:r>
    </w:p>
    <w:p>
      <w:r>
        <w:br w:type="page"/>
      </w:r>
    </w:p>
    <w:bookmarkStart w:id="287" w:name="第一部分我信我们信"/>
    <w:p>
      <w:pPr>
        <w:pStyle w:val="Heading2"/>
      </w:pPr>
      <w:r>
        <w:t xml:space="preserve">第一部分：「我信」——「我们信」</w:t>
      </w:r>
    </w:p>
    <w:p>
      <w:pPr>
        <w:pStyle w:val="FirstParagraph"/>
      </w:pPr>
      <w:r>
        <w:t xml:space="preserve">我们以「我信」或「我们信」来开始我们的信仰宣认。在解释教会的信仰之前——这信仰在信经中被宣认，在礼仪中被庆祝，并在遵行神的诫命和祈祷中被活出来——我们必须先问，「信」是什么意思。信心是人对神的回应；神向人启示他自己，并将他自己赐给人，同时在人寻找他生命最终意义的过程中，赐下超越丰盛的光照。因此，我们将先谈论这种寻求（</w:t>
      </w:r>
      <w:r>
        <w:rPr>
          <w:i/>
          <w:iCs/>
        </w:rPr>
        <w:t xml:space="preserve">第一章</w:t>
      </w:r>
      <w:r>
        <w:t xml:space="preserve">），接着谈论神借着启示来与人相遇（</w:t>
      </w:r>
      <w:r>
        <w:rPr>
          <w:i/>
          <w:iCs/>
        </w:rPr>
        <w:t xml:space="preserve">第二章</w:t>
      </w:r>
      <w:r>
        <w:t xml:space="preserve">），最后谈论信心的回应（</w:t>
      </w:r>
      <w:r>
        <w:rPr>
          <w:i/>
          <w:iCs/>
        </w:rPr>
        <w:t xml:space="preserve">第三章</w:t>
      </w:r>
      <w:r>
        <w:t xml:space="preserve">）。</w:t>
      </w:r>
    </w:p>
    <w:bookmarkStart w:id="75" w:name="第一章人认识神的能力"/>
    <w:p>
      <w:pPr>
        <w:pStyle w:val="Heading3"/>
      </w:pPr>
      <w:r>
        <w:t xml:space="preserve">第一章：人认识神的能力</w:t>
      </w:r>
    </w:p>
    <w:bookmarkStart w:id="56" w:name="一对神的渴望"/>
    <w:p>
      <w:pPr>
        <w:pStyle w:val="Heading4"/>
      </w:pPr>
      <w:r>
        <w:t xml:space="preserve">一、对神的渴望</w:t>
      </w:r>
    </w:p>
    <w:p>
      <w:pPr>
        <w:pStyle w:val="FirstParagraph"/>
      </w:pPr>
      <w:r>
        <w:t xml:space="preserve">对神的渴望写在人的心里，因为人是神所造，也为神而造；而神从不止息地把人吸引到他那里。只有在神里面，他才能找到自己始终追寻的真理和幸福。</w:t>
      </w:r>
    </w:p>
    <w:p>
      <w:pPr>
        <w:pStyle w:val="BodyText"/>
      </w:pPr>
      <w:r>
        <w:t xml:space="preserve">人的尊严首先在于他被召与神共融。这份与神交谈的邀请从人一被造就已经临到他。因为人之所以存在，是因神出于爱创造了他，并且也出于爱使他继续存在。除非他自由地承认这份爱，并把自己交托给他的创造主，他就不能按着真理活得圆满。</w:t>
      </w:r>
      <w:r>
        <w:rPr>
          <w:rStyle w:val="FootnoteReference"/>
        </w:rPr>
        <w:footnoteReference w:id="51"/>
      </w:r>
    </w:p>
    <w:p>
      <w:pPr>
        <w:pStyle w:val="BodyText"/>
      </w:pPr>
      <w:r>
        <w:t xml:space="preserve">从历史到今天，人们用各种方式在他们的宗教信念和行为中表达对神的寻求：祈祷、祭献、礼仪、默想，等等。尽管这些宗教表达常常伴随含混与张力，但它们如此普遍，以至于我们大可以称人是宗教性的存在。</w:t>
      </w:r>
    </w:p>
    <w:p>
      <w:pPr>
        <w:pStyle w:val="BodyText"/>
      </w:pPr>
      <w:r>
        <w:t xml:space="preserve">「他从一本（有的作：血脉）造出万族的人，住在全地上，并且预先定准他们的年限，和所住的疆界，要叫他们寻求神，或者可以揣摩而得，其实他离我们各人不远；因为『我们生活、动作、存留，都在乎他』。」</w:t>
      </w:r>
      <w:r>
        <w:rPr>
          <w:rStyle w:val="FootnoteReference"/>
        </w:rPr>
        <w:footnoteReference w:id="52"/>
      </w:r>
      <w:r>
        <w:t xml:space="preserve"> </w:t>
      </w:r>
      <w:r>
        <w:t xml:space="preserve">{ }</w:t>
      </w:r>
    </w:p>
    <w:p>
      <w:pPr>
        <w:pStyle w:val="BodyText"/>
      </w:pPr>
      <w:r>
        <w:t xml:space="preserve">去追问大地的美，去追问大海的美，去追问扩展弥漫的空气之美，去追问天空的美……去追问这一切实在。它们都回答：「看哪，我们很美。」它们的美就是一种承认[confessio]。这些美都会改变。若不是那位不改变的美者[Pulcher]，是谁造了它们呢？</w:t>
      </w:r>
      <w:r>
        <w:rPr>
          <w:rStyle w:val="FootnoteReference"/>
        </w:rPr>
        <w:footnoteReference w:id="53"/>
      </w:r>
    </w:p>
    <w:p>
      <w:pPr>
        <w:pStyle w:val="BodyText"/>
      </w:pPr>
      <w:r>
        <w:t xml:space="preserve">但这「人对神的亲密而至关重要的联系」（GS 19 § 1）会被人遗忘、忽视，甚至被明确地拒绝。这样的态度可能有不同的原因：对世界之恶的反抗；对宗教的无知或冷漠；今世的思虑与财富；信徒的恶劣榜样所造成的丑闻；敌对宗教的思潮；最终，是有罪之人因惧怕而躲避神、逃避他的呼召的心态。</w:t>
      </w:r>
      <w:r>
        <w:rPr>
          <w:rStyle w:val="FootnoteReference"/>
        </w:rPr>
        <w:footnoteReference w:id="54"/>
      </w:r>
    </w:p>
    <w:p>
      <w:pPr>
        <w:pStyle w:val="BodyText"/>
      </w:pPr>
      <w:r>
        <w:t xml:space="preserve">「寻求耶和华的人、心中应当欢喜。」虽然人可以忘记神或拒绝神，但他从不停止呼唤每一个人来寻求他，好得着生命与幸福。然而，这种对神的寻求要求人尽其智力之所能，拥有健全的意志和「正直的心」，也需要那些教导他寻求神之人的见证。</w:t>
      </w:r>
    </w:p>
    <w:p>
      <w:pPr>
        <w:pStyle w:val="BodyText"/>
      </w:pPr>
      <w:r>
        <w:t xml:space="preserve">主啊，你至大，至该受赞美；你的能力为大，你的智慧无法测度。而人——你受造界中渺小的一分子——却想赞美你：这个人披戴必死，身负罪的证据，也带着你抵挡骄傲者的明证。尽管如此，人，这个你受造界中渺小的一分子，仍想赞美你。你亲自鼓励他以赞美你为乐，因为你为你自己造了我们；我们的心不得安宁，直到在你里面得安息。</w:t>
      </w:r>
      <w:r>
        <w:rPr>
          <w:rStyle w:val="FootnoteReference"/>
        </w:rPr>
        <w:footnoteReference w:id="55"/>
      </w:r>
    </w:p>
    <w:bookmarkEnd w:id="56"/>
    <w:bookmarkStart w:id="62" w:name="二认识神的途径"/>
    <w:p>
      <w:pPr>
        <w:pStyle w:val="Heading4"/>
      </w:pPr>
      <w:r>
        <w:t xml:space="preserve">二、认识神的途径</w:t>
      </w:r>
    </w:p>
    <w:p>
      <w:pPr>
        <w:pStyle w:val="FirstParagraph"/>
      </w:pPr>
      <w:r>
        <w:t xml:space="preserve">人按着神的形象被造，并被召去认识他、爱他；因此，寻求神的人会发现一些认识他的途径。这些也被称为神存在的论证，但不是自然科学那种「证明」，而是指「汇聚且能使人信服的论证」，使我们能对真理达到确实的把握。这些从受造界走向神的「途径」有两个出发点：世界和人。</w:t>
      </w:r>
    </w:p>
    <w:bookmarkStart w:id="59" w:name="世界"/>
    <w:p>
      <w:pPr>
        <w:pStyle w:val="Heading5"/>
      </w:pPr>
      <w:r>
        <w:t xml:space="preserve">世界</w:t>
      </w:r>
    </w:p>
    <w:p>
      <w:pPr>
        <w:pStyle w:val="FirstParagraph"/>
      </w:pPr>
      <w:r>
        <w:t xml:space="preserve">世界：从运动、生成、偶然性，以及世界的秩序与美出发，人可以认识神是宇宙的本原与终极。</w:t>
      </w:r>
    </w:p>
    <w:p>
      <w:pPr>
        <w:pStyle w:val="BodyText"/>
      </w:pPr>
      <w:r>
        <w:t xml:space="preserve">正如圣保罗论到外邦人所说：「神的事情，人所能知道的，原显明在人心里，因为神已经给他们显明。自从造天地以来，神的永能和神性是明明可知的，虽是眼不能见，但借着所造之物就可以晓得，叫人无可推诿。」</w:t>
      </w:r>
      <w:r>
        <w:rPr>
          <w:rStyle w:val="FootnoteReference"/>
        </w:rPr>
        <w:footnoteReference w:id="57"/>
      </w:r>
    </w:p>
    <w:p>
      <w:pPr>
        <w:pStyle w:val="BodyText"/>
      </w:pPr>
      <w:r>
        <w:t xml:space="preserve">圣奥古斯丁也向我们发出挑战：「去追问大地的美，去追问大海的美，去追问扩展弥漫的空气之美，去追问天空的美……去追问这一切实在。它们都回答：『看哪，我们很美。』它们的美就是一种承认[confessio]。这些美都会改变。若不是那位不改变的美者[Pulcher]，是谁造了它们呢？」</w:t>
      </w:r>
      <w:r>
        <w:rPr>
          <w:rStyle w:val="FootnoteReference"/>
        </w:rPr>
        <w:footnoteReference w:id="58"/>
      </w:r>
    </w:p>
    <w:bookmarkEnd w:id="59"/>
    <w:bookmarkStart w:id="61" w:name="人"/>
    <w:p>
      <w:pPr>
        <w:pStyle w:val="Heading5"/>
      </w:pPr>
      <w:r>
        <w:t xml:space="preserve">人</w:t>
      </w:r>
    </w:p>
    <w:p>
      <w:pPr>
        <w:pStyle w:val="FirstParagraph"/>
      </w:pPr>
      <w:r>
        <w:t xml:space="preserve">人：借着他对真理与美的开放、对道德良善的感受、他的自由与良心的声音，以及他对无限与幸福的渴望，人会就神是否存在而自我追问。在这一切当中，他分辨出他那属灵灵魂的迹象。灵魂，就是我们里面那「不可还原为纯粹物质的『永恒的种子』」，只能以神为其本源。</w:t>
      </w:r>
    </w:p>
    <w:p>
      <w:pPr>
        <w:pStyle w:val="BodyText"/>
      </w:pPr>
      <w:r>
        <w:t xml:space="preserve">世界与人都见证，他们在自己里面既不包含自身的第一因，也不包含最终目的；相反，他们参与于那惟独没有起源也没有终结的存在本身。因此，人可以通过不同的途径认识到，有一真实存在，是万物的第一因与最终目的——「众人称之为神」的那一位。</w:t>
      </w:r>
      <w:r>
        <w:rPr>
          <w:rStyle w:val="FootnoteReference"/>
        </w:rPr>
        <w:footnoteReference w:id="60"/>
      </w:r>
    </w:p>
    <w:p>
      <w:pPr>
        <w:pStyle w:val="BodyText"/>
      </w:pPr>
      <w:r>
        <w:t xml:space="preserve">人的机能使他能够认识一位位格之神的存在。但要使人能够与他进入真实的亲密关系，神既愿意向人启示他自己，也赐下恩典，使人能以信心接纳这启示。至于神存在的论证，则能使人预备好接受信心，并帮助人看见信心并不与理性相冲突。</w:t>
      </w:r>
    </w:p>
    <w:bookmarkEnd w:id="61"/>
    <w:bookmarkEnd w:id="62"/>
    <w:bookmarkStart w:id="66" w:name="三按照教会的教导来认识神"/>
    <w:p>
      <w:pPr>
        <w:pStyle w:val="Heading4"/>
      </w:pPr>
      <w:r>
        <w:t xml:space="preserve">三、按照教会的教导来认识神</w:t>
      </w:r>
    </w:p>
    <w:p>
      <w:pPr>
        <w:pStyle w:val="FirstParagraph"/>
      </w:pPr>
      <w:r>
        <w:t xml:space="preserve">「我们的至圣母亲——教会——坚信并教导：万有的第一本原与最终归宿——神，可以借着人的理性自然之光，从受造界被确知。」</w:t>
      </w:r>
      <w:r>
        <w:rPr>
          <w:rStyle w:val="FootnoteReference"/>
        </w:rPr>
        <w:footnoteReference w:id="63"/>
      </w:r>
    </w:p>
    <w:p>
      <w:pPr>
        <w:pStyle w:val="BodyText"/>
      </w:pPr>
      <w:r>
        <w:t xml:space="preserve">然而，在他所处的历史处境中，人仅凭理性的光就来认识神，实际上会遇到许多困难：</w:t>
      </w:r>
    </w:p>
    <w:p>
      <w:pPr>
        <w:pStyle w:val="BodyText"/>
      </w:pPr>
      <w:r>
        <w:t xml:space="preserve">「严格来说，人类理性确实能凭借其自身的自然能力与光明，达到对那位以其护理看顾并治理世界的独一位格之神，以及对那位造物主写在我们心里的自然律的真实而确切的认识；然而，有许多障碍阻碍理性有效而多结果地使用这与生俱来的能力。因为有关神与人关系的真理，完全超越可见事物的秩序；而且，一旦把这些真理转化为人的行动并影响人的生活，它们便要求人自我交付与克己。与此同时，人类心智在获得这些真理时，不仅受到感官与想象的冲击所妨碍，也受到作为原罪后果的紊乱欲望所牵制。因此，在这类事情上，人很容易说服自己：凡他不愿其为真者，便是假的，或至少可疑的。」</w:t>
      </w:r>
      <w:r>
        <w:rPr>
          <w:rStyle w:val="FootnoteReference"/>
        </w:rPr>
        <w:footnoteReference w:id="64"/>
      </w:r>
    </w:p>
    <w:p>
      <w:pPr>
        <w:pStyle w:val="BodyText"/>
      </w:pPr>
      <w:r>
        <w:t xml:space="preserve">这就是为什么人需要借着神的启示而得光照，不仅关乎那些超越他理解的事，也关乎「那些本身并非超出人类理性把握的宗教与道德真理，好叫即便在当今人类的处境中，所有人也能容易地、确切地、且不夹杂错误地认识这些真理。」</w:t>
      </w:r>
      <w:r>
        <w:rPr>
          <w:rStyle w:val="FootnoteReference"/>
        </w:rPr>
        <w:footnoteReference w:id="65"/>
      </w:r>
    </w:p>
    <w:bookmarkEnd w:id="66"/>
    <w:bookmarkStart w:id="70" w:name="四我们怎样谈论神"/>
    <w:p>
      <w:pPr>
        <w:pStyle w:val="Heading4"/>
      </w:pPr>
      <w:r>
        <w:t xml:space="preserve">四、我们怎样谈论神？</w:t>
      </w:r>
    </w:p>
    <w:p>
      <w:pPr>
        <w:pStyle w:val="FirstParagraph"/>
      </w:pPr>
      <w:r>
        <w:t xml:space="preserve">当教会为人类理性认识神的能力作辩护时，她就是在表达她的信心：可以向所有人，并与所有人谈论他；因此也可以与其他宗教、与哲学与科学、以及与不信者和无神论者展开对话。</w:t>
      </w:r>
    </w:p>
    <w:p>
      <w:pPr>
        <w:pStyle w:val="BodyText"/>
      </w:pPr>
      <w:r>
        <w:t xml:space="preserve">既然我们对神的认识是有限的，我们关于他的言说也同样有限。我们只能从受造物出发，并按照我们有限的人类认知与思维方式来称说神。</w:t>
      </w:r>
    </w:p>
    <w:p>
      <w:pPr>
        <w:pStyle w:val="BodyText"/>
      </w:pPr>
      <w:r>
        <w:t xml:space="preserve">万物都在某种意义上类似于神，尤其是按着神的形象和样式被造的人。受造物的多种完美——它们的真、善、美——都反映出神无限的完美。因此，我们可以从受造物的完美出发来称说神，因为「因为万物之伟大与美丽，使人按比例认识他们的创造者。」</w:t>
      </w:r>
      <w:r>
        <w:rPr>
          <w:rStyle w:val="FootnoteReference"/>
        </w:rPr>
        <w:footnoteReference w:id="67"/>
      </w:r>
    </w:p>
    <w:p>
      <w:pPr>
        <w:pStyle w:val="BodyText"/>
      </w:pPr>
      <w:r>
        <w:t xml:space="preserve">神超越一切受造物。因此，我们必须不断洁净我们的语言，去除其中一切有限、受形象束缚或不完满的成分，免得把我们对神的形象——「不可言说、不可测度、不可见、不可捉摸」——与我们的人类想象混为一谈。</w:t>
      </w:r>
      <w:r>
        <w:rPr>
          <w:rStyle w:val="FootnoteReference"/>
        </w:rPr>
        <w:footnoteReference w:id="68"/>
      </w:r>
    </w:p>
    <w:p>
      <w:pPr>
        <w:pStyle w:val="BodyText"/>
      </w:pPr>
      <w:r>
        <w:t xml:space="preserve">诚然，这样谈论神，我们的语言是在使用人的表达方式；然而，它确实是指向神他自己，只是无法表达他那无限的单纯。同样我们要记得：「在造物主与受造物之间，任何所说的相似，都包含着更大的不相似」；并且「关于神，我们不能把握他是什么，只能说他不是什么，以及其他存在与他之间是怎样的关系」。</w:t>
      </w:r>
      <w:r>
        <w:rPr>
          <w:rStyle w:val="FootnoteReference"/>
        </w:rPr>
        <w:footnoteReference w:id="69"/>
      </w:r>
    </w:p>
    <w:bookmarkEnd w:id="70"/>
    <w:bookmarkStart w:id="74" w:name="综述"/>
    <w:p>
      <w:pPr>
        <w:pStyle w:val="Heading4"/>
      </w:pPr>
      <w:r>
        <w:t xml:space="preserve">综述</w:t>
      </w:r>
    </w:p>
    <w:p>
      <w:pPr>
        <w:pStyle w:val="FirstParagraph"/>
      </w:pPr>
      <w:r>
        <w:t xml:space="preserve">人按本性与使命都是宗教性的存在。他从神而来，向神而去；只有当他自由地活在与神的连结里，他才活出完全的人生。</w:t>
      </w:r>
    </w:p>
    <w:p>
      <w:pPr>
        <w:pStyle w:val="BodyText"/>
      </w:pPr>
      <w:r>
        <w:t xml:space="preserve">人是为与神共融而被造，在他里面找到幸福：「当我完全与你合一，就再没有忧伤或试炼；当我全然被你充满，我的生命就完全。」</w:t>
      </w:r>
      <w:r>
        <w:rPr>
          <w:rStyle w:val="FootnoteReference"/>
        </w:rPr>
        <w:footnoteReference w:id="71"/>
      </w:r>
    </w:p>
    <w:p>
      <w:pPr>
        <w:pStyle w:val="BodyText"/>
      </w:pPr>
      <w:r>
        <w:t xml:space="preserve">当人聆听受造界所传达的信息，并聆听良心的声音，他就能确知神的存在——他是一切事物的本因与终极。</w:t>
      </w:r>
    </w:p>
    <w:p>
      <w:pPr>
        <w:pStyle w:val="BodyText"/>
      </w:pPr>
      <w:r>
        <w:t xml:space="preserve">教会教导：独一真实的神——我们的创造主与主宰——可以借着人的理性自然之光，从他所行的作为被确知。</w:t>
      </w:r>
      <w:r>
        <w:rPr>
          <w:rStyle w:val="FootnoteReference"/>
        </w:rPr>
        <w:footnoteReference w:id="72"/>
      </w:r>
    </w:p>
    <w:p>
      <w:pPr>
        <w:pStyle w:val="BodyText"/>
      </w:pPr>
      <w:r>
        <w:t xml:space="preserve">我们确实可以从受造物多样的完美来称说神，这些完美仿照那位无限完美的神；即使我们有限的语言无法穷尽这奥秘。</w:t>
      </w:r>
    </w:p>
    <w:p>
      <w:pPr>
        <w:pStyle w:val="BodyText"/>
      </w:pPr>
      <w:r>
        <w:t xml:space="preserve">没有造物主，受造物就会消失。这就是为什么信徒知道，基督的爱催迫他们，把永活之神的光带给那些不认识他或拒绝他的人。</w:t>
      </w:r>
      <w:r>
        <w:rPr>
          <w:rStyle w:val="FootnoteReference"/>
        </w:rPr>
        <w:footnoteReference w:id="73"/>
      </w:r>
    </w:p>
    <w:p>
      <w:r>
        <w:br w:type="page"/>
      </w:r>
    </w:p>
    <w:bookmarkEnd w:id="74"/>
    <w:bookmarkEnd w:id="75"/>
    <w:bookmarkStart w:id="207" w:name="第二章神来与人相遇"/>
    <w:p>
      <w:pPr>
        <w:pStyle w:val="Heading3"/>
      </w:pPr>
      <w:r>
        <w:t xml:space="preserve">第二章：神来与人相遇</w:t>
      </w:r>
    </w:p>
    <w:p>
      <w:pPr>
        <w:pStyle w:val="FirstParagraph"/>
      </w:pPr>
      <w:r>
        <w:t xml:space="preserve">凭着自然理性，人可以根据神的作为确知神的存在。但还有另一种知识的层次，是人靠自身能力绝不可能达到的：那就是神的启示。藉着完全自由的决定，神启示他自己，并把他自己赐给人。他这样做，是把那奥秘启示出来——他为全人类而在基督里从永恒就制定的慈爱美善的计划。神借着差遣他所爱的儿子——我们的主耶稣基督——和圣灵，完全启示了这个计划。</w:t>
      </w:r>
      <w:r>
        <w:rPr>
          <w:rStyle w:val="FootnoteReference"/>
        </w:rPr>
        <w:footnoteReference w:id="76"/>
      </w:r>
    </w:p>
    <w:bookmarkStart w:id="100" w:name="第一条神的启示"/>
    <w:p>
      <w:pPr>
        <w:pStyle w:val="Heading4"/>
      </w:pPr>
      <w:r>
        <w:t xml:space="preserve">第一条：神的启示</w:t>
      </w:r>
    </w:p>
    <w:bookmarkStart w:id="81" w:name="一神启示他慈爱美善的计划"/>
    <w:p>
      <w:pPr>
        <w:pStyle w:val="Heading5"/>
      </w:pPr>
      <w:r>
        <w:t xml:space="preserve">一、神启示他「慈爱美善的计划」</w:t>
      </w:r>
    </w:p>
    <w:p>
      <w:pPr>
        <w:pStyle w:val="FirstParagraph"/>
      </w:pPr>
      <w:r>
        <w:t xml:space="preserve">「神本着他的慈爱与智慧，乐意启示他自己，并使人认识他旨意的奥秘。他的旨意是要人借着基督——成了肉身的道——在圣灵里亲近父，并因此分享神性。」</w:t>
      </w:r>
      <w:r>
        <w:rPr>
          <w:rStyle w:val="FootnoteReference"/>
        </w:rPr>
        <w:footnoteReference w:id="77"/>
      </w:r>
    </w:p>
    <w:p>
      <w:pPr>
        <w:pStyle w:val="BodyText"/>
      </w:pPr>
      <w:r>
        <w:t xml:space="preserve">「住在人不能靠近的光里」的神，愿意将他自己的生命传达给他自由创造的人类，好在他的独生子里收纳他们为儿子。藉着启示他自己，神愿使他们能够回应他，并且认识他、爱他，远超过他们自身天然的能力。</w:t>
      </w:r>
      <w:r>
        <w:rPr>
          <w:rStyle w:val="FootnoteReference"/>
        </w:rPr>
        <w:footnoteReference w:id="78"/>
      </w:r>
    </w:p>
    <w:p>
      <w:pPr>
        <w:pStyle w:val="BodyText"/>
      </w:pPr>
      <w:r>
        <w:t xml:space="preserve">启示的神圣计划是同时藉着「彼此内在相连的作为与言语」来实现的，并且彼此阐明。这包含一种特殊的神的教导：神逐步地把他自己传达给人。他按阶段预备人去迎接那超自然的启示，而这启示要在成了肉身的道——耶稣基督——的位格与使命上达到高峰。</w:t>
      </w:r>
      <w:r>
        <w:rPr>
          <w:rStyle w:val="FootnoteReference"/>
        </w:rPr>
        <w:footnoteReference w:id="79"/>
      </w:r>
    </w:p>
    <w:p>
      <w:pPr>
        <w:pStyle w:val="BlockText"/>
      </w:pPr>
      <w:r>
        <w:t xml:space="preserve">里昂的圣爱任纽经常用神与人彼此习惯的图像来谈到这种神的教导：为了使人成习惯于认识神，并照着父的美意，使神也习惯住在人里面，神的道住在人中间，且成为人子。</w:t>
      </w:r>
      <w:r>
        <w:rPr>
          <w:rStyle w:val="FootnoteReference"/>
        </w:rPr>
        <w:footnoteReference w:id="80"/>
      </w:r>
    </w:p>
    <w:bookmarkEnd w:id="81"/>
    <w:bookmarkStart w:id="95" w:name="二启示的阶段"/>
    <w:p>
      <w:pPr>
        <w:pStyle w:val="Heading5"/>
      </w:pPr>
      <w:r>
        <w:t xml:space="preserve">二、启示的阶段</w:t>
      </w:r>
    </w:p>
    <w:p>
      <w:pPr>
        <w:pStyle w:val="FirstParagraph"/>
      </w:pPr>
      <w:r>
        <w:rPr>
          <w:b/>
          <w:bCs/>
        </w:rPr>
        <w:t xml:space="preserve">起初，神使人认识他自己。</w:t>
      </w:r>
      <w:r>
        <w:t xml:space="preserve">「神借着他的道创造并保存万有，并且在受造的实在里不断给人显示他自己。此外，他愿意为天上的救恩开路——从起初就把他自己启示给我们的始祖。」</w:t>
      </w:r>
      <w:r>
        <w:rPr>
          <w:rStyle w:val="FootnoteReference"/>
        </w:rPr>
        <w:footnoteReference w:id="82"/>
      </w:r>
    </w:p>
    <w:p>
      <w:pPr>
        <w:pStyle w:val="BodyText"/>
      </w:pPr>
      <w:r>
        <w:t xml:space="preserve">这启示并没有因我们始祖的罪而中断。「在堕落之后，[神]以救恩的希望扶持了他们，向他们应许救赎；而且他从未停止关怀整个人类。因为他愿意把永生赐给一切以恒久行善寻求救恩的人。」</w:t>
      </w:r>
      <w:r>
        <w:rPr>
          <w:rStyle w:val="FootnoteReference"/>
        </w:rPr>
        <w:footnoteReference w:id="83"/>
      </w:r>
    </w:p>
    <w:p>
      <w:pPr>
        <w:pStyle w:val="BlockText"/>
      </w:pPr>
      <w:r>
        <w:t xml:space="preserve">即使人违背了你，失去了与你的友谊，你也没有把他丢在死亡的权势之下……你一而再地向人提供了约。</w:t>
      </w:r>
      <w:r>
        <w:rPr>
          <w:rStyle w:val="FootnoteReference"/>
        </w:rPr>
        <w:footnoteReference w:id="84"/>
      </w:r>
    </w:p>
    <w:p>
      <w:pPr>
        <w:pStyle w:val="FirstParagraph"/>
      </w:pPr>
      <w:r>
        <w:t xml:space="preserve">**与挪亚所立的约。**在人类的合一被罪破坏之后，神立刻开始按部分拯救人类。洪水之后与挪亚所立的约，表达了神对「万民」施行救恩安排的原则；换句话说，就是面向那些「在他们的地土上，各随各的方言、宗族，立国居住」的人。</w:t>
      </w:r>
      <w:r>
        <w:rPr>
          <w:rStyle w:val="FootnoteReference"/>
        </w:rPr>
        <w:footnoteReference w:id="85"/>
      </w:r>
    </w:p>
    <w:p>
      <w:pPr>
        <w:pStyle w:val="BodyText"/>
      </w:pPr>
      <w:r>
        <w:t xml:space="preserve">这种分为多国的状态，同时具有宇宙、社会与宗教的层面。它旨在限制堕落人类的骄傲，因为他们只是在邪恶的野心中，像在巴别那样，想要打造自己的合一。</w:t>
      </w:r>
      <w:r>
        <w:rPr>
          <w:rStyle w:val="FootnoteReference"/>
        </w:rPr>
        <w:footnoteReference w:id="86"/>
      </w:r>
    </w:p>
    <w:p>
      <w:pPr>
        <w:pStyle w:val="BodyText"/>
      </w:pPr>
      <w:r>
        <w:t xml:space="preserve">与挪亚所立的约在外邦人的时期一直有效，直到福音被普世宣讲。圣经也尊崇几位外邦人中的伟大人物：义人亚伯，身为君王且为祭司的麦基洗德——基督的预表——以及正直的「挪亚、但以理和约伯」。如此，圣经表达出：那些按照挪亚之约生活的人所能达到的圣德高峰；他们等候基督「将神四散的子民都聚集归一」。</w:t>
      </w:r>
      <w:r>
        <w:rPr>
          <w:rStyle w:val="FootnoteReference"/>
        </w:rPr>
        <w:footnoteReference w:id="87"/>
      </w:r>
    </w:p>
    <w:p>
      <w:pPr>
        <w:pStyle w:val="BodyText"/>
      </w:pPr>
      <w:r>
        <w:t xml:space="preserve">**神拣选亚伯拉罕。**为聚集四散的人类，神从本地、本族、父家把亚伯兰招出来，使他成为亚伯拉罕，也就是「多国的父」。并且说：「地上的万族都要因你得福。」</w:t>
      </w:r>
      <w:r>
        <w:rPr>
          <w:rStyle w:val="FootnoteReference"/>
        </w:rPr>
        <w:footnoteReference w:id="88"/>
      </w:r>
    </w:p>
    <w:p>
      <w:pPr>
        <w:pStyle w:val="BodyText"/>
      </w:pPr>
      <w:r>
        <w:t xml:space="preserve">亚伯拉罕的后裔——那蒙选的子民——将成为对列祖所应许之事的受托者，被召预备那一天：神要把他的一切儿女聚在教会的合一里。一旦外邦人信了，他们就要接在这棵根上。</w:t>
      </w:r>
      <w:r>
        <w:rPr>
          <w:rStyle w:val="FootnoteReference"/>
        </w:rPr>
        <w:footnoteReference w:id="89"/>
      </w:r>
    </w:p>
    <w:p>
      <w:pPr>
        <w:pStyle w:val="BodyText"/>
      </w:pPr>
      <w:r>
        <w:t xml:space="preserve">在教会的一切礼仪传统里，族长、先知，以及旧约的若干人物，过去一直、将来也一直被尊为圣者。</w:t>
      </w:r>
    </w:p>
    <w:p>
      <w:pPr>
        <w:pStyle w:val="BodyText"/>
      </w:pPr>
      <w:r>
        <w:t xml:space="preserve">**神塑造他的子民以色列。**在族长之后，神把以色列从埃及的奴役下解放出来，塑造成他的子民。他与他们在西奈山立约，并借着摩西把他的律法赐给他们，好叫他们认识他，且事奉他为独一又真又活的神、眷顾的父与公义的审判者，并期待那应许的救主。</w:t>
      </w:r>
      <w:r>
        <w:rPr>
          <w:rStyle w:val="FootnoteReference"/>
        </w:rPr>
        <w:footnoteReference w:id="90"/>
      </w:r>
    </w:p>
    <w:p>
      <w:pPr>
        <w:pStyle w:val="BodyText"/>
      </w:pPr>
      <w:r>
        <w:t xml:space="preserve">以色列是神的祭司子民，「归在耶和华的名下」，并且是「最先聆听神之道」的子民；在亚伯拉罕的信心上，他们作我们的「年长的弟兄」。</w:t>
      </w:r>
      <w:r>
        <w:rPr>
          <w:rStyle w:val="FootnoteReference"/>
        </w:rPr>
        <w:footnoteReference w:id="91"/>
      </w:r>
    </w:p>
    <w:p>
      <w:pPr>
        <w:pStyle w:val="BodyText"/>
      </w:pPr>
      <w:r>
        <w:t xml:space="preserve">借着先知，神把他的子民塑造成满有救恩盼望的子民，期待那为万民而立、要写在他们心上的新而永久的约。</w:t>
      </w:r>
      <w:r>
        <w:rPr>
          <w:rStyle w:val="FootnoteReference"/>
        </w:rPr>
        <w:footnoteReference w:id="92"/>
      </w:r>
      <w:r>
        <w:t xml:space="preserve">先知宣告对神子民的根本救赎、对他们一切不忠的洁净——这救恩要临到万国。</w:t>
      </w:r>
      <w:r>
        <w:rPr>
          <w:rStyle w:val="FootnoteReference"/>
        </w:rPr>
        <w:footnoteReference w:id="93"/>
      </w:r>
      <w:r>
        <w:t xml:space="preserve">尤其是主的困苦谦卑人要承载这盼望。像撒拉、利百加、拉结、米利暗、底波拉、哈拿、友弟德、以斯帖这些圣洁妇女，使以色列得救的盼望延续不息；其中最纯洁的形象是马利亚。</w:t>
      </w:r>
      <w:r>
        <w:rPr>
          <w:rStyle w:val="FootnoteReference"/>
        </w:rPr>
        <w:footnoteReference w:id="94"/>
      </w:r>
    </w:p>
    <w:bookmarkEnd w:id="95"/>
    <w:bookmarkStart w:id="98" w:name="三基督耶稣一切启示的中保与圆满"/>
    <w:p>
      <w:pPr>
        <w:pStyle w:val="Heading5"/>
      </w:pPr>
      <w:r>
        <w:t xml:space="preserve">三、基督耶稣——「一切启示的中保与圆满」</w:t>
      </w:r>
    </w:p>
    <w:p>
      <w:pPr>
        <w:pStyle w:val="FirstParagraph"/>
      </w:pPr>
      <w:r>
        <w:rPr>
          <w:b/>
          <w:bCs/>
        </w:rPr>
        <w:t xml:space="preserve">神已经在他的道里说尽了一切。</w:t>
      </w:r>
      <w:r>
        <w:t xml:space="preserve">「神既在古时借着众先知，多次多方地晓谕列祖，就在这末世借着他儿子晓谕我们。」神子基督成为人，是父那独一、完美、不可超越的道。在他里面，神已经说尽了一切；除此以外，不会再有别的话了。约翰·十字架等人对来1:1-2有深刻的评注：</w:t>
      </w:r>
    </w:p>
    <w:p>
      <w:pPr>
        <w:pStyle w:val="BlockText"/>
      </w:pPr>
      <w:r>
        <w:t xml:space="preserve">他把他的儿子赐给我们，就是把他唯一的道（因为他再无别的话）一次就把一切都对我们说了——他也再没有其他可说的了……因为他从前借先知分次分段所说的话，如今因把他的「一切」——他的儿子——赐给我们，就一次说尽了。任何人若仍向神发问，或渴求某种异象或启示，不仅是愚昧的行为，也是在得罪他，因为这人没有把眼目完全定睛于基督，反而仍渴望别的更新奇的东西。</w:t>
      </w:r>
      <w:r>
        <w:rPr>
          <w:rStyle w:val="FootnoteReference"/>
        </w:rPr>
        <w:footnoteReference w:id="96"/>
      </w:r>
    </w:p>
    <w:p>
      <w:pPr>
        <w:pStyle w:val="FirstParagraph"/>
      </w:pPr>
      <w:r>
        <w:rPr>
          <w:b/>
          <w:bCs/>
        </w:rPr>
        <w:t xml:space="preserve">再不会有新的启示。</w:t>
      </w:r>
      <w:r>
        <w:t xml:space="preserve">「因此，基督徒的救恩安排，既然是新的且是最后的约，将永不废去；直到我们的主耶稣基督在荣耀中显现之前，人不应期待有新的公共启示。」然而，即使启示已经完成，它仍未被完全阐明；在历史的长河中，基督信仰还需要逐步把握它的全部意义。</w:t>
      </w:r>
      <w:r>
        <w:rPr>
          <w:rStyle w:val="FootnoteReference"/>
        </w:rPr>
        <w:footnoteReference w:id="97"/>
      </w:r>
    </w:p>
    <w:p>
      <w:pPr>
        <w:pStyle w:val="BlockText"/>
      </w:pPr>
      <w:r>
        <w:t xml:space="preserve">历代以来，曾出现所谓的「私人启示」，其中有些获得了教会权威的认可。然而它们并不属于信仰宝库。它们的作用不是改进或补全基督那最终的启示，而是在历史的某个时期，帮助人更圆满地按照这启示来生活。在教会训导权的引导下，</w:t>
      </w:r>
      <w:r>
        <w:rPr>
          <w:i/>
          <w:iCs/>
        </w:rPr>
        <w:t xml:space="preserve">sensus fidelium</w:t>
      </w:r>
      <w:r>
        <w:t xml:space="preserve">（信众之感）懂得在这些启示中分辨并接纳凡是真正出于基督或诸圣对教会的呼召。 { }</w:t>
      </w:r>
    </w:p>
    <w:p>
      <w:pPr>
        <w:pStyle w:val="BlockText"/>
      </w:pPr>
      <w:r>
        <w:t xml:space="preserve">基督信仰不能接受那些宣称要超越或修正以基督为成全者之启示的「启示」；某些非基督宗教以及一些近来的新兴教派，就以这种「启示」为根据。</w:t>
      </w:r>
    </w:p>
    <w:bookmarkEnd w:id="98"/>
    <w:bookmarkStart w:id="99" w:name="综述-1"/>
    <w:p>
      <w:pPr>
        <w:pStyle w:val="Heading5"/>
      </w:pPr>
      <w:r>
        <w:t xml:space="preserve">综述</w:t>
      </w:r>
    </w:p>
    <w:p>
      <w:pPr>
        <w:pStyle w:val="FirstParagraph"/>
      </w:pPr>
      <w:r>
        <w:t xml:space="preserve">出于爱，神启示他自己，并把他自己赐给人。如此，他就对人关于生命意义与目的的追问，给出了最终且过于丰盛的答案。</w:t>
      </w:r>
    </w:p>
    <w:p>
      <w:pPr>
        <w:pStyle w:val="BodyText"/>
      </w:pPr>
      <w:r>
        <w:t xml:space="preserve">神藉着作为与言语，逐步把他自己的奥秘传达给人，从而启示他自己。</w:t>
      </w:r>
    </w:p>
    <w:p>
      <w:pPr>
        <w:pStyle w:val="BodyText"/>
      </w:pPr>
      <w:r>
        <w:t xml:space="preserve">除了神在受造之物里为他自己作见证之外，他还把自己启示给我们的始祖，对他们说话；在他们堕落之后，向他们应许救恩（参创3:15），并向他们提供他的约。</w:t>
      </w:r>
    </w:p>
    <w:p>
      <w:pPr>
        <w:pStyle w:val="BodyText"/>
      </w:pPr>
      <w:r>
        <w:t xml:space="preserve">神与挪亚和一切活物立了永约（参创9:16）。只要世界还存在，这约就持续有效。</w:t>
      </w:r>
    </w:p>
    <w:p>
      <w:pPr>
        <w:pStyle w:val="BodyText"/>
      </w:pPr>
      <w:r>
        <w:t xml:space="preserve">神拣选了亚伯拉罕，与他和他的后裔立约。藉着这约，神塑造了他的子民，并借着摩西将他的律法启示给他们；又借着先知，预备他们去接受那为全人类所预备的救恩。</w:t>
      </w:r>
    </w:p>
    <w:p>
      <w:pPr>
        <w:pStyle w:val="BodyText"/>
      </w:pPr>
      <w:r>
        <w:t xml:space="preserve">神差遣自己的儿子，已将他自己完全启示出来，并在他里面永远立定了他的约。圣子是父最终的道；因此，在他之后不会再有新的启示。</w:t>
      </w:r>
    </w:p>
    <w:p>
      <w:r>
        <w:br w:type="page"/>
      </w:r>
    </w:p>
    <w:bookmarkEnd w:id="99"/>
    <w:bookmarkEnd w:id="100"/>
    <w:bookmarkStart w:id="148" w:name="第二条神启示的传递"/>
    <w:p>
      <w:pPr>
        <w:pStyle w:val="Heading4"/>
      </w:pPr>
      <w:r>
        <w:t xml:space="preserve">第二条：神启示的传递</w:t>
      </w:r>
    </w:p>
    <w:p>
      <w:pPr>
        <w:pStyle w:val="FirstParagraph"/>
      </w:pPr>
      <w:r>
        <w:t xml:space="preserve">神「他愿意万人得救，明白真道」</w:t>
      </w:r>
      <w:r>
        <w:rPr>
          <w:rStyle w:val="FootnoteReference"/>
        </w:rPr>
        <w:footnoteReference w:id="101"/>
      </w:r>
      <w:r>
        <w:t xml:space="preserve">，也就是认识基督耶稣</w:t>
      </w:r>
      <w:r>
        <w:rPr>
          <w:rStyle w:val="FootnoteReference"/>
        </w:rPr>
        <w:footnoteReference w:id="102"/>
      </w:r>
      <w:r>
        <w:t xml:space="preserve">。必须向万国和每一个人宣讲基督，好叫这启示传到地极：</w:t>
      </w:r>
    </w:p>
    <w:p>
      <w:pPr>
        <w:pStyle w:val="BodyText"/>
      </w:pPr>
      <w:r>
        <w:t xml:space="preserve">神出于恩典安排：他为万民得救而曾经启示的一切，能完整地存留于历代，并传递给每一代人</w:t>
      </w:r>
      <w:r>
        <w:rPr>
          <w:rStyle w:val="FootnoteReference"/>
        </w:rPr>
        <w:footnoteReference w:id="103"/>
      </w:r>
      <w:r>
        <w:t xml:space="preserve">。</w:t>
      </w:r>
    </w:p>
    <w:bookmarkStart w:id="114" w:name="一使徒传统"/>
    <w:p>
      <w:pPr>
        <w:pStyle w:val="Heading5"/>
      </w:pPr>
      <w:r>
        <w:t xml:space="preserve">一、使徒传统</w:t>
      </w:r>
    </w:p>
    <w:p>
      <w:pPr>
        <w:pStyle w:val="FirstParagraph"/>
      </w:pPr>
      <w:r>
        <w:t xml:space="preserve">「在主基督身上，至高神的一切启示都得以总括；他命令使徒去宣讲福音——先知们早已预告，而他亲自在自己身上成全，并亲口宣示的福音。藉着宣讲福音，使徒要把神的恩赐传达给众人。这福音要成为一切救恩真理与道德训导的泉源。」</w:t>
      </w:r>
      <w:r>
        <w:rPr>
          <w:rStyle w:val="FootnoteReference"/>
        </w:rPr>
        <w:footnoteReference w:id="104"/>
      </w:r>
      <w:r>
        <w:t xml:space="preserve">。</w:t>
      </w:r>
    </w:p>
    <w:bookmarkStart w:id="107" w:name="在使徒的宣讲中"/>
    <w:p>
      <w:pPr>
        <w:pStyle w:val="Heading6"/>
      </w:pPr>
      <w:r>
        <w:t xml:space="preserve">在使徒的宣讲中……</w:t>
      </w:r>
    </w:p>
    <w:p>
      <w:pPr>
        <w:pStyle w:val="FirstParagraph"/>
      </w:pPr>
      <w:r>
        <w:t xml:space="preserve">按照主的命令，福音以两种方式传递下来： { }</w:t>
      </w:r>
    </w:p>
    <w:p>
      <w:pPr>
        <w:numPr>
          <w:ilvl w:val="0"/>
          <w:numId w:val="1001"/>
        </w:numPr>
      </w:pPr>
      <w:r>
        <w:t xml:space="preserve">以</w:t>
      </w:r>
      <w:r>
        <w:rPr>
          <w:i/>
          <w:iCs/>
        </w:rPr>
        <w:t xml:space="preserve">口传</w:t>
      </w:r>
      <w:r>
        <w:t xml:space="preserve">的方式：「使徒们把他们自己所领受的——不论是从基督亲口、他的生活方式与作为所领受的，或是在圣灵感动下所学会的——借着所传讲的话语、他们所作的榜样、他们所设立的制度，传递下来」</w:t>
      </w:r>
      <w:r>
        <w:rPr>
          <w:rStyle w:val="FootnoteReference"/>
        </w:rPr>
        <w:footnoteReference w:id="105"/>
      </w:r>
      <w:r>
        <w:t xml:space="preserve">；</w:t>
      </w:r>
    </w:p>
    <w:p>
      <w:pPr>
        <w:numPr>
          <w:ilvl w:val="0"/>
          <w:numId w:val="1001"/>
        </w:numPr>
      </w:pPr>
      <w:r>
        <w:t xml:space="preserve">以</w:t>
      </w:r>
      <w:r>
        <w:rPr>
          <w:i/>
          <w:iCs/>
        </w:rPr>
        <w:t xml:space="preserve">书写</w:t>
      </w:r>
      <w:r>
        <w:t xml:space="preserve">的方式：「与使徒有关联的使徒们及其他人，在同一圣灵的默示之下，把救恩的信息写成文字」</w:t>
      </w:r>
      <w:r>
        <w:rPr>
          <w:rStyle w:val="FootnoteReference"/>
        </w:rPr>
        <w:footnoteReference w:id="106"/>
      </w:r>
      <w:r>
        <w:t xml:space="preserve">。</w:t>
      </w:r>
    </w:p>
    <w:bookmarkEnd w:id="107"/>
    <w:bookmarkStart w:id="113" w:name="并在使徒继承中延续"/>
    <w:p>
      <w:pPr>
        <w:pStyle w:val="Heading6"/>
      </w:pPr>
      <w:r>
        <w:t xml:space="preserve">……并在使徒继承中延续</w:t>
      </w:r>
    </w:p>
    <w:p>
      <w:pPr>
        <w:pStyle w:val="FirstParagraph"/>
      </w:pPr>
      <w:r>
        <w:t xml:space="preserve">「为使完整而有生命力的福音在教会内常被保存，使徒们立下主教作为他们的继任者，并把他们自己的训导地位交付给主教们。」</w:t>
      </w:r>
      <w:r>
        <w:rPr>
          <w:rStyle w:val="FootnoteReference"/>
        </w:rPr>
        <w:footnoteReference w:id="108"/>
      </w:r>
      <w:r>
        <w:t xml:space="preserve">的确，「以默示书籍为特殊表达的使徒宣讲，应当在不间断的继承中保存，直到世界的终结。」</w:t>
      </w:r>
      <w:r>
        <w:rPr>
          <w:rStyle w:val="FootnoteReference"/>
        </w:rPr>
        <w:footnoteReference w:id="109"/>
      </w:r>
      <w:r>
        <w:t xml:space="preserve">。</w:t>
      </w:r>
    </w:p>
    <w:p>
      <w:pPr>
        <w:pStyle w:val="BodyText"/>
      </w:pPr>
      <w:r>
        <w:t xml:space="preserve">这在圣灵里成就的活的传递，称为圣传；它不同于圣经，却与圣经紧密相关。藉着圣传，「教会在她的教导、生活与敬奉中，不断地延续并传递她自身的一切与她所信的一切，给每一代人。」</w:t>
      </w:r>
      <w:r>
        <w:rPr>
          <w:rStyle w:val="FootnoteReference"/>
        </w:rPr>
        <w:footnoteReference w:id="110"/>
      </w:r>
      <w:r>
        <w:t xml:space="preserve">「圣教父的言论，为这圣传赋予生命的临在作了见证，显示它的丰富如何在教会的实行与生活、信仰与祈祷中倾注出来。」</w:t>
      </w:r>
      <w:r>
        <w:rPr>
          <w:rStyle w:val="FootnoteReference"/>
        </w:rPr>
        <w:footnoteReference w:id="111"/>
      </w:r>
      <w:r>
        <w:t xml:space="preserve">。</w:t>
      </w:r>
    </w:p>
    <w:p>
      <w:pPr>
        <w:pStyle w:val="BodyText"/>
      </w:pPr>
      <w:r>
        <w:t xml:space="preserve">父借着他的道，在圣灵里的自我传达，依然在教会中临在并运行：「昔日说话的神，仍继续与他爱子的净配交谈。而那借着他使福音的活声在教会——并藉教会在世界——中回响的圣灵，引导信徒进入全部真理，使基督的道丰丰富富地住在他们里面。」</w:t>
      </w:r>
      <w:r>
        <w:rPr>
          <w:rStyle w:val="FootnoteReference"/>
        </w:rPr>
        <w:footnoteReference w:id="112"/>
      </w:r>
      <w:r>
        <w:t xml:space="preserve">。</w:t>
      </w:r>
    </w:p>
    <w:bookmarkEnd w:id="113"/>
    <w:bookmarkEnd w:id="114"/>
    <w:bookmarkStart w:id="123" w:name="二圣传与圣经的关系"/>
    <w:p>
      <w:pPr>
        <w:pStyle w:val="Heading5"/>
      </w:pPr>
      <w:r>
        <w:t xml:space="preserve">二、圣传与圣经的关系</w:t>
      </w:r>
    </w:p>
    <w:bookmarkStart w:id="117" w:name="同一泉源"/>
    <w:p>
      <w:pPr>
        <w:pStyle w:val="Heading6"/>
      </w:pPr>
      <w:r>
        <w:t xml:space="preserve">同一泉源……</w:t>
      </w:r>
    </w:p>
    <w:p>
      <w:pPr>
        <w:pStyle w:val="FirstParagraph"/>
      </w:pPr>
      <w:r>
        <w:t xml:space="preserve">「那么，圣传与圣经是紧密相连，并且彼此相通的。因为它们二者都发源于同一的神的泉源，以某种方式汇合成一体，并迈向同一的目标。」</w:t>
      </w:r>
      <w:r>
        <w:rPr>
          <w:rStyle w:val="FootnoteReference"/>
        </w:rPr>
        <w:footnoteReference w:id="115"/>
      </w:r>
      <w:r>
        <w:t xml:space="preserve">它们二者都在教会里，使基督的奥秘临在，并多结果实，基督曾许诺要常与他自己的人同在，「直到世界的末了」。</w:t>
      </w:r>
      <w:r>
        <w:rPr>
          <w:rStyle w:val="FootnoteReference"/>
        </w:rPr>
        <w:footnoteReference w:id="116"/>
      </w:r>
    </w:p>
    <w:bookmarkEnd w:id="117"/>
    <w:bookmarkStart w:id="121" w:name="二种不同的传递方式"/>
    <w:p>
      <w:pPr>
        <w:pStyle w:val="Heading6"/>
      </w:pPr>
      <w:r>
        <w:t xml:space="preserve">……二种不同的传递方式</w:t>
      </w:r>
    </w:p>
    <w:p>
      <w:pPr>
        <w:pStyle w:val="FirstParagraph"/>
      </w:pPr>
      <w:r>
        <w:t xml:space="preserve">「圣经是在圣灵的默示下，把神的言说写下来的记录。」</w:t>
      </w:r>
      <w:r>
        <w:rPr>
          <w:rStyle w:val="FootnoteReference"/>
        </w:rPr>
        <w:footnoteReference w:id="118"/>
      </w:r>
      <w:r>
        <w:t xml:space="preserve">「而圣传则完整地传递出主基督与圣灵所托付给使徒的神的道，把它传递给使徒的继承者，好使他们在真理之灵的光照下，能借着宣讲忠实地保存、阐明并传播它。」</w:t>
      </w:r>
      <w:r>
        <w:rPr>
          <w:rStyle w:val="FootnoteReference"/>
        </w:rPr>
        <w:footnoteReference w:id="119"/>
      </w:r>
      <w:r>
        <w:t xml:space="preserve">。</w:t>
      </w:r>
    </w:p>
    <w:p>
      <w:pPr>
        <w:pStyle w:val="BodyText"/>
      </w:pPr>
      <w:r>
        <w:t xml:space="preserve">因此，传递并诠释启示的使命已托付给教会；她「对一切启示真理的确证，并非只来自圣经本身。圣经与圣传都必须以同样恭敬与敬爱之心接纳并尊崇。」</w:t>
      </w:r>
      <w:r>
        <w:rPr>
          <w:rStyle w:val="FootnoteReference"/>
        </w:rPr>
        <w:footnoteReference w:id="120"/>
      </w:r>
      <w:r>
        <w:t xml:space="preserve">。</w:t>
      </w:r>
    </w:p>
    <w:bookmarkEnd w:id="121"/>
    <w:bookmarkStart w:id="122" w:name="使徒圣传与教会性传统"/>
    <w:p>
      <w:pPr>
        <w:pStyle w:val="Heading6"/>
      </w:pPr>
      <w:r>
        <w:t xml:space="preserve">使徒圣传与教会性传统</w:t>
      </w:r>
    </w:p>
    <w:p>
      <w:pPr>
        <w:pStyle w:val="FirstParagraph"/>
      </w:pPr>
      <w:r>
        <w:t xml:space="preserve">此处所指的圣传源自使徒，把他们从耶稣的教导与榜样所领受的，以及他们从圣灵学到的，传递下来。第一代基督徒还没有写成的新约，而新约本身就见证了活的圣传的过程。圣传应当与在地方教会中逐渐形成的各类神学、纪律、礼仪或敬奉的传统区分开来；后者是大圣传在不同处所与时代中的具体表达形式。依照圣传，在教会训导权的引导下，这些传统可以予以保留、修订，甚至废止。</w:t>
      </w:r>
    </w:p>
    <w:bookmarkEnd w:id="122"/>
    <w:bookmarkEnd w:id="123"/>
    <w:bookmarkStart w:id="146" w:name="三对信仰遗产的诠释"/>
    <w:p>
      <w:pPr>
        <w:pStyle w:val="Heading5"/>
      </w:pPr>
      <w:r>
        <w:t xml:space="preserve">三、对信仰遗产的诠释</w:t>
      </w:r>
    </w:p>
    <w:bookmarkStart w:id="126" w:name="信仰遗产托付给整个教会"/>
    <w:p>
      <w:pPr>
        <w:pStyle w:val="Heading6"/>
      </w:pPr>
      <w:r>
        <w:t xml:space="preserve">信仰遗产托付给整个教会</w:t>
      </w:r>
    </w:p>
    <w:p>
      <w:pPr>
        <w:pStyle w:val="FirstParagraph"/>
      </w:pPr>
      <w:r>
        <w:t xml:space="preserve">使徒把包含在圣经与圣传中的信仰「圣库」（</w:t>
      </w:r>
      <w:r>
        <w:rPr>
          <w:i/>
          <w:iCs/>
        </w:rPr>
        <w:t xml:space="preserve">depositum fidei</w:t>
      </w:r>
      <w:r>
        <w:t xml:space="preserve">）</w:t>
      </w:r>
      <w:r>
        <w:rPr>
          <w:rStyle w:val="FootnoteReference"/>
        </w:rPr>
        <w:footnoteReference w:id="124"/>
      </w:r>
      <w:r>
        <w:t xml:space="preserve">托付给整个教会。「全体圣洁的子民与他们的牧者保持合一，坚守［这信仰遗产］，便能常常忠于使徒的教导、弟兄相爱、擘饼与祈祷。因此，在保存、实行并宣认所传下来的信仰时，主教与信徒之间应当呈现出令人钦佩的一致。」</w:t>
      </w:r>
      <w:r>
        <w:rPr>
          <w:rStyle w:val="FootnoteReference"/>
        </w:rPr>
        <w:footnoteReference w:id="125"/>
      </w:r>
      <w:r>
        <w:t xml:space="preserve">。</w:t>
      </w:r>
    </w:p>
    <w:bookmarkEnd w:id="126"/>
    <w:bookmarkStart w:id="130" w:name="教会的训导权"/>
    <w:p>
      <w:pPr>
        <w:pStyle w:val="Heading6"/>
      </w:pPr>
      <w:r>
        <w:t xml:space="preserve">教会的训导权</w:t>
      </w:r>
    </w:p>
    <w:p>
      <w:pPr>
        <w:pStyle w:val="FirstParagraph"/>
      </w:pPr>
      <w:r>
        <w:t xml:space="preserve">「对神的道——无论是写成文字的，或是以圣传形式保存的——作真实诠释的任务，只托付给教会的活的训导职；她在这事上的权威是奉耶稣基督之名行使的。」</w:t>
      </w:r>
      <w:r>
        <w:rPr>
          <w:rStyle w:val="FootnoteReference"/>
        </w:rPr>
        <w:footnoteReference w:id="127"/>
      </w:r>
      <w:r>
        <w:t xml:space="preserve">这意味着，诠释的任务已托付给与彼得继承人、罗马主教，共融的诸主教。</w:t>
      </w:r>
    </w:p>
    <w:p>
      <w:pPr>
        <w:pStyle w:val="BodyText"/>
      </w:pPr>
      <w:r>
        <w:t xml:space="preserve">「然而，这训导权并不超越神的道，反而是它的仆役。她只教导所传交给她的；按着神的命令，并在圣灵的帮助下，她恭敬地聆听，专心地守护，并忠实地阐明。凡她作为神所启示而提请信众相信的，一切都只源自这同一信仰宝库。」</w:t>
      </w:r>
      <w:r>
        <w:rPr>
          <w:rStyle w:val="FootnoteReference"/>
        </w:rPr>
        <w:footnoteReference w:id="128"/>
      </w:r>
      <w:r>
        <w:t xml:space="preserve">。</w:t>
      </w:r>
    </w:p>
    <w:p>
      <w:pPr>
        <w:pStyle w:val="BodyText"/>
      </w:pPr>
      <w:r>
        <w:t xml:space="preserve">信徒记念基督对使徒所说的话：「听从你们的，就是听从我」</w:t>
      </w:r>
      <w:r>
        <w:rPr>
          <w:rStyle w:val="FootnoteReference"/>
        </w:rPr>
        <w:footnoteReference w:id="129"/>
      </w:r>
      <w:r>
        <w:t xml:space="preserve">，就以温顺的心，领受牧者以各种方式给他们的教导与指示。</w:t>
      </w:r>
    </w:p>
    <w:bookmarkEnd w:id="130"/>
    <w:bookmarkStart w:id="134" w:name="信理"/>
    <w:p>
      <w:pPr>
        <w:pStyle w:val="Heading6"/>
      </w:pPr>
      <w:r>
        <w:t xml:space="preserve">信理</w:t>
      </w:r>
    </w:p>
    <w:p>
      <w:pPr>
        <w:pStyle w:val="FirstParagraph"/>
      </w:pPr>
      <w:r>
        <w:t xml:space="preserve">当训导权以定义信理的方式行使基督所授的权柄时——也就是以使基督徒子民必须不可撤销地以信心依附的形式，提出包含在神之启示里的真理，或以最终方式提出与这些真理有必要联系的真理——她就是在最充分地行使这权柄。</w:t>
      </w:r>
    </w:p>
    <w:p>
      <w:pPr>
        <w:pStyle w:val="BodyText"/>
      </w:pPr>
      <w:r>
        <w:t xml:space="preserve">我们的灵性生活与信理之间有着内在的连贯。信理是信仰道路上的光，照亮并使之稳妥。反之，若我们的生活端正，我们的理智与心灵就会敞开，去迎接信理所发出的光辉。</w:t>
      </w:r>
      <w:r>
        <w:rPr>
          <w:rStyle w:val="FootnoteReference"/>
        </w:rPr>
        <w:footnoteReference w:id="131"/>
      </w:r>
      <w:r>
        <w:t xml:space="preserve">。</w:t>
      </w:r>
    </w:p>
    <w:p>
      <w:pPr>
        <w:pStyle w:val="BodyText"/>
      </w:pPr>
      <w:r>
        <w:t xml:space="preserve">信理之间的相互联系与一致性，可以在整个关于基督奥秘的启示中看到。</w:t>
      </w:r>
      <w:r>
        <w:rPr>
          <w:rStyle w:val="FootnoteReference"/>
        </w:rPr>
        <w:footnoteReference w:id="132"/>
      </w:r>
      <w:r>
        <w:t xml:space="preserve">「在公教的教义里，真理之间有一个秩序或层级，因为它们与基督信仰基础的关系并不相同。」</w:t>
      </w:r>
      <w:r>
        <w:rPr>
          <w:rStyle w:val="FootnoteReference"/>
        </w:rPr>
        <w:footnoteReference w:id="133"/>
      </w:r>
      <w:r>
        <w:t xml:space="preserve">。</w:t>
      </w:r>
    </w:p>
    <w:bookmarkEnd w:id="134"/>
    <w:bookmarkStart w:id="145" w:name="信心的超自然感"/>
    <w:p>
      <w:pPr>
        <w:pStyle w:val="Heading6"/>
      </w:pPr>
      <w:r>
        <w:t xml:space="preserve">信心的超自然感</w:t>
      </w:r>
    </w:p>
    <w:p>
      <w:pPr>
        <w:pStyle w:val="FirstParagraph"/>
      </w:pPr>
      <w:r>
        <w:t xml:space="preserve">全体信徒都共同参与理解并传递启示的真理。他们领受了圣灵的傅油，圣灵教导他们</w:t>
      </w:r>
      <w:r>
        <w:rPr>
          <w:rStyle w:val="FootnoteReference"/>
        </w:rPr>
        <w:footnoteReference w:id="135"/>
      </w:r>
      <w:r>
        <w:t xml:space="preserve">，并引导他们进入一切的真理。</w:t>
      </w:r>
      <w:r>
        <w:rPr>
          <w:rStyle w:val="FootnoteReference"/>
        </w:rPr>
        <w:footnoteReference w:id="136"/>
      </w:r>
      <w:r>
        <w:t xml:space="preserve">。</w:t>
      </w:r>
    </w:p>
    <w:p>
      <w:pPr>
        <w:pStyle w:val="BodyText"/>
      </w:pPr>
      <w:r>
        <w:t xml:space="preserve">「全体信徒……在信仰之事上不会错误。这特征表现在全体子民对信仰的超自然体认（</w:t>
      </w:r>
      <w:r>
        <w:rPr>
          <w:i/>
          <w:iCs/>
        </w:rPr>
        <w:t xml:space="preserve">sensus fidei</w:t>
      </w:r>
      <w:r>
        <w:t xml:space="preserve">）上：当从主教到最末的信徒，在信仰与道德之事上表示普遍的一致时，这特征就显明出来。」</w:t>
      </w:r>
      <w:r>
        <w:rPr>
          <w:rStyle w:val="FootnoteReference"/>
        </w:rPr>
        <w:footnoteReference w:id="137"/>
      </w:r>
      <w:r>
        <w:t xml:space="preserve">。</w:t>
      </w:r>
    </w:p>
    <w:p>
      <w:pPr>
        <w:pStyle w:val="BodyText"/>
      </w:pPr>
      <w:r>
        <w:t xml:space="preserve">「借着这种对信仰的体认，在真理之灵的激发与扶持下，神的子民，在神圣的训导权（</w:t>
      </w:r>
      <w:r>
        <w:rPr>
          <w:i/>
          <w:iCs/>
        </w:rPr>
        <w:t xml:space="preserve">Magisterium</w:t>
      </w:r>
      <w:r>
        <w:t xml:space="preserve">）的引导下，……领受……那一次交付给圣徒的信仰……子民坚定不移地持守这信仰，以正当的判断更深入地透彻它，并在日常生活中更充分地践行它。」</w:t>
      </w:r>
      <w:r>
        <w:rPr>
          <w:rStyle w:val="FootnoteReference"/>
        </w:rPr>
        <w:footnoteReference w:id="138"/>
      </w:r>
      <w:r>
        <w:t xml:space="preserve">。</w:t>
      </w:r>
    </w:p>
    <w:p>
      <w:pPr>
        <w:pStyle w:val="BodyText"/>
      </w:pPr>
      <w:r>
        <w:t xml:space="preserve">托圣灵的协助，教会在她的生命中，对信仰遗产的实际与言辞的理解都能够不断增长：</w:t>
      </w:r>
    </w:p>
    <w:p>
      <w:pPr>
        <w:pStyle w:val="Compact"/>
        <w:numPr>
          <w:ilvl w:val="0"/>
          <w:numId w:val="1002"/>
        </w:numPr>
      </w:pPr>
      <w:r>
        <w:t xml:space="preserve">「借着信徒在心中反复思想而来的观照与研究」</w:t>
      </w:r>
      <w:r>
        <w:rPr>
          <w:rStyle w:val="FootnoteReference"/>
        </w:rPr>
        <w:footnoteReference w:id="139"/>
      </w:r>
      <w:r>
        <w:t xml:space="preserve">；尤其是「神学研究[能]加深对启示真理的认识」</w:t>
      </w:r>
      <w:r>
        <w:rPr>
          <w:rStyle w:val="FootnoteReference"/>
        </w:rPr>
        <w:footnoteReference w:id="140"/>
      </w:r>
    </w:p>
    <w:p>
      <w:pPr>
        <w:pStyle w:val="Compact"/>
        <w:numPr>
          <w:ilvl w:val="0"/>
          <w:numId w:val="1002"/>
        </w:numPr>
      </w:pPr>
      <w:r>
        <w:t xml:space="preserve">「从[信徒]所经验的属灵实际的内在体会」</w:t>
      </w:r>
      <w:r>
        <w:rPr>
          <w:rStyle w:val="FootnoteReference"/>
        </w:rPr>
        <w:footnoteReference w:id="141"/>
      </w:r>
      <w:r>
        <w:t xml:space="preserve">；而且圣经「随着读它的人而成长」</w:t>
      </w:r>
      <w:r>
        <w:rPr>
          <w:rStyle w:val="FootnoteReference"/>
        </w:rPr>
        <w:footnoteReference w:id="142"/>
      </w:r>
    </w:p>
    <w:p>
      <w:pPr>
        <w:pStyle w:val="Compact"/>
        <w:numPr>
          <w:ilvl w:val="0"/>
          <w:numId w:val="1002"/>
        </w:numPr>
      </w:pPr>
      <w:r>
        <w:t xml:space="preserve">「从那些在主教职位的继承权之外，又领受了确实真理神恩的人之宣讲」</w:t>
      </w:r>
      <w:r>
        <w:rPr>
          <w:rStyle w:val="FootnoteReference"/>
        </w:rPr>
        <w:footnoteReference w:id="143"/>
      </w:r>
      <w:r>
        <w:t xml:space="preserve">。 { }</w:t>
      </w:r>
    </w:p>
    <w:p>
      <w:pPr>
        <w:pStyle w:val="FirstParagraph"/>
      </w:pPr>
      <w:r>
        <w:t xml:space="preserve">「因此，在神至睿的安排下，圣传、圣经与教会的训导权彼此相连、相互依赖；三者缺一不可。它们各按其方式，在同一圣灵的运行下，同心合作，有效地促进灵魂的得救。」</w:t>
      </w:r>
      <w:r>
        <w:rPr>
          <w:rStyle w:val="FootnoteReference"/>
        </w:rPr>
        <w:footnoteReference w:id="144"/>
      </w:r>
      <w:r>
        <w:t xml:space="preserve">。</w:t>
      </w:r>
    </w:p>
    <w:bookmarkEnd w:id="145"/>
    <w:bookmarkEnd w:id="146"/>
    <w:bookmarkStart w:id="147" w:name="综述-2"/>
    <w:p>
      <w:pPr>
        <w:pStyle w:val="Heading5"/>
      </w:pPr>
      <w:r>
        <w:t xml:space="preserve">综述</w:t>
      </w:r>
    </w:p>
    <w:p>
      <w:pPr>
        <w:pStyle w:val="FirstParagraph"/>
      </w:pPr>
      <w:r>
        <w:t xml:space="preserve">基督托付给使徒的，在圣灵的默示下，藉着他们的宣讲与书写，又传递给历世历代的人，直到基督在荣耀中再来。</w:t>
      </w:r>
    </w:p>
    <w:p>
      <w:pPr>
        <w:pStyle w:val="BodyText"/>
      </w:pPr>
      <w:r>
        <w:t xml:space="preserve">「圣传与圣经构成神的道的单一圣库」（DV 10）。教会在旅途中，仿佛在镜中，从这圣库里观照神——她一切财富的源头。</w:t>
      </w:r>
    </w:p>
    <w:p>
      <w:pPr>
        <w:pStyle w:val="BodyText"/>
      </w:pPr>
      <w:r>
        <w:t xml:space="preserve">「教会在她的教导、生活与敬奉中，将她自身的一切、她所信的一切，延续并传递给每一代」（DV 8 §1）。</w:t>
      </w:r>
    </w:p>
    <w:p>
      <w:pPr>
        <w:pStyle w:val="BodyText"/>
      </w:pPr>
      <w:r>
        <w:t xml:space="preserve">托赖那超自然的信心感，神的子民整体不断地接纳、不断更深入地体会，并更充分地活出神所赐启示的恩赐。</w:t>
      </w:r>
    </w:p>
    <w:p>
      <w:pPr>
        <w:pStyle w:val="BodyText"/>
      </w:pPr>
      <w:r>
        <w:t xml:space="preserve">对神的道作真实诠释的任务，只托付给教会的训导权，也就是托付给教宗及与他相共融的主教们。</w:t>
      </w:r>
    </w:p>
    <w:p>
      <w:r>
        <w:br w:type="page"/>
      </w:r>
    </w:p>
    <w:bookmarkEnd w:id="147"/>
    <w:bookmarkEnd w:id="148"/>
    <w:bookmarkStart w:id="206" w:name="第三条圣经"/>
    <w:p>
      <w:pPr>
        <w:pStyle w:val="Heading4"/>
      </w:pPr>
      <w:r>
        <w:t xml:space="preserve">第三条：圣经</w:t>
      </w:r>
    </w:p>
    <w:bookmarkStart w:id="155" w:name="一基督圣经中的独一之道"/>
    <w:p>
      <w:pPr>
        <w:pStyle w:val="Heading5"/>
      </w:pPr>
      <w:r>
        <w:t xml:space="preserve">一、基督——圣经中的独一之道</w:t>
      </w:r>
    </w:p>
    <w:p>
      <w:pPr>
        <w:pStyle w:val="FirstParagraph"/>
      </w:pPr>
      <w:r>
        <w:t xml:space="preserve">为要把自己启示给人，神在他慈爱的俯就中，用人的话向人说话：「的确，神的话用人的话表达，在各方面都像人的语言；正如永恒圣父的道取了人性软弱的血肉时，也成了与人相似。」</w:t>
      </w:r>
      <w:r>
        <w:rPr>
          <w:rStyle w:val="FootnoteReference"/>
        </w:rPr>
        <w:footnoteReference w:id="149"/>
      </w:r>
    </w:p>
    <w:p>
      <w:pPr>
        <w:pStyle w:val="BodyText"/>
      </w:pPr>
      <w:r>
        <w:t xml:space="preserve">贯穿圣经的一切言语，神只说那一个道——在这唯一的话语里，他把自己完全表达出来。</w:t>
      </w:r>
      <w:r>
        <w:rPr>
          <w:rStyle w:val="FootnoteReference"/>
        </w:rPr>
        <w:footnoteReference w:id="150"/>
      </w:r>
      <w:r>
        <w:t xml:space="preserve"> </w:t>
      </w:r>
      <w:r>
        <w:t xml:space="preserve">{ }</w:t>
      </w:r>
    </w:p>
    <w:p>
      <w:pPr>
        <w:pStyle w:val="BodyText"/>
      </w:pPr>
      <w:r>
        <w:t xml:space="preserve">你要记得，同一的神之道贯穿整本圣经，在所有圣经作者口中回响的是同一的话语，因为那太初与神同在且就是神的道不需要分开的音节；因为他不受时间的限制。</w:t>
      </w:r>
      <w:r>
        <w:rPr>
          <w:rStyle w:val="FootnoteReference"/>
        </w:rPr>
        <w:footnoteReference w:id="151"/>
      </w:r>
    </w:p>
    <w:p>
      <w:pPr>
        <w:pStyle w:val="BodyText"/>
      </w:pPr>
      <w:r>
        <w:t xml:space="preserve">为此，教会一向敬奉圣经，如同敬奉主的身体一样。她不断地从神的道和基督身体的同一筵席上，取得生命之粮，呈献给信徒。</w:t>
      </w:r>
      <w:r>
        <w:rPr>
          <w:rStyle w:val="FootnoteReference"/>
        </w:rPr>
        <w:footnoteReference w:id="152"/>
      </w:r>
    </w:p>
    <w:p>
      <w:pPr>
        <w:pStyle w:val="BodyText"/>
      </w:pPr>
      <w:r>
        <w:t xml:space="preserve">教会在圣经中不断找到她的滋养和力量，因为她接受圣经不是当作人的话，「乃是当作神的道」。</w:t>
      </w:r>
      <w:r>
        <w:rPr>
          <w:rStyle w:val="FootnoteReference"/>
        </w:rPr>
        <w:footnoteReference w:id="153"/>
      </w:r>
      <w:r>
        <w:t xml:space="preserve">「在圣经中，天上的父慈爱地来与他的儿女相会，并与他们交谈。」</w:t>
      </w:r>
      <w:r>
        <w:rPr>
          <w:rStyle w:val="FootnoteReference"/>
        </w:rPr>
        <w:footnoteReference w:id="154"/>
      </w:r>
    </w:p>
    <w:bookmarkEnd w:id="155"/>
    <w:bookmarkStart w:id="162" w:name="二圣经的默示与真理"/>
    <w:p>
      <w:pPr>
        <w:pStyle w:val="Heading5"/>
      </w:pPr>
      <w:r>
        <w:t xml:space="preserve">二、圣经的默示与真理</w:t>
      </w:r>
    </w:p>
    <w:p>
      <w:pPr>
        <w:pStyle w:val="FirstParagraph"/>
      </w:pPr>
      <w:r>
        <w:rPr>
          <w:i/>
          <w:iCs/>
        </w:rPr>
        <w:t xml:space="preserve">神是圣经的作者。</w:t>
      </w:r>
      <w:r>
        <w:t xml:space="preserve">「包含并呈现在圣经文字中的神所启示的实在，是在圣灵的默示下写成的。」</w:t>
      </w:r>
      <w:r>
        <w:rPr>
          <w:rStyle w:val="FootnoteReference"/>
        </w:rPr>
        <w:footnoteReference w:id="156"/>
      </w:r>
    </w:p>
    <w:p>
      <w:pPr>
        <w:pStyle w:val="BodyText"/>
      </w:pPr>
      <w:r>
        <w:t xml:space="preserve">根据使徒时代的信心，至圣之教会接受新旧约全书及其各部分为圣而正典；因为这些书是在圣灵的默示下写成，以神为作者，并以此身份传递给教会本身。</w:t>
      </w:r>
      <w:r>
        <w:rPr>
          <w:rStyle w:val="FootnoteReference"/>
        </w:rPr>
        <w:footnoteReference w:id="157"/>
      </w:r>
      <w:r>
        <w:t xml:space="preserve"> </w:t>
      </w:r>
      <w:r>
        <w:t xml:space="preserve">{ }</w:t>
      </w:r>
    </w:p>
    <w:p>
      <w:pPr>
        <w:pStyle w:val="BodyText"/>
      </w:pPr>
      <w:r>
        <w:t xml:space="preserve">神默示了圣书的人类作者。「为编写圣书，神拣选了某些人；当他使用他们履行这任务时，他们充分运用了自己的才智与能力；因此，虽然是神在他们里面并借着他们行事，但他们以真正作者的身分，写下了神愿意写下的一切，不多也不少。」</w:t>
      </w:r>
      <w:r>
        <w:rPr>
          <w:rStyle w:val="FootnoteReference"/>
        </w:rPr>
        <w:footnoteReference w:id="158"/>
      </w:r>
    </w:p>
    <w:p>
      <w:pPr>
        <w:pStyle w:val="BodyText"/>
      </w:pPr>
      <w:r>
        <w:t xml:space="preserve">受默示的书教导真理。「因此，凡受默示的作者或圣作家所断言的，都应视为圣灵所断言的；我们必须承认：为着我们的得救，神愿意托付给圣经的那真理，圣经都坚固地、忠实地、且无误地教导了。」</w:t>
      </w:r>
      <w:r>
        <w:rPr>
          <w:rStyle w:val="FootnoteReference"/>
        </w:rPr>
        <w:footnoteReference w:id="159"/>
      </w:r>
    </w:p>
    <w:p>
      <w:pPr>
        <w:pStyle w:val="BodyText"/>
      </w:pPr>
      <w:r>
        <w:t xml:space="preserve">然而，基督信仰并不是「书的宗教」。基督宗教是神之「道」的宗教；这道「不是写成文字、沉默不语的话，而是成了肉身且是活着的道」。</w:t>
      </w:r>
      <w:r>
        <w:rPr>
          <w:rStyle w:val="FootnoteReference"/>
        </w:rPr>
        <w:footnoteReference w:id="160"/>
      </w:r>
      <w:r>
        <w:t xml:space="preserve">若不愿让圣经成为死文字，永活之神的永恒之道——基督——就必须藉着圣灵，「开他们的心窍，使他们能明白圣经」。</w:t>
      </w:r>
      <w:r>
        <w:rPr>
          <w:rStyle w:val="FootnoteReference"/>
        </w:rPr>
        <w:footnoteReference w:id="161"/>
      </w:r>
    </w:p>
    <w:bookmarkEnd w:id="162"/>
    <w:bookmarkStart w:id="179" w:name="三圣灵圣经的诠释者"/>
    <w:p>
      <w:pPr>
        <w:pStyle w:val="Heading5"/>
      </w:pPr>
      <w:r>
        <w:t xml:space="preserve">三、圣灵——圣经的诠释者</w:t>
      </w:r>
    </w:p>
    <w:p>
      <w:pPr>
        <w:pStyle w:val="FirstParagraph"/>
      </w:pPr>
      <w:r>
        <w:t xml:space="preserve">在圣经中，神以人的方式向人说话。要正确诠释圣经，读者必须留意人类作者真正要断言的是什么，也要留意神藉着他们的话语要向我们启示什么。</w:t>
      </w:r>
      <w:r>
        <w:rPr>
          <w:rStyle w:val="FootnoteReference"/>
        </w:rPr>
        <w:footnoteReference w:id="163"/>
      </w:r>
    </w:p>
    <w:p>
      <w:pPr>
        <w:pStyle w:val="BodyText"/>
      </w:pPr>
      <w:r>
        <w:t xml:space="preserve">为明白</w:t>
      </w:r>
      <w:r>
        <w:rPr>
          <w:i/>
          <w:iCs/>
        </w:rPr>
        <w:t xml:space="preserve">圣作者的本意</w:t>
      </w:r>
      <w:r>
        <w:t xml:space="preserve">，读者必须顾及他们当时的时代与文化处境、当时使用的文体，以及当时普遍的感受、言谈与叙述方式。「因为，在各种史体、先知体与诗体及其他文学表现形式中，真理呈现与表达的方式是不同的。」</w:t>
      </w:r>
      <w:r>
        <w:rPr>
          <w:rStyle w:val="FootnoteReference"/>
        </w:rPr>
        <w:footnoteReference w:id="164"/>
      </w:r>
    </w:p>
    <w:p>
      <w:pPr>
        <w:pStyle w:val="BodyText"/>
      </w:pPr>
      <w:r>
        <w:t xml:space="preserve">但既然圣经是受默示的，正确诠释还有另一个同样重要的原则；若无此原则，圣经就会成了死文字——「必须在写作圣经时所依靠的同一圣灵的光照下，来读圣经并诠释圣经」。</w:t>
      </w:r>
      <w:r>
        <w:rPr>
          <w:rStyle w:val="FootnoteReference"/>
        </w:rPr>
        <w:footnoteReference w:id="165"/>
      </w:r>
    </w:p>
    <w:p>
      <w:pPr>
        <w:pStyle w:val="BodyText"/>
      </w:pPr>
      <w:r>
        <w:t xml:space="preserve">梵二指出了三个准则，用以按启示圣经的那位圣灵来诠释圣经。</w:t>
      </w:r>
      <w:r>
        <w:rPr>
          <w:rStyle w:val="FootnoteReference"/>
        </w:rPr>
        <w:footnoteReference w:id="166"/>
      </w:r>
      <w:r>
        <w:t xml:space="preserve"> </w:t>
      </w:r>
      <w:r>
        <w:t xml:space="preserve">{ }</w:t>
      </w:r>
    </w:p>
    <w:p>
      <w:pPr>
        <w:numPr>
          <w:ilvl w:val="0"/>
          <w:numId w:val="1003"/>
        </w:numPr>
      </w:pPr>
      <w:r>
        <w:rPr>
          <w:i/>
          <w:iCs/>
        </w:rPr>
        <w:t xml:space="preserve">特别注意「整部圣经的内容与合一」</w:t>
      </w:r>
      <w:r>
        <w:t xml:space="preserve">。</w:t>
      </w:r>
      <w:r>
        <w:rPr>
          <w:rStyle w:val="FootnoteReference"/>
        </w:rPr>
        <w:footnoteReference w:id="167"/>
      </w:r>
    </w:p>
    <w:p>
      <w:pPr>
        <w:numPr>
          <w:ilvl w:val="0"/>
          <w:numId w:val="1000"/>
        </w:numPr>
      </w:pPr>
      <w:r>
        <w:t xml:space="preserve">「基督的心」这句话可以指圣经：圣经使我们认识他的心；在受难之前，这心是关闭的，圣经也仍晦暗；自从受难之后，圣经就被开启了；从那时起，明白圣经的人就会留意并分辨预言应当如何解读。</w:t>
      </w:r>
      <w:r>
        <w:rPr>
          <w:rStyle w:val="FootnoteReference"/>
        </w:rPr>
        <w:footnoteReference w:id="168"/>
      </w:r>
    </w:p>
    <w:p>
      <w:pPr>
        <w:numPr>
          <w:ilvl w:val="0"/>
          <w:numId w:val="1003"/>
        </w:numPr>
      </w:pPr>
      <w:r>
        <w:rPr>
          <w:i/>
          <w:iCs/>
        </w:rPr>
        <w:t xml:space="preserve">在「整个教会的活的圣传」之内读圣经</w:t>
      </w:r>
      <w:r>
        <w:t xml:space="preserve">。按教父们的一句话，圣经主要是写在教会的心中，而不是写在文件与记录上；因为教会在她的圣传中承载着神的道的活纪念，而赐给教会圣经属灵意义之诠释的，正是圣灵（「……按照圣灵赐给教会的属灵意义」）。</w:t>
      </w:r>
      <w:r>
        <w:rPr>
          <w:rStyle w:val="FootnoteReference"/>
        </w:rPr>
        <w:footnoteReference w:id="169"/>
      </w:r>
    </w:p>
    <w:p>
      <w:pPr>
        <w:numPr>
          <w:ilvl w:val="0"/>
          <w:numId w:val="1003"/>
        </w:numPr>
      </w:pPr>
      <w:r>
        <w:rPr>
          <w:i/>
          <w:iCs/>
        </w:rPr>
        <w:t xml:space="preserve">留意信心的类比</w:t>
      </w:r>
      <w:r>
        <w:t xml:space="preserve">。</w:t>
      </w:r>
      <w:r>
        <w:rPr>
          <w:rStyle w:val="FootnoteReference"/>
        </w:rPr>
        <w:footnoteReference w:id="170"/>
      </w:r>
    </w:p>
    <w:bookmarkStart w:id="178" w:name="圣经的意义层面"/>
    <w:p>
      <w:pPr>
        <w:pStyle w:val="Heading6"/>
      </w:pPr>
      <w:r>
        <w:t xml:space="preserve">圣经的意义层面</w:t>
      </w:r>
    </w:p>
    <w:p>
      <w:pPr>
        <w:pStyle w:val="FirstParagraph"/>
      </w:pPr>
      <w:r>
        <w:t xml:space="preserve">按照古老的传统，圣经可以区分为两种</w:t>
      </w:r>
      <w:r>
        <w:rPr>
          <w:i/>
          <w:iCs/>
        </w:rPr>
        <w:t xml:space="preserve">意义</w:t>
      </w:r>
      <w:r>
        <w:t xml:space="preserve">：字义与灵义；灵义又细分为寓意、伦理与末世意义。四重意义之间的深度内在和谐，保证了教会在活读圣经时能汲取其全部丰富。</w:t>
      </w:r>
    </w:p>
    <w:p>
      <w:pPr>
        <w:pStyle w:val="BodyText"/>
      </w:pPr>
      <w:r>
        <w:rPr>
          <w:i/>
          <w:iCs/>
        </w:rPr>
        <w:t xml:space="preserve">字义</w:t>
      </w:r>
      <w:r>
        <w:t xml:space="preserve">是圣经文字所表达、并依循健全诠释规则而由解经工作所阐明的意义：「圣经的其他一切意义，都以字义为基础。」</w:t>
      </w:r>
      <w:r>
        <w:rPr>
          <w:rStyle w:val="FootnoteReference"/>
        </w:rPr>
        <w:footnoteReference w:id="171"/>
      </w:r>
    </w:p>
    <w:p>
      <w:pPr>
        <w:pStyle w:val="BodyText"/>
      </w:pPr>
      <w:r>
        <w:t xml:space="preserve">*灵义。*由于神计划的合一，不仅经文本身，连同它所论及的实在与事件，都可以成为预表的记号。 { }</w:t>
      </w:r>
    </w:p>
    <w:p>
      <w:pPr>
        <w:pStyle w:val="Compact"/>
        <w:numPr>
          <w:ilvl w:val="0"/>
          <w:numId w:val="1004"/>
        </w:numPr>
      </w:pPr>
      <w:r>
        <w:t xml:space="preserve">*寓意。*我们藉着认识各事件在基督里的意义，可以更深地明白它们；例如过红海，预表基督的得胜，也预表基督徒的洗礼。</w:t>
      </w:r>
      <w:r>
        <w:rPr>
          <w:rStyle w:val="FootnoteReference"/>
        </w:rPr>
        <w:footnoteReference w:id="172"/>
      </w:r>
    </w:p>
    <w:p>
      <w:pPr>
        <w:pStyle w:val="Compact"/>
        <w:numPr>
          <w:ilvl w:val="0"/>
          <w:numId w:val="1004"/>
        </w:numPr>
      </w:pPr>
      <w:r>
        <w:t xml:space="preserve">*伦理。*圣经所记的事应引导我们行义。正如保罗所说，它们「并且写在经上，正是警戒我们这些末世的人」。</w:t>
      </w:r>
      <w:r>
        <w:rPr>
          <w:rStyle w:val="FootnoteReference"/>
        </w:rPr>
        <w:footnoteReference w:id="173"/>
      </w:r>
    </w:p>
    <w:p>
      <w:pPr>
        <w:pStyle w:val="Compact"/>
        <w:numPr>
          <w:ilvl w:val="0"/>
          <w:numId w:val="1004"/>
        </w:numPr>
      </w:pPr>
      <w:r>
        <w:rPr>
          <w:i/>
          <w:iCs/>
        </w:rPr>
        <w:t xml:space="preserve">末世</w:t>
      </w:r>
      <w:r>
        <w:t xml:space="preserve">（希腊文：</w:t>
      </w:r>
      <w:r>
        <w:rPr>
          <w:i/>
          <w:iCs/>
        </w:rPr>
        <w:t xml:space="preserve">anagoge</w:t>
      </w:r>
      <w:r>
        <w:t xml:space="preserve">，意为「引向」）。我们可以按其永恒的意义来看待这些实在与事件，把我们引向真正的家乡；例如，地上的教会是天上耶路撒冷的一个记号。</w:t>
      </w:r>
      <w:r>
        <w:rPr>
          <w:rStyle w:val="FootnoteReference"/>
        </w:rPr>
        <w:footnoteReference w:id="174"/>
      </w:r>
    </w:p>
    <w:p>
      <w:pPr>
        <w:pStyle w:val="FirstParagraph"/>
      </w:pPr>
      <w:r>
        <w:t xml:space="preserve">一则中世纪的对句概括了四重意义：</w:t>
      </w:r>
      <w:r>
        <w:br/>
      </w:r>
      <w:r>
        <w:t xml:space="preserve">字义述其事；寓意指所信；</w:t>
      </w:r>
      <w:r>
        <w:br/>
      </w:r>
      <w:r>
        <w:t xml:space="preserve">伦理示所行；末世指归宿。</w:t>
      </w:r>
      <w:r>
        <w:rPr>
          <w:rStyle w:val="FootnoteReference"/>
        </w:rPr>
        <w:footnoteReference w:id="175"/>
      </w:r>
    </w:p>
    <w:p>
      <w:pPr>
        <w:pStyle w:val="BodyText"/>
      </w:pPr>
      <w:r>
        <w:t xml:space="preserve">解经学者的任务就是依照这些规则致力于更好地理解并阐明圣经的意义，使他们的研究有助于教会作出更稳固的判断。因为，凡关于解释圣经方式所说的一切，最终都要顺服教会的判断；而教会正是奉着神所授的使命与职分，看守并解释神的道。</w:t>
      </w:r>
      <w:r>
        <w:rPr>
          <w:rStyle w:val="FootnoteReference"/>
        </w:rPr>
        <w:footnoteReference w:id="176"/>
      </w:r>
    </w:p>
    <w:p>
      <w:pPr>
        <w:pStyle w:val="BodyText"/>
      </w:pPr>
      <w:r>
        <w:t xml:space="preserve">若不是公教会的权威先感动了我，我就不会信福音。</w:t>
      </w:r>
      <w:r>
        <w:rPr>
          <w:rStyle w:val="FootnoteReference"/>
        </w:rPr>
        <w:footnoteReference w:id="177"/>
      </w:r>
    </w:p>
    <w:bookmarkEnd w:id="178"/>
    <w:bookmarkEnd w:id="179"/>
    <w:bookmarkStart w:id="199" w:name="四圣经目录"/>
    <w:p>
      <w:pPr>
        <w:pStyle w:val="Heading5"/>
      </w:pPr>
      <w:r>
        <w:t xml:space="preserve">四、圣经目录</w:t>
      </w:r>
    </w:p>
    <w:p>
      <w:pPr>
        <w:pStyle w:val="FirstParagraph"/>
      </w:pPr>
      <w:r>
        <w:t xml:space="preserve">教会正是借着使徒的圣传，辨认哪些著作该被收入圣书的目录。</w:t>
      </w:r>
      <w:r>
        <w:rPr>
          <w:rStyle w:val="FootnoteReference"/>
        </w:rPr>
        <w:footnoteReference w:id="180"/>
      </w:r>
    </w:p>
    <w:p>
      <w:pPr>
        <w:pStyle w:val="BodyText"/>
      </w:pPr>
      <w:r>
        <w:t xml:space="preserve">旧约是圣经不可或缺的一部分。其各书均受神的默示，并具有永久的价值，因为旧约从未被废除。</w:t>
      </w:r>
      <w:r>
        <w:rPr>
          <w:rStyle w:val="FootnoteReference"/>
        </w:rPr>
        <w:footnoteReference w:id="181"/>
      </w:r>
    </w:p>
    <w:p>
      <w:pPr>
        <w:pStyle w:val="BodyText"/>
      </w:pPr>
      <w:r>
        <w:rPr>
          <w:i/>
          <w:iCs/>
        </w:rPr>
        <w:t xml:space="preserve">旧约</w:t>
      </w:r>
      <w:r>
        <w:t xml:space="preserve">：创世记、出埃及记、利未记、民数记、申命记、约书亚记、士师记、路得记、撒母耳记上、撒母耳记下、列王记上、列王记下、历代志上、历代志下、以斯拉记、尼希米记、多俾亚传、友弟德传、以斯帖记、马加伯上、马加伯下、约伯记、诗篇、箴言、传道书、雅歌、智慧篇、德训篇、以赛亚书、耶利米书、耶利米哀歌、巴路克书、以西结书、但以理书、何西阿书、约珥书、阿摩司书、俄巴底亚书、约拿书、弥迦书、那鸿书、哈巴谷书、西番雅书、哈该书、撒迦利亚书、玛拉基书。</w:t>
      </w:r>
    </w:p>
    <w:p>
      <w:pPr>
        <w:pStyle w:val="BodyText"/>
      </w:pPr>
      <w:r>
        <w:t xml:space="preserve">确实，「旧约的救恩安排是有意地指向准备并以预言宣告基督的来临——全人类的救赎主。」</w:t>
      </w:r>
      <w:r>
        <w:rPr>
          <w:rStyle w:val="FootnoteReference"/>
        </w:rPr>
        <w:footnoteReference w:id="182"/>
      </w:r>
      <w:r>
        <w:t xml:space="preserve">「尽管它们包含不完美与权宜之计的事物，」</w:t>
      </w:r>
      <w:r>
        <w:rPr>
          <w:rStyle w:val="FootnoteReference"/>
        </w:rPr>
        <w:footnoteReference w:id="183"/>
      </w:r>
      <w:r>
        <w:t xml:space="preserve">旧约各书仍为神救恩之爱的整个教导法作见证：这些著作「是关于神的高深教训与关于人类生活的健全智慧的宝库，也是祈祷的美好宝藏；而我们的救恩奥秘也以隐密的方式呈现在其中。」</w:t>
      </w:r>
      <w:r>
        <w:rPr>
          <w:rStyle w:val="FootnoteReference"/>
        </w:rPr>
        <w:footnoteReference w:id="184"/>
      </w:r>
    </w:p>
    <w:p>
      <w:pPr>
        <w:pStyle w:val="BodyText"/>
      </w:pPr>
      <w:r>
        <w:t xml:space="preserve">基督徒敬奉旧约为真实的神的道。教会一直坚决反对借口新约已使旧约失效而拒绝旧约的观点（马吉安主义）。</w:t>
      </w:r>
    </w:p>
    <w:bookmarkStart w:id="198" w:name="新约"/>
    <w:p>
      <w:pPr>
        <w:pStyle w:val="Heading6"/>
      </w:pPr>
      <w:r>
        <w:t xml:space="preserve">新约</w:t>
      </w:r>
    </w:p>
    <w:p>
      <w:pPr>
        <w:pStyle w:val="FirstParagraph"/>
      </w:pPr>
      <w:r>
        <w:t xml:space="preserve">「神的道，就是神的大能，要救一切相信的人，在新约著作里以最奇妙的方式被陈明并彰显其能力」</w:t>
      </w:r>
      <w:r>
        <w:rPr>
          <w:rStyle w:val="FootnoteReference"/>
        </w:rPr>
        <w:footnoteReference w:id="185"/>
      </w:r>
      <w:r>
        <w:t xml:space="preserve">这些著作传递神启示的终极真理。它们的中心对象是耶稣基督——神取了肉身的儿子：他的作为、教训、苦难与光荣，以及在圣灵引导下他的教会的肇始。</w:t>
      </w:r>
      <w:r>
        <w:rPr>
          <w:rStyle w:val="FootnoteReference"/>
        </w:rPr>
        <w:footnoteReference w:id="186"/>
      </w:r>
    </w:p>
    <w:p>
      <w:pPr>
        <w:pStyle w:val="BodyText"/>
      </w:pPr>
      <w:r>
        <w:rPr>
          <w:i/>
          <w:iCs/>
        </w:rPr>
        <w:t xml:space="preserve">福音书</w:t>
      </w:r>
      <w:r>
        <w:t xml:space="preserve">是整部圣经的核心，「因为它们是我们认识取了肉身的道——我们的救主——之生平与教训的主要来源」。</w:t>
      </w:r>
      <w:r>
        <w:rPr>
          <w:rStyle w:val="FootnoteReference"/>
        </w:rPr>
        <w:footnoteReference w:id="187"/>
      </w:r>
    </w:p>
    <w:p>
      <w:pPr>
        <w:pStyle w:val="BodyText"/>
      </w:pPr>
      <w:r>
        <w:t xml:space="preserve">我们可以分辨福音书形成的三个阶段： { }</w:t>
      </w:r>
    </w:p>
    <w:p>
      <w:pPr>
        <w:pStyle w:val="Compact"/>
        <w:numPr>
          <w:ilvl w:val="0"/>
          <w:numId w:val="1005"/>
        </w:numPr>
      </w:pPr>
      <w:r>
        <w:t xml:space="preserve">*耶稣的生活与教导。*教会坚定地认为，四部福音书「其历史性教会毫不犹豫地加以肯定，忠实地传递了神的儿子耶稣在世与人同住期间为着他们的永远得救所作所教的一切，直到他被接上升之日」。</w:t>
      </w:r>
      <w:r>
        <w:rPr>
          <w:rStyle w:val="FootnoteReference"/>
        </w:rPr>
        <w:footnoteReference w:id="188"/>
      </w:r>
    </w:p>
    <w:p>
      <w:pPr>
        <w:pStyle w:val="Compact"/>
        <w:numPr>
          <w:ilvl w:val="0"/>
          <w:numId w:val="1005"/>
        </w:numPr>
      </w:pPr>
      <w:r>
        <w:rPr>
          <w:i/>
          <w:iCs/>
        </w:rPr>
        <w:t xml:space="preserve">口传传统。</w:t>
      </w:r>
      <w:r>
        <w:t xml:space="preserve">「因为主升天后，使徒把他所说所行的传给了听众，但此时他们因基督的荣耀事件而受教，并由真理之灵光照，对这些事已有更充足的理解。」</w:t>
      </w:r>
      <w:r>
        <w:rPr>
          <w:rStyle w:val="FootnoteReference"/>
        </w:rPr>
        <w:footnoteReference w:id="189"/>
      </w:r>
    </w:p>
    <w:p>
      <w:pPr>
        <w:pStyle w:val="Compact"/>
        <w:numPr>
          <w:ilvl w:val="0"/>
          <w:numId w:val="1005"/>
        </w:numPr>
      </w:pPr>
      <w:r>
        <w:rPr>
          <w:i/>
          <w:iCs/>
        </w:rPr>
        <w:t xml:space="preserve">书写的福音。</w:t>
      </w:r>
      <w:r>
        <w:t xml:space="preserve">「圣作者在写四福音时，从众多已经口传或已成文的材料中有所选择；另一些则加以综合或说明，以顾及各教会的处境，同时保持宣讲的体例；但他们总以能让我们获得关于耶稣的诚实真相的方式来记述。」</w:t>
      </w:r>
      <w:r>
        <w:rPr>
          <w:rStyle w:val="FootnoteReference"/>
        </w:rPr>
        <w:footnoteReference w:id="190"/>
      </w:r>
    </w:p>
    <w:p>
      <w:pPr>
        <w:pStyle w:val="FirstParagraph"/>
      </w:pPr>
      <w:r>
        <w:t xml:space="preserve">四福音在教会中占有独特的地位，这从礼仪对它的敬奉，以及它在历世历代对众圣人所产生的非凡吸引力上，都清楚可见：</w:t>
      </w:r>
    </w:p>
    <w:p>
      <w:pPr>
        <w:pStyle w:val="BodyText"/>
      </w:pPr>
      <w:r>
        <w:t xml:space="preserve">没有哪种教义能比福音经文更好、更宝贵、更辉煌。看见并牢记我们的主和师傅基督所用言语教导、并用行为成就的一切。</w:t>
      </w:r>
      <w:r>
        <w:rPr>
          <w:rStyle w:val="FootnoteReference"/>
        </w:rPr>
        <w:footnoteReference w:id="191"/>
      </w:r>
      <w:r>
        <w:t xml:space="preserve"> </w:t>
      </w:r>
      <w:r>
        <w:t xml:space="preserve">{ }</w:t>
      </w:r>
    </w:p>
    <w:p>
      <w:pPr>
        <w:pStyle w:val="BodyText"/>
      </w:pPr>
      <w:r>
        <w:t xml:space="preserve">但最重要的是，在我祈祷时，福音总占据我的心；我这贫乏的灵魂有那么多需要，而这却是那惟一需要的。我总在其中得到新的光照；那些先前对我毫无意义的隐藏旨意，如今常常向我开启。</w:t>
      </w:r>
      <w:r>
        <w:rPr>
          <w:rStyle w:val="FootnoteReference"/>
        </w:rPr>
        <w:footnoteReference w:id="192"/>
      </w:r>
    </w:p>
    <w:p>
      <w:pPr>
        <w:pStyle w:val="BodyText"/>
      </w:pPr>
      <w:r>
        <w:t xml:space="preserve">教会从使徒时代开始，</w:t>
      </w:r>
      <w:r>
        <w:rPr>
          <w:rStyle w:val="FootnoteReference"/>
        </w:rPr>
        <w:footnoteReference w:id="193"/>
      </w:r>
      <w:r>
        <w:t xml:space="preserve">并在其圣传中不断借着预表论，阐明两约之中神计划的合一：在旧约的作为里辨认出那些预表，指向他在时候满足时，借着他取了肉身的儿子所要成就的事。</w:t>
      </w:r>
    </w:p>
    <w:p>
      <w:pPr>
        <w:pStyle w:val="BodyText"/>
      </w:pPr>
      <w:r>
        <w:t xml:space="preserve">因此，基督徒要在被钉十字架并复活的基督之光中来读旧约。这样的预表性阅读揭示旧约取之不尽的内涵；但也不能让我们忘记，旧约作为启示本身就有其内在价值，这一点是主亲自重申过的。</w:t>
      </w:r>
      <w:r>
        <w:rPr>
          <w:rStyle w:val="FootnoteReference"/>
        </w:rPr>
        <w:footnoteReference w:id="194"/>
      </w:r>
      <w:r>
        <w:t xml:space="preserve">此外，新约也必须在旧约的光中来读。早期的教理教授不断使用旧约。</w:t>
      </w:r>
      <w:r>
        <w:rPr>
          <w:rStyle w:val="FootnoteReference"/>
        </w:rPr>
        <w:footnoteReference w:id="195"/>
      </w:r>
      <w:r>
        <w:t xml:space="preserve">正如古语所说：新约隐含在旧约里，旧约在新约里被揭开。</w:t>
      </w:r>
      <w:r>
        <w:rPr>
          <w:rStyle w:val="FootnoteReference"/>
        </w:rPr>
        <w:footnoteReference w:id="196"/>
      </w:r>
    </w:p>
    <w:p>
      <w:pPr>
        <w:pStyle w:val="BodyText"/>
      </w:pPr>
      <w:r>
        <w:t xml:space="preserve">预表指向神计划走向成就的动态进程，直到「叫神在万有之上，为万有之主」。</w:t>
      </w:r>
      <w:r>
        <w:rPr>
          <w:rStyle w:val="FootnoteReference"/>
        </w:rPr>
        <w:footnoteReference w:id="197"/>
      </w:r>
      <w:r>
        <w:t xml:space="preserve">而像先祖的蒙召、以色列出埃及这样的阶段性事件，也并不会因此就在神的计划中失去其自身的价值。</w:t>
      </w:r>
    </w:p>
    <w:bookmarkEnd w:id="198"/>
    <w:bookmarkEnd w:id="199"/>
    <w:bookmarkStart w:id="205" w:name="五圣经在教会生活中的地位"/>
    <w:p>
      <w:pPr>
        <w:pStyle w:val="Heading5"/>
      </w:pPr>
      <w:r>
        <w:t xml:space="preserve">五、圣经在教会生活中的地位</w:t>
      </w:r>
    </w:p>
    <w:p>
      <w:pPr>
        <w:pStyle w:val="FirstParagraph"/>
      </w:pPr>
      <w:r>
        <w:t xml:space="preserve">「神的道具有如此的力量与能力，可以成为教会的支持与活力；对教会的子女，则成为他们信心的力量、灵魂的食粮，以及纯净而长久的灵性生活泉源。」</w:t>
      </w:r>
      <w:r>
        <w:rPr>
          <w:rStyle w:val="FootnoteReference"/>
        </w:rPr>
        <w:footnoteReference w:id="200"/>
      </w:r>
      <w:r>
        <w:t xml:space="preserve">因此，「应当向基督徒信众广开通往圣经的途径」。</w:t>
      </w:r>
      <w:r>
        <w:rPr>
          <w:rStyle w:val="FootnoteReference"/>
        </w:rPr>
        <w:footnoteReference w:id="201"/>
      </w:r>
    </w:p>
    <w:p>
      <w:pPr>
        <w:pStyle w:val="BodyText"/>
      </w:pPr>
      <w:r>
        <w:t xml:space="preserve">「因此，对圣页面的研读应当成为神学的灵魂。宣讲之职也一样——包括牧灵讲道、教理讲授与各种形式的基督徒教导，其中以礼仪讲道为尤要——都要借着圣经之道得到健全的滋养，并在圣洁中成长。」</w:t>
      </w:r>
      <w:r>
        <w:rPr>
          <w:rStyle w:val="FootnoteReference"/>
        </w:rPr>
        <w:footnoteReference w:id="202"/>
      </w:r>
    </w:p>
    <w:p>
      <w:pPr>
        <w:pStyle w:val="BodyText"/>
      </w:pPr>
      <w:r>
        <w:t xml:space="preserve">教会「强而有力且明确地劝勉所有基督徒信众……常常诵读神的经文，以认识超过一切的基督耶稣的知识。对圣经无知，就是对基督无知。」</w:t>
      </w:r>
      <w:r>
        <w:rPr>
          <w:rStyle w:val="FootnoteReference"/>
        </w:rPr>
        <w:footnoteReference w:id="203"/>
      </w:r>
    </w:p>
    <w:bookmarkStart w:id="204" w:name="综述-3"/>
    <w:p>
      <w:pPr>
        <w:pStyle w:val="Heading6"/>
      </w:pPr>
      <w:r>
        <w:t xml:space="preserve">综述</w:t>
      </w:r>
    </w:p>
    <w:p>
      <w:pPr>
        <w:pStyle w:val="FirstParagraph"/>
      </w:pPr>
      <w:r>
        <w:t xml:space="preserve">整部圣经其实是一本书，而这一本书就是基督，「因为所有神的经文都在讲基督，所有神的经文都在基督里应验」（圣维克多的休，《</w:t>
      </w:r>
      <w:r>
        <w:rPr>
          <w:i/>
          <w:iCs/>
        </w:rPr>
        <w:t xml:space="preserve">挪亚方舟</w:t>
      </w:r>
      <w:r>
        <w:t xml:space="preserve">》2,8：PL 176,642；参 同上 2,9：PL 176,642-643）。</w:t>
      </w:r>
    </w:p>
    <w:p>
      <w:pPr>
        <w:pStyle w:val="BodyText"/>
      </w:pPr>
      <w:r>
        <w:t xml:space="preserve">「圣经包含神的道，并且因为它是被默示的，所以它确是真正的神的道」（DV 24）。</w:t>
      </w:r>
    </w:p>
    <w:p>
      <w:pPr>
        <w:pStyle w:val="BodyText"/>
      </w:pPr>
      <w:r>
        <w:t xml:space="preserve">神是圣经的作者，因为他默示了其中的人类作者；他在他们里面并借着他们施行工作。因此，他保证他们的著作无误地教导他那救恩的真理（参 DV 11）。</w:t>
      </w:r>
    </w:p>
    <w:p>
      <w:pPr>
        <w:pStyle w:val="BodyText"/>
      </w:pPr>
      <w:r>
        <w:t xml:space="preserve">对被默示之圣经的诠释，首先必须留意神要借着圣作者为我们的救恩所启示的是什么。凡出于圣灵的，若非借着圣灵的工作，就不能被完全「理解」（参 俄利根，《</w:t>
      </w:r>
      <w:r>
        <w:rPr>
          <w:i/>
          <w:iCs/>
        </w:rPr>
        <w:t xml:space="preserve">出埃及记讲道集</w:t>
      </w:r>
      <w:r>
        <w:t xml:space="preserve">》4,5：PG 12,320）。</w:t>
      </w:r>
    </w:p>
    <w:p>
      <w:pPr>
        <w:pStyle w:val="BodyText"/>
      </w:pPr>
      <w:r>
        <w:t xml:space="preserve">教会接受并敬奉旧约的 46 卷与新约的 27 卷为被默示的经书。</w:t>
      </w:r>
    </w:p>
    <w:p>
      <w:pPr>
        <w:pStyle w:val="BodyText"/>
      </w:pPr>
      <w:r>
        <w:t xml:space="preserve">四福音占据中心地位，因为基督耶稣就是它们的中心。</w:t>
      </w:r>
    </w:p>
    <w:p>
      <w:pPr>
        <w:pStyle w:val="BodyText"/>
      </w:pPr>
      <w:r>
        <w:t xml:space="preserve">两约的合一，来自神的计划与他启示的合一。旧约为新约作预备，新约成全旧约；两者互相阐明；两者都是真实的神的道。</w:t>
      </w:r>
    </w:p>
    <w:p>
      <w:pPr>
        <w:pStyle w:val="BodyText"/>
      </w:pPr>
      <w:r>
        <w:t xml:space="preserve">「教会一向像敬奉主的身体一样敬奉神的经文」（DV 21）：两者同样滋养并规范整个基督徒生活。「你的话是我脚前的灯，是我路上的光。」（</w:t>
      </w:r>
      <w:r>
        <w:rPr>
          <w:i/>
          <w:iCs/>
        </w:rPr>
        <w:t xml:space="preserve">诗</w:t>
      </w:r>
      <w:r>
        <w:t xml:space="preserve"> </w:t>
      </w:r>
      <w:r>
        <w:t xml:space="preserve">119:105；参</w:t>
      </w:r>
      <w:r>
        <w:rPr>
          <w:i/>
          <w:iCs/>
        </w:rPr>
        <w:t xml:space="preserve">赛</w:t>
      </w:r>
      <w:r>
        <w:t xml:space="preserve"> </w:t>
      </w:r>
      <w:r>
        <w:t xml:space="preserve">50:4）。</w:t>
      </w:r>
    </w:p>
    <w:p>
      <w:r>
        <w:br w:type="page"/>
      </w:r>
    </w:p>
    <w:bookmarkEnd w:id="204"/>
    <w:bookmarkEnd w:id="205"/>
    <w:bookmarkEnd w:id="206"/>
    <w:bookmarkEnd w:id="207"/>
    <w:bookmarkStart w:id="286" w:name="第三章人对神的回应"/>
    <w:p>
      <w:pPr>
        <w:pStyle w:val="Heading3"/>
      </w:pPr>
      <w:r>
        <w:t xml:space="preserve">第三章：人对神的回应</w:t>
      </w:r>
    </w:p>
    <w:p>
      <w:pPr>
        <w:pStyle w:val="FirstParagraph"/>
      </w:pPr>
      <w:r>
        <w:rPr>
          <w:i/>
          <w:iCs/>
        </w:rPr>
        <w:t xml:space="preserve">借着他的启示</w:t>
      </w:r>
      <w:r>
        <w:t xml:space="preserve">，「那看不见的神，由他爱的丰盛，像对朋友一样与人说话，并在他们中间行走，好邀请并接纳他们进入他自己的团契。」</w:t>
      </w:r>
      <w:r>
        <w:rPr>
          <w:rStyle w:val="FootnoteReference"/>
        </w:rPr>
        <w:footnoteReference w:id="208"/>
      </w:r>
      <w:r>
        <w:t xml:space="preserve">对这邀请恰当的回应就是信心。</w:t>
      </w:r>
    </w:p>
    <w:p>
      <w:pPr>
        <w:pStyle w:val="BodyText"/>
      </w:pPr>
      <w:r>
        <w:rPr>
          <w:i/>
          <w:iCs/>
        </w:rPr>
        <w:t xml:space="preserve">凭着信心</w:t>
      </w:r>
      <w:r>
        <w:t xml:space="preserve">，人把他的心智与意志完全顺服于神。</w:t>
      </w:r>
      <w:r>
        <w:rPr>
          <w:rStyle w:val="FootnoteReference"/>
        </w:rPr>
        <w:footnoteReference w:id="209"/>
      </w:r>
      <w:r>
        <w:t xml:space="preserve">人以整个存在同意那位启示者神。圣经把人对启示之作者神的这种回应称为「信心的顺服」。</w:t>
      </w:r>
      <w:r>
        <w:rPr>
          <w:rStyle w:val="FootnoteReference"/>
        </w:rPr>
        <w:footnoteReference w:id="210"/>
      </w:r>
    </w:p>
    <w:bookmarkStart w:id="271" w:name="第一条我信"/>
    <w:p>
      <w:pPr>
        <w:pStyle w:val="Heading4"/>
      </w:pPr>
      <w:r>
        <w:t xml:space="preserve">第一条：我信</w:t>
      </w:r>
    </w:p>
    <w:bookmarkStart w:id="225" w:name="一信心的顺服"/>
    <w:p>
      <w:pPr>
        <w:pStyle w:val="Heading5"/>
      </w:pPr>
      <w:r>
        <w:t xml:space="preserve">一、信心的顺服</w:t>
      </w:r>
    </w:p>
    <w:p>
      <w:pPr>
        <w:pStyle w:val="FirstParagraph"/>
      </w:pPr>
      <w:r>
        <w:t xml:space="preserve">在信心里「顺服」（源自拉丁文</w:t>
      </w:r>
      <w:r>
        <w:t xml:space="preserve"> </w:t>
      </w:r>
      <w:r>
        <w:rPr>
          <w:i/>
          <w:iCs/>
        </w:rPr>
        <w:t xml:space="preserve">ob-audire</w:t>
      </w:r>
      <w:r>
        <w:t xml:space="preserve">，意为「听、聆听」），就是对所听见的话自由地顺从，因为它的真实性由神所担保——他自己就是真理。圣经把亚伯拉罕作为这种顺服的榜样；童贞女马利亚是其最完美的体现。</w:t>
      </w:r>
    </w:p>
    <w:bookmarkStart w:id="219" w:name="亚伯拉罕一切相信之人的父"/>
    <w:p>
      <w:pPr>
        <w:pStyle w:val="Heading6"/>
      </w:pPr>
      <w:r>
        <w:t xml:space="preserve">亚伯拉罕——「一切相信之人的父」</w:t>
      </w:r>
    </w:p>
    <w:p>
      <w:pPr>
        <w:pStyle w:val="FirstParagraph"/>
      </w:pPr>
      <w:r>
        <w:t xml:space="preserve">《希伯来书》在对以色列先祖信心的宏大颂赞中，特别强调了亚伯拉罕的信心：「亚伯拉罕因着信，蒙召的时候就遵命出去，要往将来要得为业的地方去；出去的时候，还不知往哪里去。」</w:t>
      </w:r>
      <w:r>
        <w:rPr>
          <w:rStyle w:val="FootnoteReference"/>
        </w:rPr>
        <w:footnoteReference w:id="211"/>
      </w:r>
      <w:r>
        <w:t xml:space="preserve">他因着信，在应许之地作客寄居。</w:t>
      </w:r>
      <w:r>
        <w:rPr>
          <w:rStyle w:val="FootnoteReference"/>
        </w:rPr>
        <w:footnoteReference w:id="212"/>
      </w:r>
      <w:r>
        <w:t xml:space="preserve">因着信，撒拉得以怀上那应许之子；又因着信，亚伯拉罕把他独生的儿子献上。</w:t>
      </w:r>
      <w:r>
        <w:rPr>
          <w:rStyle w:val="FootnoteReference"/>
        </w:rPr>
        <w:footnoteReference w:id="213"/>
      </w:r>
    </w:p>
    <w:p>
      <w:pPr>
        <w:pStyle w:val="BodyText"/>
      </w:pPr>
      <w:r>
        <w:t xml:space="preserve">亚伯拉罕因此应验了《希伯来书》11:1 对信心的定义：「信就是所望之事的实底，是未见之事的确据」：</w:t>
      </w:r>
      <w:r>
        <w:rPr>
          <w:rStyle w:val="FootnoteReference"/>
        </w:rPr>
        <w:footnoteReference w:id="214"/>
      </w:r>
      <w:r>
        <w:t xml:space="preserve">「亚伯拉罕信神，这就算为他的义。」</w:t>
      </w:r>
      <w:r>
        <w:rPr>
          <w:rStyle w:val="FootnoteReference"/>
        </w:rPr>
        <w:footnoteReference w:id="215"/>
      </w:r>
      <w:r>
        <w:t xml:space="preserve">因为他「因信，心里得坚固」，亚伯拉罕就成为「一切相信之人的父」。</w:t>
      </w:r>
      <w:r>
        <w:rPr>
          <w:rStyle w:val="FootnoteReference"/>
        </w:rPr>
        <w:footnoteReference w:id="216"/>
      </w:r>
    </w:p>
    <w:p>
      <w:pPr>
        <w:pStyle w:val="BodyText"/>
      </w:pPr>
      <w:r>
        <w:t xml:space="preserve">旧约里充满了对此信心的见证。《希伯来书》赞美先祖堪为典范的信心，他们「得了美好的证据」。</w:t>
      </w:r>
      <w:r>
        <w:rPr>
          <w:rStyle w:val="FootnoteReference"/>
        </w:rPr>
        <w:footnoteReference w:id="217"/>
      </w:r>
      <w:r>
        <w:t xml:space="preserve">然而，「神给我们预备了更美的事」：就是信他儿子耶稣的恩典——他是「为我们信心创始成终的」那一位。</w:t>
      </w:r>
      <w:r>
        <w:rPr>
          <w:rStyle w:val="FootnoteReference"/>
        </w:rPr>
        <w:footnoteReference w:id="218"/>
      </w:r>
    </w:p>
    <w:bookmarkEnd w:id="219"/>
    <w:bookmarkStart w:id="224" w:name="马利亚这相信的女子是有福的"/>
    <w:p>
      <w:pPr>
        <w:pStyle w:val="Heading6"/>
      </w:pPr>
      <w:r>
        <w:t xml:space="preserve">马利亚——「这相信的女子是有福的」</w:t>
      </w:r>
    </w:p>
    <w:p>
      <w:pPr>
        <w:pStyle w:val="FirstParagraph"/>
      </w:pPr>
      <w:r>
        <w:t xml:space="preserve">童贞女马利亚最完美地体现了信心的顺服。马利亚因着信，接受加百列天使所带来的信息与应许，相信「因为出于神的话，没有一句不带能力的」，并如此应允：「我是主的使女，情愿照你的话成就在我身上。」</w:t>
      </w:r>
      <w:r>
        <w:rPr>
          <w:rStyle w:val="FootnoteReference"/>
        </w:rPr>
        <w:footnoteReference w:id="220"/>
      </w:r>
      <w:r>
        <w:t xml:space="preserve">伊利沙伯这样问安她：「这相信的女子是有福的！因为主对她所说的话都要应验。」</w:t>
      </w:r>
      <w:r>
        <w:rPr>
          <w:rStyle w:val="FootnoteReference"/>
        </w:rPr>
        <w:footnoteReference w:id="221"/>
      </w:r>
      <w:r>
        <w:t xml:space="preserve">正因这信心，万代都称马利亚有福。</w:t>
      </w:r>
      <w:r>
        <w:rPr>
          <w:rStyle w:val="FootnoteReference"/>
        </w:rPr>
        <w:footnoteReference w:id="222"/>
      </w:r>
    </w:p>
    <w:p>
      <w:pPr>
        <w:pStyle w:val="BodyText"/>
      </w:pPr>
      <w:r>
        <w:t xml:space="preserve">在她的一生中，直到最后的考验——她的儿子耶稣死在十字架上的时候——</w:t>
      </w:r>
      <w:r>
        <w:rPr>
          <w:rStyle w:val="FootnoteReference"/>
        </w:rPr>
        <w:footnoteReference w:id="223"/>
      </w:r>
      <w:r>
        <w:t xml:space="preserve">马利亚的信心从未动摇。她始终相信神的话必然应验。因此，教会在马利亚身上敬见信心最纯净的实现。</w:t>
      </w:r>
    </w:p>
    <w:bookmarkEnd w:id="224"/>
    <w:bookmarkEnd w:id="225"/>
    <w:bookmarkStart w:id="236" w:name="二我知道我所信的是谁"/>
    <w:p>
      <w:pPr>
        <w:pStyle w:val="Heading5"/>
      </w:pPr>
      <w:r>
        <w:t xml:space="preserve">二、「我知道我所信的是谁」</w:t>
      </w:r>
    </w:p>
    <w:bookmarkStart w:id="227" w:name="只信神"/>
    <w:p>
      <w:pPr>
        <w:pStyle w:val="Heading6"/>
      </w:pPr>
      <w:r>
        <w:t xml:space="preserve">只信神</w:t>
      </w:r>
    </w:p>
    <w:p>
      <w:pPr>
        <w:pStyle w:val="FirstParagraph"/>
      </w:pPr>
      <w:r>
        <w:t xml:space="preserve">信心首先是人对神的个人依附。同时且不可分割地，信心也是对神所启示的一切真理的</w:t>
      </w:r>
      <w:r>
        <w:rPr>
          <w:i/>
          <w:iCs/>
        </w:rPr>
        <w:t xml:space="preserve">自由同意</w:t>
      </w:r>
      <w:r>
        <w:t xml:space="preserve">。作为对神的个人依附与对他真理的同意，基督徒的信心不同于我们对任何人的信任。把自己完全交托给神，并绝对相信他所说的，这是正当而合宜的；把这样的信心放在任何受造物上，则是徒然而错误的。</w:t>
      </w:r>
      <w:r>
        <w:rPr>
          <w:rStyle w:val="FootnoteReference"/>
        </w:rPr>
        <w:footnoteReference w:id="226"/>
      </w:r>
    </w:p>
    <w:bookmarkEnd w:id="227"/>
    <w:bookmarkStart w:id="232" w:name="信耶稣基督神的儿子"/>
    <w:p>
      <w:pPr>
        <w:pStyle w:val="Heading6"/>
      </w:pPr>
      <w:r>
        <w:t xml:space="preserve">信耶稣基督，神的儿子</w:t>
      </w:r>
    </w:p>
    <w:p>
      <w:pPr>
        <w:pStyle w:val="FirstParagraph"/>
      </w:pPr>
      <w:r>
        <w:t xml:space="preserve">对基督徒来说，相信神与相信他所差来的那一位——他所「爱的」「儿子」，父在他里面「喜悦」的——是不可分割的；神也吩咐我们要听他。</w:t>
      </w:r>
      <w:r>
        <w:rPr>
          <w:rStyle w:val="FootnoteReference"/>
        </w:rPr>
        <w:footnoteReference w:id="228"/>
      </w:r>
      <w:r>
        <w:t xml:space="preserve">主亲自对门徒说：「你们信神，也当信我。」</w:t>
      </w:r>
      <w:r>
        <w:rPr>
          <w:rStyle w:val="FootnoteReference"/>
        </w:rPr>
        <w:footnoteReference w:id="229"/>
      </w:r>
      <w:r>
        <w:t xml:space="preserve">我们可以信耶稣基督，因为他本就是神，是成了肉身的道：「从来没有人看见神；只有在父怀里的独生子，将他表明出来。」</w:t>
      </w:r>
      <w:r>
        <w:rPr>
          <w:rStyle w:val="FootnoteReference"/>
        </w:rPr>
        <w:footnoteReference w:id="230"/>
      </w:r>
      <w:r>
        <w:t xml:space="preserve">因为他「看见过父」，耶稣基督是唯一认识父并能启示父的那一位。</w:t>
      </w:r>
      <w:r>
        <w:rPr>
          <w:rStyle w:val="FootnoteReference"/>
        </w:rPr>
        <w:footnoteReference w:id="231"/>
      </w:r>
    </w:p>
    <w:bookmarkEnd w:id="232"/>
    <w:bookmarkStart w:id="235" w:name="信圣灵"/>
    <w:p>
      <w:pPr>
        <w:pStyle w:val="Heading6"/>
      </w:pPr>
      <w:r>
        <w:t xml:space="preserve">信圣灵</w:t>
      </w:r>
    </w:p>
    <w:p>
      <w:pPr>
        <w:pStyle w:val="FirstParagraph"/>
      </w:pPr>
      <w:r>
        <w:t xml:space="preserve">若不分享他的灵，就不可能相信耶稣基督。是圣灵向人启示耶稣是谁。因为「若不是被圣灵感动的，也没有能说『耶稣是主』的」，</w:t>
      </w:r>
      <w:r>
        <w:rPr>
          <w:rStyle w:val="FootnoteReference"/>
        </w:rPr>
        <w:footnoteReference w:id="233"/>
      </w:r>
      <w:r>
        <w:t xml:space="preserve">「圣灵参透万事，就是神深奥的事也参透了。……除了神的灵，也没有人知道神的事。」</w:t>
      </w:r>
      <w:r>
        <w:rPr>
          <w:rStyle w:val="FootnoteReference"/>
        </w:rPr>
        <w:footnoteReference w:id="234"/>
      </w:r>
      <w:r>
        <w:t xml:space="preserve">唯有神完全认识神；我们相信圣灵，因为他是神。</w:t>
      </w:r>
    </w:p>
    <w:p>
      <w:pPr>
        <w:pStyle w:val="BlockText"/>
      </w:pPr>
      <w:r>
        <w:rPr>
          <w:i/>
          <w:iCs/>
        </w:rPr>
        <w:t xml:space="preserve">教会从未停止宣认她对独一真神——圣父、圣子、圣灵——的信仰。</w:t>
      </w:r>
      <w:r>
        <w:t xml:space="preserve"> </w:t>
      </w:r>
      <w:r>
        <w:t xml:space="preserve">{ }</w:t>
      </w:r>
    </w:p>
    <w:bookmarkEnd w:id="235"/>
    <w:bookmarkEnd w:id="236"/>
    <w:bookmarkStart w:id="270" w:name="三信心的特征"/>
    <w:p>
      <w:pPr>
        <w:pStyle w:val="Heading5"/>
      </w:pPr>
      <w:r>
        <w:t xml:space="preserve">三、信心的特征</w:t>
      </w:r>
    </w:p>
    <w:bookmarkStart w:id="239" w:name="信心是恩典"/>
    <w:p>
      <w:pPr>
        <w:pStyle w:val="Heading6"/>
      </w:pPr>
      <w:r>
        <w:t xml:space="preserve">信心是恩典</w:t>
      </w:r>
    </w:p>
    <w:p>
      <w:pPr>
        <w:pStyle w:val="FirstParagraph"/>
      </w:pPr>
      <w:r>
        <w:t xml:space="preserve">当圣彼得承认耶稣是基督、是永生神的儿子时，耶稣对他说，这启示不是「属血肉的」指示的，乃是「我在天上的父」指示的。</w:t>
      </w:r>
      <w:r>
        <w:rPr>
          <w:rStyle w:val="FootnoteReference"/>
        </w:rPr>
        <w:footnoteReference w:id="237"/>
      </w:r>
      <w:r>
        <w:rPr>
          <w:i/>
          <w:iCs/>
        </w:rPr>
        <w:t xml:space="preserve">信心是神的恩赐，是他所注入的超自然德行。</w:t>
      </w:r>
      <w:r>
        <w:t xml:space="preserve">「在人能实行这信心之前，必须先有神的恩典来推动并扶助他；他必须有圣灵在内里的帮助，圣灵感动人心使之归向神，开启人心眼，并且『使众人容易接受并相信真理』。」</w:t>
      </w:r>
      <w:r>
        <w:rPr>
          <w:rStyle w:val="FootnoteReference"/>
        </w:rPr>
        <w:footnoteReference w:id="238"/>
      </w:r>
    </w:p>
    <w:bookmarkEnd w:id="239"/>
    <w:bookmarkStart w:id="242" w:name="信心是人的行动"/>
    <w:p>
      <w:pPr>
        <w:pStyle w:val="Heading6"/>
      </w:pPr>
      <w:r>
        <w:t xml:space="preserve">信心是人的行动</w:t>
      </w:r>
    </w:p>
    <w:p>
      <w:pPr>
        <w:pStyle w:val="FirstParagraph"/>
      </w:pPr>
      <w:r>
        <w:t xml:space="preserve">相信之所以可能，只因恩典与圣灵在内里的帮助；但同样真实的是，相信确实是一个真正的人类行动。信靠神并依附他所启示的真理，并不违背人的自由，也不违背人的理性。即使在人与人之间，相信别人向我们所述说关于他自己与其意向的事，或相信他们的承诺（例如婚姻中的男女彼此许诺），以共度共享生命，也并不有损我们的尊严。如果如此，那么「凭着信心将心智与意志完全顺服于启示者神」，</w:t>
      </w:r>
      <w:r>
        <w:rPr>
          <w:rStyle w:val="FootnoteReference"/>
        </w:rPr>
        <w:footnoteReference w:id="240"/>
      </w:r>
      <w:r>
        <w:t xml:space="preserve">以与他进入内在的共融，更不至于有损人的尊严。</w:t>
      </w:r>
    </w:p>
    <w:p>
      <w:pPr>
        <w:pStyle w:val="BodyText"/>
      </w:pPr>
      <w:r>
        <w:t xml:space="preserve">在信心里，人的理智与意志与神的恩典相合作：「信是受神借恩典所感动的意志所命令的理智，对神的真理所作的同意之行动。」</w:t>
      </w:r>
      <w:r>
        <w:rPr>
          <w:rStyle w:val="FootnoteReference"/>
        </w:rPr>
        <w:footnoteReference w:id="241"/>
      </w:r>
    </w:p>
    <w:bookmarkEnd w:id="242"/>
    <w:bookmarkStart w:id="269" w:name="信心与理解"/>
    <w:p>
      <w:pPr>
        <w:pStyle w:val="Heading6"/>
      </w:pPr>
      <w:r>
        <w:t xml:space="preserve">信心与理解</w:t>
      </w:r>
    </w:p>
    <w:p>
      <w:pPr>
        <w:pStyle w:val="FirstParagraph"/>
      </w:pPr>
      <w:r>
        <w:t xml:space="preserve">推动我们去相信的，并不是因为那些启示的真理在我们天然理性的光照下显得真实且可理解；我们之所以相信，是「因为启示这些真理的正是神他自己，他既不欺人，也不受人欺」。</w:t>
      </w:r>
      <w:r>
        <w:rPr>
          <w:rStyle w:val="FootnoteReference"/>
        </w:rPr>
        <w:footnoteReference w:id="243"/>
      </w:r>
      <w:r>
        <w:t xml:space="preserve">因此，「为了使我们的信心顺服仍与理性相符，神愿意把他启示的外在凭据，与圣灵在内里的帮助结合起来」。</w:t>
      </w:r>
      <w:r>
        <w:rPr>
          <w:rStyle w:val="FootnoteReference"/>
        </w:rPr>
        <w:footnoteReference w:id="244"/>
      </w:r>
      <w:r>
        <w:t xml:space="preserve">所以，基督及众圣人的神迹、预言、教会的增长与圣洁、她的多结果效与稳定，「都是最确切的神启的征兆，且适合所有人的理性」；它们是「可信性的动因」（</w:t>
      </w:r>
      <w:r>
        <w:rPr>
          <w:i/>
          <w:iCs/>
        </w:rPr>
        <w:t xml:space="preserve">motiva credibilitatis</w:t>
      </w:r>
      <w:r>
        <w:t xml:space="preserve">），表明信心的同意「绝不是心智的盲目冲动」。</w:t>
      </w:r>
      <w:r>
        <w:rPr>
          <w:rStyle w:val="FootnoteReference"/>
        </w:rPr>
        <w:footnoteReference w:id="245"/>
      </w:r>
    </w:p>
    <w:p>
      <w:pPr>
        <w:pStyle w:val="BodyText"/>
      </w:pPr>
      <w:r>
        <w:t xml:space="preserve">信心是</w:t>
      </w:r>
      <w:r>
        <w:rPr>
          <w:i/>
          <w:iCs/>
        </w:rPr>
        <w:t xml:space="preserve">确实的</w:t>
      </w:r>
      <w:r>
        <w:t xml:space="preserve">。它比一切人的知识都更为确实，因为它立基于那不说谎的神的话语。诚然，启示真理在人的理性与经验看来或许晦涩，但「神之光所赐的确定性，大于自然理性之光所赐的确定性」。</w:t>
      </w:r>
      <w:r>
        <w:rPr>
          <w:rStyle w:val="FootnoteReference"/>
        </w:rPr>
        <w:footnoteReference w:id="246"/>
      </w:r>
      <w:r>
        <w:t xml:space="preserve">「万难不生一疑。」</w:t>
      </w:r>
      <w:r>
        <w:rPr>
          <w:rStyle w:val="FootnoteReference"/>
        </w:rPr>
        <w:footnoteReference w:id="247"/>
      </w:r>
    </w:p>
    <w:p>
      <w:pPr>
        <w:pStyle w:val="BodyText"/>
      </w:pPr>
      <w:r>
        <w:t xml:space="preserve">「信心</w:t>
      </w:r>
      <w:r>
        <w:rPr>
          <w:i/>
          <w:iCs/>
        </w:rPr>
        <w:t xml:space="preserve">寻求明白</w:t>
      </w:r>
      <w:r>
        <w:t xml:space="preserve">」：</w:t>
      </w:r>
      <w:r>
        <w:rPr>
          <w:rStyle w:val="FootnoteReference"/>
        </w:rPr>
        <w:footnoteReference w:id="248"/>
      </w:r>
      <w:r>
        <w:t xml:space="preserve">信心本身就带着一种渴望：信的人渴望更认识他所信的那一位，也渴望更明白他所启示的事；更透彻的认识反过来又激发更大的信心，并让爱心越发火热。信心的恩典开启「你们心中的眼睛」，</w:t>
      </w:r>
      <w:r>
        <w:rPr>
          <w:rStyle w:val="FootnoteReference"/>
        </w:rPr>
        <w:footnoteReference w:id="249"/>
      </w:r>
      <w:r>
        <w:t xml:space="preserve">使人活泼地领会启示的内容：也就是神整个的计划与信仰的诸奥秘，它们彼此之间与与基督（启示之奥秘的中心）之间的联系。「同一位圣灵不断藉着他的恩赐使信心更臻完善，好让启示能被更深刻地理解。」</w:t>
      </w:r>
      <w:r>
        <w:rPr>
          <w:rStyle w:val="FootnoteReference"/>
        </w:rPr>
        <w:footnoteReference w:id="250"/>
      </w:r>
      <w:r>
        <w:t xml:space="preserve">用圣奥古斯丁的话说：「我信，为要明白；我明白，为要更信。」</w:t>
      </w:r>
      <w:r>
        <w:rPr>
          <w:rStyle w:val="FootnoteReference"/>
        </w:rPr>
        <w:footnoteReference w:id="251"/>
      </w:r>
    </w:p>
    <w:p>
      <w:pPr>
        <w:pStyle w:val="BodyText"/>
      </w:pPr>
      <w:r>
        <w:rPr>
          <w:i/>
          <w:iCs/>
        </w:rPr>
        <w:t xml:space="preserve">信心与科学</w:t>
      </w:r>
      <w:r>
        <w:t xml:space="preserve">：「虽然信心超乎理性，但信心与理性之间不可能有真正的冲突。因为启示奥秘并注入信心的正是那位把理性的光赐予人心的神；神不可能否定他自己，真理也不可能与真理相矛盾。」</w:t>
      </w:r>
      <w:r>
        <w:rPr>
          <w:rStyle w:val="FootnoteReference"/>
        </w:rPr>
        <w:footnoteReference w:id="252"/>
      </w:r>
      <w:r>
        <w:t xml:space="preserve">「因此，只要以真正科学的方法进行，并且不逾越道德律，所有学科中有条理的研究，都不可能与信仰相冲突，因为世界上的事物与信仰的事物都同源于神。那位谦卑而恒心地探索自然奥秘的人，某种意义上是被神牵着手引导的，因为乃是保守万有的神使它们成为现在的样子。」</w:t>
      </w:r>
      <w:r>
        <w:rPr>
          <w:rStyle w:val="FootnoteReference"/>
        </w:rPr>
        <w:footnoteReference w:id="253"/>
      </w:r>
    </w:p>
    <w:p>
      <w:pPr>
        <w:pStyle w:val="BodyText"/>
      </w:pPr>
      <w:r>
        <w:t xml:space="preserve">信心的自由：「人的回应若要真正是人的，就必须是对神的自由回应；……因此，任何人都不可被强迫违背意愿而接受信仰。信心的行为就其本质而言就是自由的行为。」</w:t>
      </w:r>
      <w:r>
        <w:rPr>
          <w:rStyle w:val="FootnoteReference"/>
        </w:rPr>
        <w:footnoteReference w:id="254"/>
      </w:r>
      <w:r>
        <w:t xml:space="preserve">「神呼召人用心灵和诚实来事奉他。因此，他们在良心上受约束，却不受强制。……这事实在基督耶稣身上得到了最充分的彰显。」</w:t>
      </w:r>
      <w:r>
        <w:rPr>
          <w:rStyle w:val="FootnoteReference"/>
        </w:rPr>
        <w:footnoteReference w:id="255"/>
      </w:r>
      <w:r>
        <w:t xml:space="preserve">基督确实呼召人归信与悔改，但从不强迫人。「因为他为真理作见证，却拒绝用武力强加给反对他的人。他的国度……靠着爱而增长；基督被举在十字架上，吸引人归向他。」</w:t>
      </w:r>
      <w:r>
        <w:rPr>
          <w:rStyle w:val="FootnoteReference"/>
        </w:rPr>
        <w:footnoteReference w:id="256"/>
      </w:r>
    </w:p>
    <w:p>
      <w:pPr>
        <w:pStyle w:val="BodyText"/>
      </w:pPr>
      <w:r>
        <w:t xml:space="preserve">信心的必要：相信耶稣基督，并相信那位为我们的救恩而差他来的神，是得救所必需的。</w:t>
      </w:r>
      <w:r>
        <w:rPr>
          <w:rStyle w:val="FootnoteReference"/>
        </w:rPr>
        <w:footnoteReference w:id="257"/>
      </w:r>
      <w:r>
        <w:t xml:space="preserve">「既然『人非有信，就不能得神的喜悦』，也不能与他儿子们的共融有分，那么，没有信心，便从来没有人得称义，也没有人能得永生——『惟有忍耐到底的必然得救』。」</w:t>
      </w:r>
      <w:r>
        <w:rPr>
          <w:rStyle w:val="FootnoteReference"/>
        </w:rPr>
        <w:footnoteReference w:id="258"/>
      </w:r>
    </w:p>
    <w:p>
      <w:pPr>
        <w:pStyle w:val="BodyText"/>
      </w:pPr>
      <w:r>
        <w:t xml:space="preserve">在信心上坚忍：信心是神白白赐给人的恩赐。我们可能失去这无价的恩赐，正如圣保罗对提摩太所指示的：「你要打那美好的仗，持守信心和无亏的良心；有人丢弃良心，就在真道上如同船破坏了一般。」</w:t>
      </w:r>
      <w:r>
        <w:rPr>
          <w:rStyle w:val="FootnoteReference"/>
        </w:rPr>
        <w:footnoteReference w:id="259"/>
      </w:r>
      <w:r>
        <w:t xml:space="preserve">要在信心里活着、成长，并坚持到底，我们必须以神的道来滋养信心；也要求主加增我们的信心；</w:t>
      </w:r>
      <w:r>
        <w:rPr>
          <w:rStyle w:val="FootnoteReference"/>
        </w:rPr>
        <w:footnoteReference w:id="260"/>
      </w:r>
      <w:r>
        <w:t xml:space="preserve">信心必须「生发仁爱」，充满盼望，并扎根于教会的信仰里。</w:t>
      </w:r>
      <w:r>
        <w:rPr>
          <w:rStyle w:val="FootnoteReference"/>
        </w:rPr>
        <w:footnoteReference w:id="261"/>
      </w:r>
    </w:p>
    <w:p>
      <w:pPr>
        <w:pStyle w:val="BodyText"/>
      </w:pPr>
      <w:r>
        <w:t xml:space="preserve">信心——永生的开端：信心使我们先尝那真福异象的光，这正是我们今世旅程的目标。到那时，我们要见神「面对面」，看见他「原有的样子」。</w:t>
      </w:r>
      <w:r>
        <w:rPr>
          <w:rStyle w:val="FootnoteReference"/>
        </w:rPr>
        <w:footnoteReference w:id="262"/>
      </w:r>
    </w:p>
    <w:p>
      <w:pPr>
        <w:pStyle w:val="BodyText"/>
      </w:pPr>
      <w:r>
        <w:t xml:space="preserve">当我们如今默观信心所带来的福乐时，就好像对着镜子观看一样，仿佛已经先拥有了那一日我们必享受的奇妙福分。</w:t>
      </w:r>
      <w:r>
        <w:rPr>
          <w:rStyle w:val="FootnoteReference"/>
        </w:rPr>
        <w:footnoteReference w:id="263"/>
      </w:r>
    </w:p>
    <w:p>
      <w:pPr>
        <w:pStyle w:val="BodyText"/>
      </w:pPr>
      <w:r>
        <w:t xml:space="preserve">然而，如今我们「行事为人是凭着信心，不是凭着眼见」；</w:t>
      </w:r>
      <w:r>
        <w:rPr>
          <w:rStyle w:val="FootnoteReference"/>
        </w:rPr>
        <w:footnoteReference w:id="264"/>
      </w:r>
      <w:r>
        <w:t xml:space="preserve">我们看见神，如同「如今我们对着镜子观看，模糊不清」，并且「我如今所知道的有限」。</w:t>
      </w:r>
      <w:r>
        <w:rPr>
          <w:rStyle w:val="FootnoteReference"/>
        </w:rPr>
        <w:footnoteReference w:id="265"/>
      </w:r>
      <w:r>
        <w:t xml:space="preserve">尽管信心因所信的那一位而得光照，它往往却是在黑暗中活出来，并且会受试炼。我们所处的世界常常似乎与信心所应许我们的世界相去甚远。我们所经历的恶与苦难、不义与死亡，似乎与福音相抵触；它们会摇动我们的信心，甚至成为试探。</w:t>
      </w:r>
    </w:p>
    <w:p>
      <w:pPr>
        <w:pStyle w:val="BodyText"/>
      </w:pPr>
      <w:r>
        <w:t xml:space="preserve">在这时，我们必须转向</w:t>
      </w:r>
      <w:r>
        <w:rPr>
          <w:i/>
          <w:iCs/>
        </w:rPr>
        <w:t xml:space="preserve">信心的见证人</w:t>
      </w:r>
      <w:r>
        <w:t xml:space="preserve">：转向亚伯拉罕，他「在无可指望的时候，因信仍有指望」；</w:t>
      </w:r>
      <w:r>
        <w:rPr>
          <w:rStyle w:val="FootnoteReference"/>
        </w:rPr>
        <w:footnoteReference w:id="266"/>
      </w:r>
      <w:r>
        <w:t xml:space="preserve">转向童贞女马利亚，她在「信心的旅程」中，分享她儿子受苦与死亡的黑暗，走进了「信心之夜」；</w:t>
      </w:r>
      <w:r>
        <w:rPr>
          <w:rStyle w:val="FootnoteReference"/>
        </w:rPr>
        <w:footnoteReference w:id="267"/>
      </w:r>
      <w:r>
        <w:t xml:space="preserve">还要转向许许多多其他人：「我们既有这许多的见证人，如同云彩围着我们，就当放下各样的重担，脱去容易缠累我们的罪，存心忍耐，奔那摆在我们前头的路程，仰望为我们信心创始成终的耶稣。」</w:t>
      </w:r>
      <w:r>
        <w:rPr>
          <w:rStyle w:val="FootnoteReference"/>
        </w:rPr>
        <w:footnoteReference w:id="268"/>
      </w:r>
    </w:p>
    <w:p>
      <w:r>
        <w:br w:type="page"/>
      </w:r>
    </w:p>
    <w:bookmarkEnd w:id="269"/>
    <w:bookmarkEnd w:id="270"/>
    <w:bookmarkEnd w:id="271"/>
    <w:bookmarkStart w:id="285" w:name="第二条我们信"/>
    <w:p>
      <w:pPr>
        <w:pStyle w:val="Heading4"/>
      </w:pPr>
      <w:r>
        <w:t xml:space="preserve">第二条：我们信</w:t>
      </w:r>
    </w:p>
    <w:p>
      <w:pPr>
        <w:pStyle w:val="FirstParagraph"/>
      </w:pPr>
      <w:r>
        <w:t xml:space="preserve">信仰是个人的行动——是人对那位自我启示之神主动临到的自由回应。但信仰不是孤立的行动。没有人能独自相信，正如没有人能独自生活。你并非自己赐给自己信仰，正如你并非自己赐给自己生命。信徒从别人那里领受了信仰，也应把它传给别人。我们对耶稣和邻舍的爱，推动我们向他人谈论我们的信仰。因此，每一位信徒都是这伟大信仰链条上的一环。我不能不借着他人的信心而相信；而我自己的信心也帮助扶持他人在信仰上站立。</w:t>
      </w:r>
    </w:p>
    <w:p>
      <w:pPr>
        <w:pStyle w:val="BodyText"/>
      </w:pPr>
      <w:r>
        <w:t xml:space="preserve">「我信」（《使徒信经》）是教会的信仰，由每一位信徒亲自宣认，主要是在洗礼时。「我们信」（《尼西亚-君士坦丁堡信经》）是教会的信仰，由聚集在会议中的主教们，或更普遍地，由信徒的礼仪集会共同宣认。「我信」也是我们母亲教会以信心回应神的方式；她教导我们同时说「我信」与「我们信」。</w:t>
      </w:r>
    </w:p>
    <w:bookmarkStart w:id="274" w:name="一主啊顾念你教会的信心"/>
    <w:p>
      <w:pPr>
        <w:pStyle w:val="Heading5"/>
      </w:pPr>
      <w:r>
        <w:t xml:space="preserve">一、主啊，顾念你教会的信心</w:t>
      </w:r>
    </w:p>
    <w:p>
      <w:pPr>
        <w:pStyle w:val="FirstParagraph"/>
      </w:pPr>
      <w:r>
        <w:t xml:space="preserve">首先是教会在相信，因此她怀抱、滋养并扶持了我的信心。无论何处，都是教会首先宣认主：正如我们在赞歌</w:t>
      </w:r>
      <w:r>
        <w:rPr>
          <w:i/>
          <w:iCs/>
        </w:rPr>
        <w:t xml:space="preserve">Te Deum</w:t>
      </w:r>
      <w:r>
        <w:t xml:space="preserve">中所唱：「普世的圣教会都尊崇你。」与她同在、在她里面，我们就被吸引而宣认：「我信」「我们信」。我们正是借着教会，通过洗礼，在基督里领受了信仰与新生命。在《罗马仪式书》中，施行洗礼的执事问慕道者：「你向神的教会求什么？」回答：「信仰。」又问：「信仰给你什么？」回答：「永生。」</w:t>
      </w:r>
      <w:r>
        <w:rPr>
          <w:rStyle w:val="FootnoteReference"/>
        </w:rPr>
        <w:footnoteReference w:id="272"/>
      </w:r>
    </w:p>
    <w:p>
      <w:pPr>
        <w:pStyle w:val="BodyText"/>
      </w:pPr>
      <w:r>
        <w:t xml:space="preserve">救恩唯独来自神；但因为我们是借着教会领受信仰的生命，所以她是我们的母亲：「我们相信教会是我们重生之母，并不是相信教会本身，好像她是我们救恩的根源。」</w:t>
      </w:r>
      <w:r>
        <w:rPr>
          <w:rStyle w:val="FootnoteReference"/>
        </w:rPr>
        <w:footnoteReference w:id="273"/>
      </w:r>
      <w:r>
        <w:t xml:space="preserve">既然她是我们的母亲，她也就是我们在信仰上的师长。</w:t>
      </w:r>
    </w:p>
    <w:bookmarkEnd w:id="274"/>
    <w:bookmarkStart w:id="277" w:name="二信仰的语言"/>
    <w:p>
      <w:pPr>
        <w:pStyle w:val="Heading5"/>
      </w:pPr>
      <w:r>
        <w:t xml:space="preserve">二、信仰的语言</w:t>
      </w:r>
    </w:p>
    <w:p>
      <w:pPr>
        <w:pStyle w:val="FirstParagraph"/>
      </w:pPr>
      <w:r>
        <w:t xml:space="preserve">我们所相信的，不是某些措辞本身，而是那些措辞所表达的真实，而信心使我们可以触及这些真实。「信徒的信心行动并不终止于命题，而是终止于这些命题所表达的实在。」</w:t>
      </w:r>
      <w:r>
        <w:rPr>
          <w:rStyle w:val="FootnoteReference"/>
        </w:rPr>
        <w:footnoteReference w:id="275"/>
      </w:r>
      <w:r>
        <w:t xml:space="preserve">尽管如此，我们仍需要借助信仰的表述来亲近这些实在，使我们能表达并传递信仰，在团体中庆祝信仰，越来越将之内化并活出来。</w:t>
      </w:r>
    </w:p>
    <w:p>
      <w:pPr>
        <w:pStyle w:val="BodyText"/>
      </w:pPr>
      <w:r>
        <w:t xml:space="preserve">教会是「真理的柱石和根基」，她忠实地守护那「一次交付圣徒的真道」。她保管基督话语的记忆；她把使徒们的信仰宣认一代代传下去。</w:t>
      </w:r>
      <w:r>
        <w:rPr>
          <w:rStyle w:val="FootnoteReference"/>
        </w:rPr>
        <w:footnoteReference w:id="276"/>
      </w:r>
      <w:r>
        <w:t xml:space="preserve">正如母亲教孩子说话，好使他们能明白并沟通，我们的母亲——教会——教导我们信仰的语言，为要引领我们进入对信仰的理解与信仰的生活。</w:t>
      </w:r>
    </w:p>
    <w:bookmarkEnd w:id="277"/>
    <w:bookmarkStart w:id="283" w:name="三惟一的信仰"/>
    <w:p>
      <w:pPr>
        <w:pStyle w:val="Heading5"/>
      </w:pPr>
      <w:r>
        <w:t xml:space="preserve">三、惟一的信仰</w:t>
      </w:r>
    </w:p>
    <w:p>
      <w:pPr>
        <w:pStyle w:val="FirstParagraph"/>
      </w:pPr>
      <w:r>
        <w:t xml:space="preserve">历经诸世纪，并在无数语言、文化、民族与国家之中，教会不断宣认这同一的信仰：它出自独一的主，借着独一的洗礼而传递，并奠基于这样的确信——众人只有独一的神与父。</w:t>
      </w:r>
      <w:r>
        <w:rPr>
          <w:rStyle w:val="FootnoteReference"/>
        </w:rPr>
        <w:footnoteReference w:id="278"/>
      </w:r>
      <w:r>
        <w:t xml:space="preserve">里昂的圣爱任纽作为这信仰的见证人如此宣称：</w:t>
      </w:r>
    </w:p>
    <w:p>
      <w:pPr>
        <w:pStyle w:val="BodyText"/>
      </w:pPr>
      <w:r>
        <w:t xml:space="preserve">「教会虽然分布在全世界，直到地极，但既然从使徒及其门徒领受了信仰……她就谨慎地守护这［宣讲与信仰］，好像只住在一所房子里；她也以同样的方式来相信，好像只有一个灵魂与一颗心；她以同声来宣讲、教导并传递这信仰，好像只有一张口。」</w:t>
      </w:r>
      <w:r>
        <w:rPr>
          <w:rStyle w:val="FootnoteReference"/>
        </w:rPr>
        <w:footnoteReference w:id="279"/>
      </w:r>
    </w:p>
    <w:p>
      <w:pPr>
        <w:pStyle w:val="BodyText"/>
      </w:pPr>
      <w:r>
        <w:t xml:space="preserve">「因为虽然世上的语言不同，圣传的内容却是同一的。建立在日耳曼的各教会，并没有别的信仰或圣传；在伊比利亚的教会、在凯尔特人的教会、在东方、在埃及、在利比亚的教会、以及在世界中心建立的教会也一样……」</w:t>
      </w:r>
      <w:r>
        <w:rPr>
          <w:rStyle w:val="FootnoteReference"/>
        </w:rPr>
        <w:footnoteReference w:id="280"/>
      </w:r>
      <w:r>
        <w:t xml:space="preserve">教会的信息「真实而坚固；在全世界之中，惟一的救恩之道在其中显明」。</w:t>
      </w:r>
      <w:r>
        <w:rPr>
          <w:rStyle w:val="FootnoteReference"/>
        </w:rPr>
        <w:footnoteReference w:id="281"/>
      </w:r>
    </w:p>
    <w:p>
      <w:pPr>
        <w:pStyle w:val="BodyText"/>
      </w:pPr>
      <w:r>
        <w:t xml:space="preserve">「我们谨慎守护从教会所领受的信仰；因为在神的灵不断的作为下，这宝贵的存托——如同在一件上好的器皿里——不断被更新，也使承载它的器皿本身被更新。」</w:t>
      </w:r>
      <w:r>
        <w:rPr>
          <w:rStyle w:val="FootnoteReference"/>
        </w:rPr>
        <w:footnoteReference w:id="282"/>
      </w:r>
    </w:p>
    <w:bookmarkEnd w:id="283"/>
    <w:bookmarkStart w:id="284" w:name="综述-4"/>
    <w:p>
      <w:pPr>
        <w:pStyle w:val="Heading5"/>
      </w:pPr>
      <w:r>
        <w:t xml:space="preserve">综述</w:t>
      </w:r>
    </w:p>
    <w:p>
      <w:pPr>
        <w:pStyle w:val="FirstParagraph"/>
      </w:pPr>
      <w:r>
        <w:t xml:space="preserve">信仰是整个人对自我启示之神的个人依附。它包含理智与意志对神借着其作为与话语所作自我启示的同意。</w:t>
      </w:r>
    </w:p>
    <w:p>
      <w:pPr>
        <w:pStyle w:val="BodyText"/>
      </w:pPr>
      <w:r>
        <w:t xml:space="preserve">「相信」因此有双重所指：既指向那一位位格，也指向那真理；而指向真理，是因相信那为真理作见证的位格。</w:t>
      </w:r>
    </w:p>
    <w:p>
      <w:pPr>
        <w:pStyle w:val="BodyText"/>
      </w:pPr>
      <w:r>
        <w:t xml:space="preserve">我们只当相信神：圣父、圣子、圣灵。</w:t>
      </w:r>
    </w:p>
    <w:p>
      <w:pPr>
        <w:pStyle w:val="BodyText"/>
      </w:pPr>
      <w:r>
        <w:t xml:space="preserve">信心是神所赐的超自然恩赐。人要能相信，就需要圣灵内在的帮助。</w:t>
      </w:r>
    </w:p>
    <w:p>
      <w:pPr>
        <w:pStyle w:val="BodyText"/>
      </w:pPr>
      <w:r>
        <w:t xml:space="preserve">「相信」是人的行动，是有意识、出于自由的，符合人的人格尊严。</w:t>
      </w:r>
    </w:p>
    <w:p>
      <w:pPr>
        <w:pStyle w:val="BodyText"/>
      </w:pPr>
      <w:r>
        <w:t xml:space="preserve">「相信」是教会性的行动。教会的信仰先于我们的信仰，生发、支持并滋养我们的信仰。教会是所有信徒的母亲。「凡不以教会为母的，就不能以神为父」（圣居普良，</w:t>
      </w:r>
      <w:r>
        <w:rPr>
          <w:i/>
          <w:iCs/>
        </w:rPr>
        <w:t xml:space="preserve">De unit</w:t>
      </w:r>
      <w:r>
        <w:t xml:space="preserve">. 6：PL 4, 519）。</w:t>
      </w:r>
    </w:p>
    <w:p>
      <w:pPr>
        <w:pStyle w:val="BodyText"/>
      </w:pPr>
      <w:r>
        <w:t xml:space="preserve">我们相信一切「神的道里所包含的——不论是写下来的，还是传下来的——并且是教会以神所启示之真理提出来要我们相信的」（保禄六世，《CPG》§ 20）。</w:t>
      </w:r>
    </w:p>
    <w:p>
      <w:pPr>
        <w:pStyle w:val="BodyText"/>
      </w:pPr>
      <w:r>
        <w:t xml:space="preserve">信心对得救是必要的。主亲自宣告：「信而受洗的必然得救；不信的必被定罪。」（</w:t>
      </w:r>
      <w:r>
        <w:rPr>
          <w:i/>
          <w:iCs/>
        </w:rPr>
        <w:t xml:space="preserve">可</w:t>
      </w:r>
      <w:r>
        <w:t xml:space="preserve"> </w:t>
      </w:r>
      <w:r>
        <w:t xml:space="preserve">16:16）</w:t>
      </w:r>
    </w:p>
    <w:p>
      <w:pPr>
        <w:pStyle w:val="BodyText"/>
      </w:pPr>
      <w:r>
        <w:t xml:space="preserve">「信心是对将来生命里使我们得福之认识的预尝」（圣托马斯·阿奎那，</w:t>
      </w:r>
      <w:r>
        <w:rPr>
          <w:i/>
          <w:iCs/>
        </w:rPr>
        <w:t xml:space="preserve">Comp. theol</w:t>
      </w:r>
      <w:r>
        <w:t xml:space="preserve">. 1,2）。</w:t>
      </w:r>
    </w:p>
    <w:p>
      <w:r>
        <w:br w:type="page"/>
      </w:r>
    </w:p>
    <w:bookmarkEnd w:id="284"/>
    <w:bookmarkEnd w:id="285"/>
    <w:bookmarkEnd w:id="286"/>
    <w:bookmarkEnd w:id="287"/>
    <w:bookmarkStart w:id="1963" w:name="第二部分基督信仰的宣认"/>
    <w:p>
      <w:pPr>
        <w:pStyle w:val="Heading2"/>
      </w:pPr>
      <w:r>
        <w:t xml:space="preserve">第二部分：基督信仰的宣认</w:t>
      </w:r>
    </w:p>
    <w:bookmarkStart w:id="304" w:name="信经对照表"/>
    <w:p>
      <w:pPr>
        <w:pStyle w:val="Heading3"/>
      </w:pPr>
      <w:r>
        <w:t xml:space="preserve">信经对照表</w:t>
      </w:r>
    </w:p>
    <w:tbl>
      <w:tblPr>
        <w:tblStyle w:val="Table"/>
        <w:tblW w:type="pct" w:w="5000"/>
        <w:jc w:val="left"/>
        <w:tblLayout w:type="fixed"/>
        <w:tblLook w:firstRow="1" w:lastRow="0" w:firstColumn="0" w:lastColumn="0" w:noHBand="0" w:noVBand="0" w:val="0020"/>
      </w:tblPr>
      <w:tblGrid>
        <w:gridCol w:w="3520"/>
        <w:gridCol w:w="4400"/>
      </w:tblGrid>
      <w:tr>
        <w:trPr>
          <w:tblHeader w:val="on"/>
        </w:trPr>
        <w:tc>
          <w:tcPr/>
          <w:p>
            <w:pPr>
              <w:pStyle w:val="Compact"/>
              <w:jc w:val="left"/>
            </w:pPr>
            <w:r>
              <w:t xml:space="preserve">使徒信经</w:t>
            </w:r>
          </w:p>
        </w:tc>
        <w:tc>
          <w:tcPr/>
          <w:p>
            <w:pPr>
              <w:pStyle w:val="Compact"/>
              <w:jc w:val="left"/>
            </w:pPr>
            <w:r>
              <w:t xml:space="preserve">尼西亚信经</w:t>
            </w:r>
          </w:p>
        </w:tc>
      </w:tr>
      <w:tr>
        <w:tc>
          <w:tcPr/>
          <w:p>
            <w:pPr>
              <w:pStyle w:val="Compact"/>
              <w:jc w:val="left"/>
            </w:pPr>
            <w:r>
              <w:t xml:space="preserve">我信神，</w:t>
            </w:r>
            <w:r>
              <w:br/>
            </w:r>
            <w:r>
              <w:t xml:space="preserve">全能的父，</w:t>
            </w:r>
            <w:r>
              <w:br/>
            </w:r>
            <w:r>
              <w:t xml:space="preserve">创造天地的主。</w:t>
            </w:r>
          </w:p>
        </w:tc>
        <w:tc>
          <w:tcPr/>
          <w:p>
            <w:pPr>
              <w:pStyle w:val="Compact"/>
              <w:jc w:val="left"/>
            </w:pPr>
            <w:r>
              <w:t xml:space="preserve">我们信独一的神，</w:t>
            </w:r>
            <w:r>
              <w:br/>
            </w:r>
            <w:r>
              <w:t xml:space="preserve">全能的父，</w:t>
            </w:r>
            <w:r>
              <w:br/>
            </w:r>
            <w:r>
              <w:t xml:space="preserve">创造天地，</w:t>
            </w:r>
            <w:r>
              <w:br/>
            </w:r>
            <w:r>
              <w:t xml:space="preserve">并创造一切有形无形万物的主。</w:t>
            </w:r>
          </w:p>
        </w:tc>
      </w:tr>
      <w:tr>
        <w:tc>
          <w:tcPr/>
          <w:p>
            <w:pPr>
              <w:pStyle w:val="Compact"/>
              <w:jc w:val="left"/>
            </w:pPr>
            <w:r>
              <w:t xml:space="preserve">我信我主耶稣基督，</w:t>
            </w:r>
            <w:r>
              <w:br/>
            </w:r>
            <w:r>
              <w:t xml:space="preserve">神的独生子。</w:t>
            </w:r>
          </w:p>
        </w:tc>
        <w:tc>
          <w:tcPr/>
          <w:p>
            <w:pPr>
              <w:pStyle w:val="Compact"/>
              <w:jc w:val="left"/>
            </w:pPr>
            <w:r>
              <w:t xml:space="preserve">我们信独一的主，耶稣基督，</w:t>
            </w:r>
            <w:r>
              <w:br/>
            </w:r>
            <w:r>
              <w:t xml:space="preserve">神的独生子，</w:t>
            </w:r>
            <w:r>
              <w:br/>
            </w:r>
            <w:r>
              <w:t xml:space="preserve">在万世以前由父所生，</w:t>
            </w:r>
            <w:r>
              <w:br/>
            </w:r>
            <w:r>
              <w:t xml:space="preserve">由神所出的神，由光所出的光，</w:t>
            </w:r>
            <w:r>
              <w:br/>
            </w:r>
            <w:r>
              <w:t xml:space="preserve">由真神所出的真神，</w:t>
            </w:r>
            <w:r>
              <w:br/>
            </w:r>
            <w:r>
              <w:t xml:space="preserve">受生而非受造，</w:t>
            </w:r>
            <w:r>
              <w:br/>
            </w:r>
            <w:r>
              <w:t xml:space="preserve">与父同一本体。</w:t>
            </w:r>
            <w:r>
              <w:br/>
            </w:r>
            <w:r>
              <w:t xml:space="preserve">万物都是借着他造的。</w:t>
            </w:r>
            <w:r>
              <w:br/>
            </w:r>
            <w:r>
              <w:t xml:space="preserve">他为我们人类并为我们的得救，</w:t>
            </w:r>
            <w:r>
              <w:br/>
            </w:r>
            <w:r>
              <w:t xml:space="preserve">从天降临：</w:t>
            </w:r>
          </w:p>
        </w:tc>
      </w:tr>
      <w:tr>
        <w:tc>
          <w:tcPr/>
          <w:p>
            <w:pPr>
              <w:pStyle w:val="Compact"/>
              <w:jc w:val="left"/>
            </w:pPr>
            <w:r>
              <w:t xml:space="preserve">他因着圣灵的能力成孕，</w:t>
            </w:r>
            <w:r>
              <w:br/>
            </w:r>
            <w:r>
              <w:t xml:space="preserve">由童贞女马利亚所生。</w:t>
            </w:r>
          </w:p>
        </w:tc>
        <w:tc>
          <w:tcPr/>
          <w:p>
            <w:pPr>
              <w:pStyle w:val="Compact"/>
              <w:jc w:val="left"/>
            </w:pPr>
            <w:r>
              <w:t xml:space="preserve">他因着圣灵的能力，</w:t>
            </w:r>
            <w:r>
              <w:br/>
            </w:r>
            <w:r>
              <w:t xml:space="preserve">由童贞女马利亚所生，</w:t>
            </w:r>
            <w:r>
              <w:br/>
            </w:r>
            <w:r>
              <w:t xml:space="preserve">并成为人。</w:t>
            </w:r>
          </w:p>
        </w:tc>
      </w:tr>
      <w:tr>
        <w:tc>
          <w:tcPr/>
          <w:p>
            <w:pPr>
              <w:pStyle w:val="Compact"/>
              <w:jc w:val="left"/>
            </w:pPr>
            <w:r>
              <w:t xml:space="preserve">他在本丢·彼拉多手下受难，</w:t>
            </w:r>
            <w:r>
              <w:br/>
            </w:r>
            <w:r>
              <w:t xml:space="preserve">被钉十字架，死了，埋葬了。</w:t>
            </w:r>
            <w:r>
              <w:br/>
            </w:r>
            <w:r>
              <w:t xml:space="preserve">他降在阴间。</w:t>
            </w:r>
          </w:p>
        </w:tc>
        <w:tc>
          <w:tcPr/>
          <w:p>
            <w:pPr>
              <w:pStyle w:val="Compact"/>
              <w:jc w:val="left"/>
            </w:pPr>
            <w:r>
              <w:t xml:space="preserve">他为我们在本丢·彼拉多手下被钉十字架，</w:t>
            </w:r>
            <w:r>
              <w:br/>
            </w:r>
            <w:r>
              <w:t xml:space="preserve">受害，埋葬。</w:t>
            </w:r>
          </w:p>
        </w:tc>
      </w:tr>
      <w:tr>
        <w:tc>
          <w:tcPr/>
          <w:p>
            <w:pPr>
              <w:pStyle w:val="Compact"/>
              <w:jc w:val="left"/>
            </w:pPr>
            <w:r>
              <w:t xml:space="preserve">第三天他又复活。</w:t>
            </w:r>
          </w:p>
        </w:tc>
        <w:tc>
          <w:tcPr/>
          <w:p>
            <w:pPr>
              <w:pStyle w:val="Compact"/>
              <w:jc w:val="left"/>
            </w:pPr>
            <w:r>
              <w:t xml:space="preserve">第三天他照圣经所说复活；</w:t>
            </w:r>
          </w:p>
        </w:tc>
      </w:tr>
      <w:tr>
        <w:tc>
          <w:tcPr/>
          <w:p>
            <w:pPr>
              <w:pStyle w:val="Compact"/>
              <w:jc w:val="left"/>
            </w:pPr>
            <w:r>
              <w:t xml:space="preserve">他升天，</w:t>
            </w:r>
            <w:r>
              <w:br/>
            </w:r>
            <w:r>
              <w:t xml:space="preserve">坐在父的右边。</w:t>
            </w:r>
            <w:r>
              <w:br/>
            </w:r>
            <w:r>
              <w:t xml:space="preserve">他必再来审判活人死人。</w:t>
            </w:r>
          </w:p>
        </w:tc>
        <w:tc>
          <w:tcPr/>
          <w:p>
            <w:pPr>
              <w:pStyle w:val="Compact"/>
              <w:jc w:val="left"/>
            </w:pPr>
            <w:r>
              <w:t xml:space="preserve">他升天，</w:t>
            </w:r>
            <w:r>
              <w:br/>
            </w:r>
            <w:r>
              <w:t xml:space="preserve">坐在父的右边。</w:t>
            </w:r>
            <w:r>
              <w:br/>
            </w:r>
            <w:r>
              <w:t xml:space="preserve">他必在荣耀中再来，</w:t>
            </w:r>
            <w:r>
              <w:br/>
            </w:r>
            <w:r>
              <w:t xml:space="preserve">审判活人死人，</w:t>
            </w:r>
            <w:r>
              <w:br/>
            </w:r>
            <w:r>
              <w:t xml:space="preserve">他的国度没有穷尽。</w:t>
            </w:r>
          </w:p>
        </w:tc>
      </w:tr>
      <w:tr>
        <w:tc>
          <w:tcPr/>
          <w:p>
            <w:pPr>
              <w:pStyle w:val="Compact"/>
              <w:jc w:val="left"/>
            </w:pPr>
            <w:r>
              <w:t xml:space="preserve">我信圣灵，</w:t>
            </w:r>
            <w:r>
              <w:br/>
            </w:r>
            <w:r>
              <w:t xml:space="preserve">圣而大公的教会，</w:t>
            </w:r>
            <w:r>
              <w:br/>
            </w:r>
            <w:r>
              <w:t xml:space="preserve">圣徒相通，</w:t>
            </w:r>
            <w:r>
              <w:br/>
            </w:r>
            <w:r>
              <w:t xml:space="preserve">罪得赦免，</w:t>
            </w:r>
            <w:r>
              <w:br/>
            </w:r>
            <w:r>
              <w:t xml:space="preserve">身体复活，</w:t>
            </w:r>
            <w:r>
              <w:br/>
            </w:r>
            <w:r>
              <w:t xml:space="preserve">并永生。</w:t>
            </w:r>
            <w:r>
              <w:br/>
            </w:r>
            <w:r>
              <w:t xml:space="preserve">阿们。</w:t>
            </w:r>
          </w:p>
        </w:tc>
        <w:tc>
          <w:tcPr/>
          <w:p>
            <w:pPr>
              <w:pStyle w:val="Compact"/>
              <w:jc w:val="left"/>
            </w:pPr>
            <w:r>
              <w:t xml:space="preserve">我们信圣灵，</w:t>
            </w:r>
            <w:r>
              <w:br/>
            </w:r>
            <w:r>
              <w:t xml:space="preserve">他是主，是赐生命的，</w:t>
            </w:r>
            <w:r>
              <w:br/>
            </w:r>
            <w:r>
              <w:t xml:space="preserve">他从父与子而出。</w:t>
            </w:r>
            <w:r>
              <w:br/>
            </w:r>
            <w:r>
              <w:t xml:space="preserve">他和父并子同受敬拜，</w:t>
            </w:r>
            <w:r>
              <w:br/>
            </w:r>
            <w:r>
              <w:t xml:space="preserve">同受荣耀。</w:t>
            </w:r>
            <w:r>
              <w:br/>
            </w:r>
            <w:r>
              <w:t xml:space="preserve">他曾借着众先知说话。</w:t>
            </w:r>
            <w:r>
              <w:br/>
            </w:r>
            <w:r>
              <w:t xml:space="preserve">我们信独一、圣洁、</w:t>
            </w:r>
            <w:r>
              <w:br/>
            </w:r>
            <w:r>
              <w:t xml:space="preserve">大公、使徒的教会。</w:t>
            </w:r>
            <w:r>
              <w:br/>
            </w:r>
            <w:r>
              <w:t xml:space="preserve">我们承认惟一的洗礼，</w:t>
            </w:r>
            <w:r>
              <w:br/>
            </w:r>
            <w:r>
              <w:t xml:space="preserve">使罪得赦。</w:t>
            </w:r>
            <w:r>
              <w:br/>
            </w:r>
            <w:r>
              <w:t xml:space="preserve">我们盼望死人的复活，</w:t>
            </w:r>
            <w:r>
              <w:br/>
            </w:r>
            <w:r>
              <w:t xml:space="preserve">并来世的生命。</w:t>
            </w:r>
            <w:r>
              <w:br/>
            </w:r>
            <w:r>
              <w:t xml:space="preserve">阿们。 { id=cree }</w:t>
            </w:r>
          </w:p>
        </w:tc>
      </w:tr>
    </w:tbl>
    <w:p>
      <w:r>
        <w:br w:type="page"/>
      </w:r>
    </w:p>
    <w:bookmarkStart w:id="303" w:name="诸信经"/>
    <w:p>
      <w:pPr>
        <w:pStyle w:val="Heading4"/>
      </w:pPr>
      <w:r>
        <w:t xml:space="preserve">诸信经</w:t>
      </w:r>
    </w:p>
    <w:p>
      <w:pPr>
        <w:pStyle w:val="FirstParagraph"/>
      </w:pPr>
      <w:r>
        <w:t xml:space="preserve">凡说「我信」的，就是在说「我把自己委身于我们所信的」。信仰的共融需要一套共同的信仰语言，作为对众人的规范，把众人联合在同一的信仰宣认里。</w:t>
      </w:r>
    </w:p>
    <w:p>
      <w:pPr>
        <w:pStyle w:val="BodyText"/>
      </w:pPr>
      <w:r>
        <w:t xml:space="preserve">自始以来，使徒时代的教会就以简短的公式来表达并传递她的信仰，作为众人的规范。</w:t>
      </w:r>
      <w:r>
        <w:rPr>
          <w:rStyle w:val="FootnoteReference"/>
        </w:rPr>
        <w:footnoteReference w:id="288"/>
      </w:r>
      <w:r>
        <w:t xml:space="preserve">但很早的时候，教会也愿意把她信仰的要素有机地归纳成条理化的总纲，尤其是为预备领受洗礼的人而设：</w:t>
      </w:r>
    </w:p>
    <w:p>
      <w:pPr>
        <w:pStyle w:val="BodyText"/>
      </w:pPr>
      <w:r>
        <w:t xml:space="preserve">这信仰总纲并不是为迎合人的意见而编成，乃是从整本圣经采撷最要紧的内容，完整地呈现唯一的信仰教导。好像芥菜种在小小的种子里包含了许多枝条，这信仰撮要也用寥寥数语，囊括了旧约与新约里关于真宗教的全部知识。</w:t>
      </w:r>
      <w:r>
        <w:rPr>
          <w:rStyle w:val="FootnoteReference"/>
        </w:rPr>
        <w:footnoteReference w:id="289"/>
      </w:r>
    </w:p>
    <w:p>
      <w:pPr>
        <w:pStyle w:val="BodyText"/>
      </w:pPr>
      <w:r>
        <w:t xml:space="preserve">这种总纲被称为「信仰宣认」，因为它总结了基督徒所宣认的信仰。它们也被称为「信经」，因为其拉丁文本通常以第一个字</w:t>
      </w:r>
      <w:r>
        <w:t xml:space="preserve"> </w:t>
      </w:r>
      <w:r>
        <w:rPr>
          <w:i/>
          <w:iCs/>
        </w:rPr>
        <w:t xml:space="preserve">credo</w:t>
      </w:r>
      <w:r>
        <w:t xml:space="preserve">（「我信」）开头。它们也被称为「信仰符号」。</w:t>
      </w:r>
    </w:p>
    <w:p>
      <w:pPr>
        <w:pStyle w:val="BodyText"/>
      </w:pPr>
      <w:r>
        <w:t xml:space="preserve">希腊文</w:t>
      </w:r>
      <w:r>
        <w:t xml:space="preserve"> </w:t>
      </w:r>
      <w:r>
        <w:rPr>
          <w:i/>
          <w:iCs/>
        </w:rPr>
        <w:t xml:space="preserve">symbolon</w:t>
      </w:r>
      <w:r>
        <w:t xml:space="preserve"> </w:t>
      </w:r>
      <w:r>
        <w:t xml:space="preserve">的本意是破成两半的物件之一半，例如作为识别凭证所出示的印记。把两半合在一起，就能核对持有者的身份。如此，信仰的符号就是信徒之间相认与共融的记号。</w:t>
      </w:r>
      <w:r>
        <w:rPr>
          <w:i/>
          <w:iCs/>
        </w:rPr>
        <w:t xml:space="preserve">symbolon</w:t>
      </w:r>
      <w:r>
        <w:t xml:space="preserve"> </w:t>
      </w:r>
      <w:r>
        <w:t xml:space="preserve">也有收集、汇编、摘要之意。信仰符号就是对信仰主要真理的撮要，因此也成为教理讲授最初且根本的参照点。</w:t>
      </w:r>
    </w:p>
    <w:p>
      <w:pPr>
        <w:pStyle w:val="BodyText"/>
      </w:pPr>
      <w:r>
        <w:t xml:space="preserve">第一次的「信仰宣认」是在洗礼时作的。信仰的符号首先就是</w:t>
      </w:r>
      <w:r>
        <w:rPr>
          <w:i/>
          <w:iCs/>
        </w:rPr>
        <w:t xml:space="preserve">洗礼</w:t>
      </w:r>
      <w:r>
        <w:t xml:space="preserve">信经。因为洗礼是「奉父、子、圣灵的名」施行的，</w:t>
      </w:r>
      <w:r>
        <w:rPr>
          <w:rStyle w:val="FootnoteReference"/>
        </w:rPr>
        <w:footnoteReference w:id="290"/>
      </w:r>
      <w:r>
        <w:t xml:space="preserve">所以洗礼中所宣认的信仰真理，是按照至圣三位一体三个位格来陈述的。</w:t>
      </w:r>
    </w:p>
    <w:p>
      <w:pPr>
        <w:pStyle w:val="BodyText"/>
      </w:pPr>
      <w:r>
        <w:t xml:space="preserve">因此，信经分为三部分：「第一部分讲第一位格与奇妙的创造工程；第二部分讲第二位格与他拯救人的奥秘；最后一部分讲第三位格——我们成圣的根源与泉源。」</w:t>
      </w:r>
      <w:r>
        <w:rPr>
          <w:rStyle w:val="FootnoteReference"/>
        </w:rPr>
        <w:footnoteReference w:id="291"/>
      </w:r>
      <w:r>
        <w:t xml:space="preserve">这就是「我们［洗礼］印记的三个篇章」。</w:t>
      </w:r>
      <w:r>
        <w:rPr>
          <w:rStyle w:val="FootnoteReference"/>
        </w:rPr>
        <w:footnoteReference w:id="292"/>
      </w:r>
    </w:p>
    <w:p>
      <w:pPr>
        <w:pStyle w:val="BodyText"/>
      </w:pPr>
      <w:r>
        <w:t xml:space="preserve">「这三部分彼此分明，但又互相关联。按照教父们常用的比喻，我们称它们为</w:t>
      </w:r>
      <w:r>
        <w:rPr>
          <w:i/>
          <w:iCs/>
        </w:rPr>
        <w:t xml:space="preserve">信条</w:t>
      </w:r>
      <w:r>
        <w:t xml:space="preserve">。确实，正如我们身体的肢体有些关节把它们分辨开来、区分出来，在这信仰宣认里，我们必须特别且清楚相信的这些真理，被称作</w:t>
      </w:r>
      <w:r>
        <w:rPr>
          <w:i/>
          <w:iCs/>
        </w:rPr>
        <w:t xml:space="preserve">信条</w:t>
      </w:r>
      <w:r>
        <w:t xml:space="preserve">，这是合情合理的。」</w:t>
      </w:r>
      <w:r>
        <w:rPr>
          <w:rStyle w:val="FootnoteReference"/>
        </w:rPr>
        <w:footnoteReference w:id="293"/>
      </w:r>
      <w:r>
        <w:t xml:space="preserve">按照一个古老传统，圣安布罗斯已经为之作证，也常把信经的信条算为</w:t>
      </w:r>
      <w:r>
        <w:rPr>
          <w:i/>
          <w:iCs/>
        </w:rPr>
        <w:t xml:space="preserve">十二</w:t>
      </w:r>
      <w:r>
        <w:t xml:space="preserve">条，以使徒的人数来象征使徒信仰的圆满。</w:t>
      </w:r>
      <w:r>
        <w:rPr>
          <w:rStyle w:val="FootnoteReference"/>
        </w:rPr>
        <w:footnoteReference w:id="294"/>
      </w:r>
    </w:p>
    <w:p>
      <w:pPr>
        <w:pStyle w:val="BodyText"/>
      </w:pPr>
      <w:r>
        <w:t xml:space="preserve">历经诸世纪，教会为回应不同时代的需要，阐明了许多信仰宣认或信仰符号：不同使徒性与古老教会的信经，</w:t>
      </w:r>
      <w:r>
        <w:rPr>
          <w:rStyle w:val="FootnoteReference"/>
        </w:rPr>
        <w:footnoteReference w:id="295"/>
      </w:r>
      <w:r>
        <w:t xml:space="preserve">例如</w:t>
      </w:r>
      <w:r>
        <w:t xml:space="preserve"> </w:t>
      </w:r>
      <w:r>
        <w:rPr>
          <w:i/>
          <w:iCs/>
        </w:rPr>
        <w:t xml:space="preserve">Quicumque</w:t>
      </w:r>
      <w:r>
        <w:t xml:space="preserve">（又称亚他那修信经）；</w:t>
      </w:r>
      <w:r>
        <w:rPr>
          <w:rStyle w:val="FootnoteReference"/>
        </w:rPr>
        <w:footnoteReference w:id="296"/>
      </w:r>
      <w:r>
        <w:t xml:space="preserve">若干大公会议的信仰宣认，如托莱多、拉特朗、里昂、特利腾；</w:t>
      </w:r>
      <w:r>
        <w:rPr>
          <w:rStyle w:val="FootnoteReference"/>
        </w:rPr>
        <w:footnoteReference w:id="297"/>
      </w:r>
      <w:r>
        <w:t xml:space="preserve">或某些教宗的信仰符号，如《达玛稣信经》</w:t>
      </w:r>
      <w:r>
        <w:rPr>
          <w:rStyle w:val="FootnoteReference"/>
        </w:rPr>
        <w:footnoteReference w:id="298"/>
      </w:r>
      <w:r>
        <w:t xml:space="preserve">或保禄六世的《人民信经》。</w:t>
      </w:r>
      <w:r>
        <w:rPr>
          <w:rStyle w:val="FootnoteReference"/>
        </w:rPr>
        <w:footnoteReference w:id="299"/>
      </w:r>
    </w:p>
    <w:p>
      <w:pPr>
        <w:pStyle w:val="BodyText"/>
      </w:pPr>
      <w:r>
        <w:t xml:space="preserve">在教会生命的不同时期所形成的任何信经，都不能被视为过时或无关。它们借着这些不同的撮要，帮助我们今天抵达并深化历世历代的信仰。</w:t>
      </w:r>
    </w:p>
    <w:p>
      <w:pPr>
        <w:pStyle w:val="BodyText"/>
      </w:pPr>
      <w:r>
        <w:t xml:space="preserve">在众多信经之中，有两种在教会的生活里占据特别的地位： { }</w:t>
      </w:r>
    </w:p>
    <w:p>
      <w:pPr>
        <w:pStyle w:val="BodyText"/>
      </w:pPr>
      <w:r>
        <w:rPr>
          <w:i/>
          <w:iCs/>
        </w:rPr>
        <w:t xml:space="preserve">使徒信经</w:t>
      </w:r>
      <w:r>
        <w:t xml:space="preserve">之所以得名，是因为它被公正地视为对使徒信仰的忠实撮要。它是罗马教会古老的洗礼信经。它的崇高权威来自于此事实：它是「罗马教会的信经——使徒之首彼得的教座——他带来了共同的信仰」。</w:t>
      </w:r>
      <w:r>
        <w:rPr>
          <w:rStyle w:val="FootnoteReference"/>
        </w:rPr>
        <w:footnoteReference w:id="300"/>
      </w:r>
    </w:p>
    <w:p>
      <w:pPr>
        <w:pStyle w:val="BodyText"/>
      </w:pPr>
      <w:r>
        <w:rPr>
          <w:i/>
          <w:iCs/>
        </w:rPr>
        <w:t xml:space="preserve">尼西亚-君士坦丁堡信经</w:t>
      </w:r>
      <w:r>
        <w:t xml:space="preserve">（或称</w:t>
      </w:r>
      <w:r>
        <w:rPr>
          <w:i/>
          <w:iCs/>
        </w:rPr>
        <w:t xml:space="preserve">尼西亚信经</w:t>
      </w:r>
      <w:r>
        <w:t xml:space="preserve">）的崇高权威来自于它出自前两次大公会议（公元325与381年）。直到今天，它仍为东西方各大教会所共同持守。</w:t>
      </w:r>
    </w:p>
    <w:p>
      <w:pPr>
        <w:pStyle w:val="BodyText"/>
      </w:pPr>
      <w:r>
        <w:t xml:space="preserve">我们对信仰的阐述将按照使徒信经来进行，因为它可以说就是「最古老的罗马教理」。不过，我们也会不断参照尼西亚信经，因为它常常更为明白、更为详尽。</w:t>
      </w:r>
    </w:p>
    <w:p>
      <w:pPr>
        <w:pStyle w:val="BodyText"/>
      </w:pPr>
      <w:r>
        <w:t xml:space="preserve">就像我们受洗之日，我们的整个人生被交托给那「所传给你们的道理的模范」一样，</w:t>
      </w:r>
      <w:r>
        <w:rPr>
          <w:rStyle w:val="FootnoteReference"/>
        </w:rPr>
        <w:footnoteReference w:id="301"/>
      </w:r>
      <w:r>
        <w:t xml:space="preserve">让我们拥抱这赐生命之信仰的信经。带着信心说出信经，就是进入与神——圣父、圣子、圣灵——的共融，也是进入与把信仰传给我们、并在其中我们得以相信的整个教会的共融：</w:t>
      </w:r>
    </w:p>
    <w:p>
      <w:pPr>
        <w:pStyle w:val="BodyText"/>
      </w:pPr>
      <w:r>
        <w:t xml:space="preserve">这信经是灵性的印记，是我们心中的默想，是随时的守护者；毫无疑问，它是我们灵魂的珍宝。</w:t>
      </w:r>
      <w:r>
        <w:rPr>
          <w:rStyle w:val="FootnoteReference"/>
        </w:rPr>
        <w:footnoteReference w:id="302"/>
      </w:r>
    </w:p>
    <w:p>
      <w:r>
        <w:br w:type="page"/>
      </w:r>
    </w:p>
    <w:bookmarkEnd w:id="303"/>
    <w:bookmarkEnd w:id="304"/>
    <w:bookmarkStart w:id="644" w:name="第一章我信父神"/>
    <w:p>
      <w:pPr>
        <w:pStyle w:val="Heading3"/>
      </w:pPr>
      <w:r>
        <w:t xml:space="preserve">第一章：我信父神</w:t>
      </w:r>
    </w:p>
    <w:bookmarkStart w:id="643" w:name="第一条我信上帝全能的父创造天地的主"/>
    <w:p>
      <w:pPr>
        <w:pStyle w:val="Heading4"/>
      </w:pPr>
      <w:r>
        <w:t xml:space="preserve">第一条：「我信上帝，全能的父，创造天地的主」</w:t>
      </w:r>
    </w:p>
    <w:p>
      <w:pPr>
        <w:pStyle w:val="FirstParagraph"/>
      </w:pPr>
      <w:r>
        <w:t xml:space="preserve">我们的信仰宣认从</w:t>
      </w:r>
      <w:r>
        <w:rPr>
          <w:i/>
          <w:iCs/>
        </w:rPr>
        <w:t xml:space="preserve">神</w:t>
      </w:r>
      <w:r>
        <w:t xml:space="preserve">开始，因为神是首先的、末后的，</w:t>
      </w:r>
      <w:r>
        <w:rPr>
          <w:rStyle w:val="FootnoteReference"/>
        </w:rPr>
        <w:footnoteReference w:id="305"/>
      </w:r>
      <w:r>
        <w:t xml:space="preserve">是一切的开始与终结。信经从</w:t>
      </w:r>
      <w:r>
        <w:rPr>
          <w:i/>
          <w:iCs/>
        </w:rPr>
        <w:t xml:space="preserve">圣父</w:t>
      </w:r>
      <w:r>
        <w:t xml:space="preserve">开始，因为在至圣三位一体里，父是第一位格；我们的信经从创造天地开始，因为创造是一切神作为的开端与根基。</w:t>
      </w:r>
    </w:p>
    <w:bookmarkStart w:id="359" w:name="第一条我信神"/>
    <w:p>
      <w:pPr>
        <w:pStyle w:val="Heading5"/>
      </w:pPr>
      <w:r>
        <w:t xml:space="preserve">第一条：我信神</w:t>
      </w:r>
    </w:p>
    <w:p>
      <w:pPr>
        <w:pStyle w:val="FirstParagraph"/>
      </w:pPr>
      <w:r>
        <w:t xml:space="preserve">「我信神」：这是使徒信经的第一句宣认，也是最根本的一句。整部信经都在讲神；即便谈到人与世界，也是就着神而谈。信经其余各条都依赖第一条，正如其他诫命是把第一条明说出来。其余各条帮助我们更认识神——他按着次序把他自己启示给人。「信众首先宣认他们相信神。」</w:t>
      </w:r>
      <w:r>
        <w:rPr>
          <w:rStyle w:val="FootnoteReference"/>
        </w:rPr>
        <w:footnoteReference w:id="306"/>
      </w:r>
    </w:p>
    <w:bookmarkStart w:id="313" w:name="一我信独一的神"/>
    <w:p>
      <w:pPr>
        <w:pStyle w:val="Heading6"/>
      </w:pPr>
      <w:r>
        <w:t xml:space="preserve">一、我信独一的神</w:t>
      </w:r>
    </w:p>
    <w:p>
      <w:pPr>
        <w:pStyle w:val="FirstParagraph"/>
      </w:pPr>
      <w:r>
        <w:t xml:space="preserve">这是《尼西亚-君士坦丁堡信经》的起首之言。对神独一性的宣认，根植于旧约的启示，它与对神存在的宣认不可分割，且同样根本。神是独一的；只有一位神：「基督徒的信仰宣认：神在本性、实体与本质上是独一的。」</w:t>
      </w:r>
      <w:r>
        <w:rPr>
          <w:rStyle w:val="FootnoteReference"/>
        </w:rPr>
        <w:footnoteReference w:id="307"/>
      </w:r>
    </w:p>
    <w:p>
      <w:pPr>
        <w:pStyle w:val="BodyText"/>
      </w:pPr>
      <w:r>
        <w:t xml:space="preserve">神向他所拣选的以色列显明他是独一的：「以色列啊，你要听！耶和华我们神是独一的主。你要尽心、尽性、尽力爱耶和华你的神。」</w:t>
      </w:r>
      <w:r>
        <w:rPr>
          <w:rStyle w:val="FootnoteReference"/>
        </w:rPr>
        <w:footnoteReference w:id="308"/>
      </w:r>
      <w:r>
        <w:t xml:space="preserve">借着先知，神呼召以色列与万国转向他这独一的神：「地极的人都当仰望我，就必得救；因为我是神，再没有别神。……万膝必向我跪拜，万口必凭我起誓。『人论我说：公义、能力，惟独在乎耶和华。』」</w:t>
      </w:r>
      <w:r>
        <w:rPr>
          <w:rStyle w:val="FootnoteReference"/>
        </w:rPr>
        <w:footnoteReference w:id="309"/>
      </w:r>
    </w:p>
    <w:p>
      <w:pPr>
        <w:pStyle w:val="BodyText"/>
      </w:pPr>
      <w:r>
        <w:t xml:space="preserve">耶稣亲自确认：神是那位「独一的主」，你当「尽心、尽性、尽意、尽力爱主你的神」。</w:t>
      </w:r>
      <w:r>
        <w:rPr>
          <w:rStyle w:val="FootnoteReference"/>
        </w:rPr>
        <w:footnoteReference w:id="310"/>
      </w:r>
      <w:r>
        <w:t xml:space="preserve">同时，耶稣也使我们明白他自己就是「主」。</w:t>
      </w:r>
      <w:r>
        <w:rPr>
          <w:rStyle w:val="FootnoteReference"/>
        </w:rPr>
        <w:footnoteReference w:id="311"/>
      </w:r>
      <w:r>
        <w:t xml:space="preserve">宣认耶稣为主，是基督信仰的特征。这并不违背对独一真神的信仰；相信圣灵为「主、赐生命者」也不会在独一真神里引入任何分裂。</w:t>
      </w:r>
    </w:p>
    <w:p>
      <w:pPr>
        <w:pStyle w:val="BodyText"/>
      </w:pPr>
      <w:r>
        <w:t xml:space="preserve">我们坚信并毫无保留地宣认：只有一位真神，他是永恒、无限（immensus）且不改变、不可测度、全能、不可言喻的——圣父、圣子与圣灵；三个位格，却是一单纯之本质、实体或本性。</w:t>
      </w:r>
      <w:r>
        <w:rPr>
          <w:rStyle w:val="FootnoteReference"/>
        </w:rPr>
        <w:footnoteReference w:id="312"/>
      </w:r>
    </w:p>
    <w:bookmarkEnd w:id="313"/>
    <w:bookmarkStart w:id="329" w:name="二神启示他的名"/>
    <w:p>
      <w:pPr>
        <w:pStyle w:val="Heading6"/>
      </w:pPr>
      <w:r>
        <w:t xml:space="preserve">二、神启示他的名</w:t>
      </w:r>
    </w:p>
    <w:p>
      <w:pPr>
        <w:pStyle w:val="FirstParagraph"/>
      </w:pPr>
      <w:r>
        <w:t xml:space="preserve">神把他的名显给他的百姓以色列，从而把他自己启示给他们。名字表达一个人的本质与身份，以及他生命的意义。神有名字；他不是一个不知名的力量。把自己的名字告诉人，就是把自己显明给别人；某种意义上，就是把自己交托出来，使人可以亲近、可以更亲密地认识，也可以以名字直接称呼。</w:t>
      </w:r>
    </w:p>
    <w:p>
      <w:pPr>
        <w:pStyle w:val="BodyText"/>
      </w:pPr>
      <w:r>
        <w:t xml:space="preserve">神按着次第、用不同的名称向他的百姓显明他自己，但对旧约与新约都具有根本意义的启示，是他在焚而不毁的荆棘中向摩西启示他的名——这发生在出埃及与西奈立约的门槛上。</w:t>
      </w:r>
    </w:p>
    <w:p>
      <w:pPr>
        <w:pStyle w:val="BodyText"/>
      </w:pPr>
      <w:r>
        <w:rPr>
          <w:b/>
          <w:bCs/>
        </w:rPr>
        <w:t xml:space="preserve">永活的神</w:t>
      </w:r>
      <w:r>
        <w:t xml:space="preserve"> </w:t>
      </w:r>
      <w:r>
        <w:t xml:space="preserve">{ }</w:t>
      </w:r>
    </w:p>
    <w:p>
      <w:pPr>
        <w:pStyle w:val="BodyText"/>
      </w:pPr>
      <w:r>
        <w:t xml:space="preserve">神从那烧着却不焚毁的荆棘中呼唤摩西：「我是你父亲的神，就是亚伯拉罕的神、以撒的神、雅各的神。」</w:t>
      </w:r>
      <w:r>
        <w:rPr>
          <w:rStyle w:val="FootnoteReference"/>
        </w:rPr>
        <w:footnoteReference w:id="314"/>
      </w:r>
      <w:r>
        <w:t xml:space="preserve">神是列祖的神，他曾在他们寄居流离的时候呼召并引导他们。他是信实有怜悯的神，记念他们与他的应许；他来要释放他们的后裔脱离奴役。他超越时空，能这样作，也乐意这样作；他要以他全能的权能来成就这计划。</w:t>
      </w:r>
    </w:p>
    <w:p>
      <w:pPr>
        <w:pStyle w:val="BodyText"/>
      </w:pPr>
      <w:r>
        <w:rPr>
          <w:b/>
          <w:bCs/>
        </w:rPr>
        <w:t xml:space="preserve">「我是自有永有的」</w:t>
      </w:r>
      <w:r>
        <w:t xml:space="preserve"> </w:t>
      </w:r>
      <w:r>
        <w:t xml:space="preserve">{ }</w:t>
      </w:r>
    </w:p>
    <w:p>
      <w:pPr>
        <w:pStyle w:val="BodyText"/>
      </w:pPr>
      <w:r>
        <w:t xml:space="preserve">摩西对神说：「我到以色列人那里，对他们说：『你们祖宗的神打发我到你们这里来。』他们若问我说：『他叫什么名字？』我要对他们说什么呢？」神对摩西说：「我是自有永有的。」又说：「你要对以色列人这样说：『自有的打发我到你们这里来。』……这是我的名，直到永远；这也是我的记念，直到万代。」</w:t>
      </w:r>
      <w:r>
        <w:rPr>
          <w:rStyle w:val="FootnoteReference"/>
        </w:rPr>
        <w:footnoteReference w:id="315"/>
      </w:r>
    </w:p>
    <w:p>
      <w:pPr>
        <w:pStyle w:val="BodyText"/>
      </w:pPr>
      <w:r>
        <w:t xml:space="preserve">当神启示他那奥秘的名——耶和华（「我是自有永有的」）时，他就说明了他是谁，以及人当如何称呼他。这个神名像神本身一样充满奥秘：它既是启示出来的名字，同时也好像在拒绝任何名字；因此它更好地表达了神是什么——他无限地超越我们所能理解或言说的一切。他是「自隐的神」，他的名不可言宣，同时他也使自己亲近人。</w:t>
      </w:r>
      <w:r>
        <w:rPr>
          <w:rStyle w:val="FootnoteReference"/>
        </w:rPr>
        <w:footnoteReference w:id="316"/>
      </w:r>
    </w:p>
    <w:p>
      <w:pPr>
        <w:pStyle w:val="BodyText"/>
      </w:pPr>
      <w:r>
        <w:t xml:space="preserve">神启示他的名，同时也启示了他永世不变的信实；这信实在过去「我是你父亲的神」之中，和在未来「我必与你同在」之中，同样有效。</w:t>
      </w:r>
      <w:r>
        <w:rPr>
          <w:rStyle w:val="FootnoteReference"/>
        </w:rPr>
        <w:footnoteReference w:id="317"/>
      </w:r>
      <w:r>
        <w:t xml:space="preserve">把自己的名启示为「我是」的神，把他自己显为那位常在的神——为要拯救他的百姓而与他们同在。</w:t>
      </w:r>
    </w:p>
    <w:p>
      <w:pPr>
        <w:pStyle w:val="BodyText"/>
      </w:pPr>
      <w:r>
        <w:t xml:space="preserve">面对神那吸引人、又奥秘的同在，人便发现自己的渺小。摩西在焚烧的荆棘前，在神的圣洁面前脱鞋蒙脸。</w:t>
      </w:r>
      <w:r>
        <w:rPr>
          <w:rStyle w:val="FootnoteReference"/>
        </w:rPr>
        <w:footnoteReference w:id="318"/>
      </w:r>
      <w:r>
        <w:t xml:space="preserve">在三次圣的神的荣耀之前，以赛亚呼喊：「祸哉！我灭亡了！因为我是嘴唇不洁的人，又住在嘴唇不洁的民中；又因我眼见大君王万军之耶和华。」</w:t>
      </w:r>
      <w:r>
        <w:rPr>
          <w:rStyle w:val="FootnoteReference"/>
        </w:rPr>
        <w:footnoteReference w:id="319"/>
      </w:r>
      <w:r>
        <w:t xml:space="preserve">在耶稣所行的神迹面前，彼得惊呼：「主啊，离开我！我是个罪人！」</w:t>
      </w:r>
      <w:r>
        <w:rPr>
          <w:rStyle w:val="FootnoteReference"/>
        </w:rPr>
        <w:footnoteReference w:id="320"/>
      </w:r>
      <w:r>
        <w:t xml:space="preserve">但也因为神是圣洁的，他就赦免那在他面前自知为罪人的人：「我必不发猛烈的怒气……因为我是神，并非世人，是你们中间的圣者。」</w:t>
      </w:r>
      <w:r>
        <w:rPr>
          <w:rStyle w:val="FootnoteReference"/>
        </w:rPr>
        <w:footnoteReference w:id="321"/>
      </w:r>
      <w:r>
        <w:t xml:space="preserve">使徒约翰也说：「从此就知道我们是属真理的，并且我们的心在神面前可以安稳；我们的心若责备我们，神比我们的心大，一切事没有不知道的。」</w:t>
      </w:r>
      <w:r>
        <w:rPr>
          <w:rStyle w:val="FootnoteReference"/>
        </w:rPr>
        <w:footnoteReference w:id="322"/>
      </w:r>
    </w:p>
    <w:p>
      <w:pPr>
        <w:pStyle w:val="BodyText"/>
      </w:pPr>
      <w:r>
        <w:t xml:space="preserve">出于对神圣洁的尊崇，以色列民并不直呼他的名。在诵读圣经时，那启示出来的神名（YHWH）就以「主」这一神的称号来代替（希伯来文</w:t>
      </w:r>
      <w:r>
        <w:t xml:space="preserve"> </w:t>
      </w:r>
      <w:r>
        <w:rPr>
          <w:i/>
          <w:iCs/>
        </w:rPr>
        <w:t xml:space="preserve">Adonai</w:t>
      </w:r>
      <w:r>
        <w:t xml:space="preserve">，希腊文</w:t>
      </w:r>
      <w:r>
        <w:t xml:space="preserve"> </w:t>
      </w:r>
      <w:r>
        <w:rPr>
          <w:i/>
          <w:iCs/>
        </w:rPr>
        <w:t xml:space="preserve">Kyrios</w:t>
      </w:r>
      <w:r>
        <w:t xml:space="preserve">）。正是在这个称号之下，耶稣的神性被宣认：「耶稣是主」。</w:t>
      </w:r>
    </w:p>
    <w:p>
      <w:pPr>
        <w:pStyle w:val="BodyText"/>
      </w:pPr>
      <w:r>
        <w:rPr>
          <w:b/>
          <w:bCs/>
        </w:rPr>
        <w:t xml:space="preserve">「有怜悯有恩典的神」</w:t>
      </w:r>
      <w:r>
        <w:t xml:space="preserve"> </w:t>
      </w:r>
      <w:r>
        <w:t xml:space="preserve">{ }</w:t>
      </w:r>
    </w:p>
    <w:p>
      <w:pPr>
        <w:pStyle w:val="BodyText"/>
      </w:pPr>
      <w:r>
        <w:t xml:space="preserve">以色列犯罪，百姓转离神去拜金牛犊之后，神听了摩西代求的祷告，同意在这不忠的百姓中间同行，藉此显明他的爱。</w:t>
      </w:r>
      <w:r>
        <w:rPr>
          <w:rStyle w:val="FootnoteReference"/>
        </w:rPr>
        <w:footnoteReference w:id="323"/>
      </w:r>
      <w:r>
        <w:t xml:space="preserve">当摩西求看他的荣耀时，神回答说：「我要显我一切的恩慈，在你面前经过，并要在你面前宣告我的名：『耶和华』［YHWH］。」</w:t>
      </w:r>
      <w:r>
        <w:rPr>
          <w:rStyle w:val="FootnoteReference"/>
        </w:rPr>
        <w:footnoteReference w:id="324"/>
      </w:r>
      <w:r>
        <w:t xml:space="preserve">于是耶和华从他面前经过，宣告说：「耶和华！耶和华！是有怜悯，有恩典的神，不轻易发怒，并有丰盛的慈爱和诚实。」摩西便承认耶和华是赦罪的神。</w:t>
      </w:r>
      <w:r>
        <w:rPr>
          <w:rStyle w:val="FootnoteReference"/>
        </w:rPr>
        <w:footnoteReference w:id="325"/>
      </w:r>
    </w:p>
    <w:p>
      <w:pPr>
        <w:pStyle w:val="BodyText"/>
      </w:pPr>
      <w:r>
        <w:t xml:space="preserve">历经诸世纪，以色列的信仰逐渐表明并更深领会了神名启示所包含的丰富。神是独一的；除他以外并无别神。</w:t>
      </w:r>
      <w:r>
        <w:rPr>
          <w:rStyle w:val="FootnoteReference"/>
        </w:rPr>
        <w:footnoteReference w:id="326"/>
      </w:r>
      <w:r>
        <w:t xml:space="preserve">他超越世界与历史。他造了天地：「天地都要灭没，你却要长存；天都要如外衣渐渐旧了……惟有你永不改变；你的年数没有穷尽。」</w:t>
      </w:r>
      <w:r>
        <w:rPr>
          <w:rStyle w:val="FootnoteReference"/>
        </w:rPr>
        <w:footnoteReference w:id="327"/>
      </w:r>
      <w:r>
        <w:t xml:space="preserve">在神「并没有改变，也没有转动的影儿」。</w:t>
      </w:r>
      <w:r>
        <w:rPr>
          <w:rStyle w:val="FootnoteReference"/>
        </w:rPr>
        <w:footnoteReference w:id="328"/>
      </w:r>
      <w:r>
        <w:t xml:space="preserve">神是「我是」，从亘古到永远都一样；因此，他对他自己与他的应许始终信实。</w:t>
      </w:r>
    </w:p>
    <w:p>
      <w:pPr>
        <w:pStyle w:val="BodyText"/>
      </w:pPr>
      <w:r>
        <w:t xml:space="preserve">那不可言宣的名「我是自有永有的」所启示的，正是惟有神是存在本身。按《七十士译本》与随后的教会传统对神名的理解：神是存在与一切完美的丰盈；他无始无终。万物所有的一切都是从他领受的；惟有他就是他自己的存在，并且他一切所有都出于他自己。</w:t>
      </w:r>
    </w:p>
    <w:bookmarkEnd w:id="329"/>
    <w:bookmarkStart w:id="349" w:name="三神我是就是真理与爱"/>
    <w:p>
      <w:pPr>
        <w:pStyle w:val="Heading6"/>
      </w:pPr>
      <w:r>
        <w:t xml:space="preserve">三、神——『我是』——就是真理与爱</w:t>
      </w:r>
    </w:p>
    <w:p>
      <w:pPr>
        <w:pStyle w:val="FirstParagraph"/>
      </w:pPr>
      <w:r>
        <w:t xml:space="preserve">「我是」的神，向以色列启示他是那位「有丰盛的慈爱和诚实」的。</w:t>
      </w:r>
      <w:r>
        <w:rPr>
          <w:rStyle w:val="FootnoteReference"/>
        </w:rPr>
        <w:footnoteReference w:id="330"/>
      </w:r>
      <w:r>
        <w:t xml:space="preserve">这两个词概括地表明了神名的丰富意涵。在他一切作为中，神不但显出他的仁慈、良善、恩典与坚定的慈爱，也显出他的可靠、恒常、信实与真理。「我要向你的圣殿下拜，为你的慈爱和诚实称赞你的名。」</w:t>
      </w:r>
      <w:r>
        <w:rPr>
          <w:rStyle w:val="FootnoteReference"/>
        </w:rPr>
        <w:footnoteReference w:id="331"/>
      </w:r>
      <w:r>
        <w:t xml:space="preserve">他就是真理，因为「神就是光，在他毫无黑暗」；他也是爱，正如使徒约翰所教导的：「神就是爱」。</w:t>
      </w:r>
      <w:r>
        <w:rPr>
          <w:rStyle w:val="FootnoteReference"/>
        </w:rPr>
        <w:footnoteReference w:id="332"/>
      </w:r>
    </w:p>
    <w:p>
      <w:pPr>
        <w:pStyle w:val="BodyText"/>
      </w:pPr>
      <w:r>
        <w:rPr>
          <w:b/>
          <w:bCs/>
        </w:rPr>
        <w:t xml:space="preserve">神就是真理</w:t>
      </w:r>
      <w:r>
        <w:t xml:space="preserve"> </w:t>
      </w:r>
      <w:r>
        <w:t xml:space="preserve">{ }</w:t>
      </w:r>
    </w:p>
    <w:p>
      <w:pPr>
        <w:pStyle w:val="BodyText"/>
      </w:pPr>
      <w:r>
        <w:t xml:space="preserve">「你话的总纲是真实；你一切公义的典章是永远长存。」</w:t>
      </w:r>
      <w:r>
        <w:rPr>
          <w:rStyle w:val="FootnoteReference"/>
        </w:rPr>
        <w:footnoteReference w:id="333"/>
      </w:r>
      <w:r>
        <w:t xml:space="preserve">「主耶和华啊，你是神，你的话是真实的。」</w:t>
      </w:r>
      <w:r>
        <w:rPr>
          <w:rStyle w:val="FootnoteReference"/>
        </w:rPr>
        <w:footnoteReference w:id="334"/>
      </w:r>
      <w:r>
        <w:t xml:space="preserve">因此，神的应许总要成就。</w:t>
      </w:r>
      <w:r>
        <w:rPr>
          <w:rStyle w:val="FootnoteReference"/>
        </w:rPr>
        <w:footnoteReference w:id="335"/>
      </w:r>
      <w:r>
        <w:t xml:space="preserve">神本身就是真理，他的话不可能欺骗。因此，在一切事上，人可以把自己完全交托给他话语的真实与信实。罪与人堕落的起头，是因为那试探者用谎言引人怀疑神的话语、良善与信实。</w:t>
      </w:r>
    </w:p>
    <w:p>
      <w:pPr>
        <w:pStyle w:val="BodyText"/>
      </w:pPr>
      <w:r>
        <w:t xml:space="preserve">神的真理就是他的智慧，主宰整个受造秩序并治理世界。</w:t>
      </w:r>
      <w:r>
        <w:rPr>
          <w:rStyle w:val="FootnoteReference"/>
        </w:rPr>
        <w:footnoteReference w:id="336"/>
      </w:r>
      <w:r>
        <w:t xml:space="preserve">惟有那独自创造天地的神，能把关于一切受造物相对于他自己的真知识赐给人。</w:t>
      </w:r>
      <w:r>
        <w:rPr>
          <w:rStyle w:val="FootnoteReference"/>
        </w:rPr>
        <w:footnoteReference w:id="337"/>
      </w:r>
    </w:p>
    <w:p>
      <w:pPr>
        <w:pStyle w:val="BodyText"/>
      </w:pPr>
      <w:r>
        <w:t xml:space="preserve">当神启示他自己时，他也显出真实——从神而来的教训是「真实的律法」。</w:t>
      </w:r>
      <w:r>
        <w:rPr>
          <w:rStyle w:val="FootnoteReference"/>
        </w:rPr>
        <w:footnoteReference w:id="338"/>
      </w:r>
      <w:r>
        <w:t xml:space="preserve">当他差他的儿子到世上来，是要「为真理作见证」：</w:t>
      </w:r>
      <w:r>
        <w:rPr>
          <w:rStyle w:val="FootnoteReference"/>
        </w:rPr>
        <w:footnoteReference w:id="339"/>
      </w:r>
      <w:r>
        <w:t xml:space="preserve">「我们也知道神的儿子已经来到，且将智慧赐给我们，使我们认识那位真实的。」</w:t>
      </w:r>
      <w:r>
        <w:rPr>
          <w:rStyle w:val="FootnoteReference"/>
        </w:rPr>
        <w:footnoteReference w:id="340"/>
      </w:r>
    </w:p>
    <w:p>
      <w:pPr>
        <w:pStyle w:val="BodyText"/>
      </w:pPr>
      <w:r>
        <w:rPr>
          <w:b/>
          <w:bCs/>
        </w:rPr>
        <w:t xml:space="preserve">神就是爱</w:t>
      </w:r>
      <w:r>
        <w:t xml:space="preserve"> </w:t>
      </w:r>
      <w:r>
        <w:t xml:space="preserve">{ }</w:t>
      </w:r>
    </w:p>
    <w:p>
      <w:pPr>
        <w:pStyle w:val="BodyText"/>
      </w:pPr>
      <w:r>
        <w:t xml:space="preserve">纵观其历史，以色列逐渐认识到：神向他们启示自己，并从万民中拣选他们作他产业的唯一原因，只有他白白的爱。</w:t>
      </w:r>
      <w:r>
        <w:rPr>
          <w:rStyle w:val="FootnoteReference"/>
        </w:rPr>
        <w:footnoteReference w:id="341"/>
      </w:r>
      <w:r>
        <w:t xml:space="preserve">也因着先知的启示，以色列明白：神不停地拯救他们、赦免他们的不忠与罪过，同样是出于爱。</w:t>
      </w:r>
      <w:r>
        <w:rPr>
          <w:rStyle w:val="FootnoteReference"/>
        </w:rPr>
        <w:footnoteReference w:id="342"/>
      </w:r>
    </w:p>
    <w:p>
      <w:pPr>
        <w:pStyle w:val="BodyText"/>
      </w:pPr>
      <w:r>
        <w:t xml:space="preserve">神对以色列的爱被比作父亲对儿子的爱；他对其百姓的爱比母亲对儿女的爱更强烈。他对百姓的爱胜过新郎对所爱的爱；他的爱胜过最严重的不忠，并最终把最宝贵的礼物赐下：「神爱世人，甚至将他的独生子赐给他们。」</w:t>
      </w:r>
      <w:r>
        <w:rPr>
          <w:rStyle w:val="FootnoteReference"/>
        </w:rPr>
        <w:footnoteReference w:id="343"/>
      </w:r>
    </w:p>
    <w:p>
      <w:pPr>
        <w:pStyle w:val="BodyText"/>
      </w:pPr>
      <w:r>
        <w:t xml:space="preserve">神的爱是「永远的」：</w:t>
      </w:r>
      <w:r>
        <w:rPr>
          <w:rStyle w:val="FootnoteReference"/>
        </w:rPr>
        <w:footnoteReference w:id="344"/>
      </w:r>
      <w:r>
        <w:t xml:space="preserve">「大山可以挪开，小山可以迁移；但我的慈爱必不离开你。」</w:t>
      </w:r>
      <w:r>
        <w:rPr>
          <w:rStyle w:val="FootnoteReference"/>
        </w:rPr>
        <w:footnoteReference w:id="345"/>
      </w:r>
      <w:r>
        <w:t xml:space="preserve">借着耶利米，神向他的百姓宣告：「我以永远的爱爱你，因此我以慈爱吸引你。」</w:t>
      </w:r>
      <w:r>
        <w:rPr>
          <w:rStyle w:val="FootnoteReference"/>
        </w:rPr>
        <w:footnoteReference w:id="346"/>
      </w:r>
    </w:p>
    <w:p>
      <w:pPr>
        <w:pStyle w:val="BodyText"/>
      </w:pPr>
      <w:r>
        <w:t xml:space="preserve">但圣约翰更进一步地宣告：「神就是爱」。</w:t>
      </w:r>
      <w:r>
        <w:rPr>
          <w:rStyle w:val="FootnoteReference"/>
        </w:rPr>
        <w:footnoteReference w:id="347"/>
      </w:r>
      <w:r>
        <w:t xml:space="preserve">神的所是就是爱。到了时候满足，神差下他的独生子与爱的圣灵，就把他最里面的奥秘启示出来：</w:t>
      </w:r>
      <w:r>
        <w:rPr>
          <w:rStyle w:val="FootnoteReference"/>
        </w:rPr>
        <w:footnoteReference w:id="348"/>
      </w:r>
      <w:r>
        <w:t xml:space="preserve">神自己就是爱的永恒互通——圣父、圣子与圣灵；他也预定我们分享这爱的交通。</w:t>
      </w:r>
    </w:p>
    <w:bookmarkEnd w:id="349"/>
    <w:bookmarkStart w:id="357" w:name="四信独一真神的意义"/>
    <w:p>
      <w:pPr>
        <w:pStyle w:val="Heading6"/>
      </w:pPr>
      <w:r>
        <w:t xml:space="preserve">四、信独一真神的意义</w:t>
      </w:r>
    </w:p>
    <w:p>
      <w:pPr>
        <w:pStyle w:val="FirstParagraph"/>
      </w:pPr>
      <w:r>
        <w:t xml:space="preserve">相信独一的神，并全人全心去爱他，这对我们整个人生都有深远的影响。</w:t>
      </w:r>
    </w:p>
    <w:p>
      <w:pPr>
        <w:pStyle w:val="BodyText"/>
      </w:pPr>
      <w:r>
        <w:rPr>
          <w:i/>
          <w:iCs/>
        </w:rPr>
        <w:t xml:space="preserve">意味着认识神的伟大与威严</w:t>
      </w:r>
      <w:r>
        <w:t xml:space="preserve">：「看哪，神为大，我们不能全知。」</w:t>
      </w:r>
      <w:r>
        <w:rPr>
          <w:rStyle w:val="FootnoteReference"/>
        </w:rPr>
        <w:footnoteReference w:id="350"/>
      </w:r>
      <w:r>
        <w:t xml:space="preserve">所以，我们必须「首先事奉神」。</w:t>
      </w:r>
      <w:r>
        <w:rPr>
          <w:rStyle w:val="FootnoteReference"/>
        </w:rPr>
        <w:footnoteReference w:id="351"/>
      </w:r>
    </w:p>
    <w:p>
      <w:pPr>
        <w:pStyle w:val="BodyText"/>
      </w:pPr>
      <w:r>
        <w:rPr>
          <w:i/>
          <w:iCs/>
        </w:rPr>
        <w:t xml:space="preserve">意味着活在感恩中</w:t>
      </w:r>
      <w:r>
        <w:t xml:space="preserve">：既然神是独一的，我们所有的一切都从他而来：「你有什么不是领受的呢？」</w:t>
      </w:r>
      <w:r>
        <w:rPr>
          <w:rStyle w:val="FootnoteReference"/>
        </w:rPr>
        <w:footnoteReference w:id="352"/>
      </w:r>
      <w:r>
        <w:t xml:space="preserve">「我拿什么报答耶和华向我所赐的一切厚恩？」</w:t>
      </w:r>
      <w:r>
        <w:rPr>
          <w:rStyle w:val="FootnoteReference"/>
        </w:rPr>
        <w:footnoteReference w:id="353"/>
      </w:r>
    </w:p>
    <w:p>
      <w:pPr>
        <w:pStyle w:val="BodyText"/>
      </w:pPr>
      <w:r>
        <w:rPr>
          <w:i/>
          <w:iCs/>
        </w:rPr>
        <w:t xml:space="preserve">意味着认识众人的合一与真正尊严</w:t>
      </w:r>
      <w:r>
        <w:t xml:space="preserve">：人人都是按着神的形象与样式被造的。</w:t>
      </w:r>
      <w:r>
        <w:rPr>
          <w:rStyle w:val="FootnoteReference"/>
        </w:rPr>
        <w:footnoteReference w:id="354"/>
      </w:r>
    </w:p>
    <w:p>
      <w:pPr>
        <w:pStyle w:val="BodyText"/>
      </w:pPr>
      <w:r>
        <w:rPr>
          <w:i/>
          <w:iCs/>
        </w:rPr>
        <w:t xml:space="preserve">意味着善用受造之物</w:t>
      </w:r>
      <w:r>
        <w:t xml:space="preserve">：对独一真神的信仰，引导我们对于一切不是神的事物，只在它能使我们更亲近他时才使用；而若它使我们远离他，就当舍弃： { }</w:t>
      </w:r>
    </w:p>
    <w:p>
      <w:pPr>
        <w:pStyle w:val="BlockText"/>
      </w:pPr>
      <w:r>
        <w:t xml:space="preserve">我主，我的神啊，请从我身上除去一切使我远离你的事物。</w:t>
      </w:r>
      <w:r>
        <w:br/>
      </w:r>
      <w:r>
        <w:t xml:space="preserve">我主，我的神啊，请把一切能使我更亲近你的都赐给我。</w:t>
      </w:r>
      <w:r>
        <w:br/>
      </w:r>
      <w:r>
        <w:t xml:space="preserve">我主，我的神啊，请使我脱离自己，好将我所有的一切都献给你。</w:t>
      </w:r>
      <w:r>
        <w:rPr>
          <w:rStyle w:val="FootnoteReference"/>
        </w:rPr>
        <w:footnoteReference w:id="355"/>
      </w:r>
      <w:r>
        <w:t xml:space="preserve"> </w:t>
      </w:r>
      <w:r>
        <w:t xml:space="preserve">{ }</w:t>
      </w:r>
    </w:p>
    <w:p>
      <w:pPr>
        <w:pStyle w:val="FirstParagraph"/>
      </w:pPr>
      <w:r>
        <w:rPr>
          <w:i/>
          <w:iCs/>
        </w:rPr>
        <w:t xml:space="preserve">意味着在一切境遇中都信靠神</w:t>
      </w:r>
      <w:r>
        <w:t xml:space="preserve">，即使在患难里也是如此。阿维拉的圣德兰的一段祷文，深刻地表达了这种信靠： { }</w:t>
      </w:r>
    </w:p>
    <w:p>
      <w:pPr>
        <w:pStyle w:val="BlockText"/>
      </w:pPr>
      <w:r>
        <w:t xml:space="preserve">勿让任何事搅扰你；</w:t>
      </w:r>
      <w:r>
        <w:br/>
      </w:r>
      <w:r>
        <w:t xml:space="preserve">勿让任何事惊吓你；</w:t>
      </w:r>
      <w:r>
        <w:br/>
      </w:r>
      <w:r>
        <w:t xml:space="preserve">万事皆会过去；</w:t>
      </w:r>
      <w:r>
        <w:br/>
      </w:r>
      <w:r>
        <w:t xml:space="preserve">神永不改变；</w:t>
      </w:r>
      <w:r>
        <w:br/>
      </w:r>
      <w:r>
        <w:t xml:space="preserve">忍耐</w:t>
      </w:r>
      <w:r>
        <w:br/>
      </w:r>
      <w:r>
        <w:t xml:space="preserve">使人得着一切；</w:t>
      </w:r>
      <w:r>
        <w:br/>
      </w:r>
      <w:r>
        <w:t xml:space="preserve">有神的人，</w:t>
      </w:r>
      <w:r>
        <w:br/>
      </w:r>
      <w:r>
        <w:t xml:space="preserve">并无所缺；</w:t>
      </w:r>
      <w:r>
        <w:br/>
      </w:r>
      <w:r>
        <w:t xml:space="preserve">唯有神足矣。 { }</w:t>
      </w:r>
    </w:p>
    <w:p>
      <w:pPr>
        <w:pStyle w:val="FirstParagraph"/>
      </w:pPr>
      <w:r>
        <w:rPr>
          <w:rStyle w:val="FootnoteReference"/>
        </w:rPr>
        <w:footnoteReference w:id="356"/>
      </w:r>
    </w:p>
    <w:bookmarkEnd w:id="357"/>
    <w:bookmarkStart w:id="358" w:name="综述-5"/>
    <w:p>
      <w:pPr>
        <w:pStyle w:val="Heading6"/>
      </w:pPr>
      <w:r>
        <w:t xml:space="preserve">综述</w:t>
      </w:r>
    </w:p>
    <w:p>
      <w:pPr>
        <w:pStyle w:val="FirstParagraph"/>
      </w:pPr>
      <w:r>
        <w:t xml:space="preserve">「以色列啊，你要听！耶和华我们神是独一的主。」（申 6:4；可 12:29）「至高者必定是独一、无可比拟的……若神不是独一，他就不是神。」（特土良，《驳马吉安》1,3,5：PL 2,274）</w:t>
      </w:r>
    </w:p>
    <w:p>
      <w:pPr>
        <w:pStyle w:val="BodyText"/>
      </w:pPr>
      <w:r>
        <w:t xml:space="preserve">对神的信仰使我们只向他转回，把他当作我们最初的本源与最终的归宿；我们既不把任何事物置于他之上，也不拿任何事物取代他。</w:t>
      </w:r>
    </w:p>
    <w:p>
      <w:pPr>
        <w:pStyle w:val="BodyText"/>
      </w:pPr>
      <w:r>
        <w:t xml:space="preserve">即使他启示自己，神仍是言语所不能尽的奥秘：「你若明白了他，他就不是神。」（圣奥古斯丁，《讲道集》52,6,16：PL 38,360；及《讲道集》117,3,5：PL 38,663）</w:t>
      </w:r>
    </w:p>
    <w:p>
      <w:pPr>
        <w:pStyle w:val="BodyText"/>
      </w:pPr>
      <w:r>
        <w:t xml:space="preserve">我们所信的神启示他自己是「我是」，并表明他是「有丰盛的慈爱和诚实」的（出 34:6）。神的所是就是真理与爱。</w:t>
      </w:r>
    </w:p>
    <w:p>
      <w:r>
        <w:br w:type="page"/>
      </w:r>
    </w:p>
    <w:bookmarkEnd w:id="358"/>
    <w:bookmarkEnd w:id="359"/>
    <w:bookmarkStart w:id="415" w:name="第二条圣父"/>
    <w:p>
      <w:pPr>
        <w:pStyle w:val="Heading5"/>
      </w:pPr>
      <w:r>
        <w:t xml:space="preserve">第二条：圣父</w:t>
      </w:r>
    </w:p>
    <w:bookmarkStart w:id="366" w:name="一奉父子圣灵的名"/>
    <w:p>
      <w:pPr>
        <w:pStyle w:val="Heading6"/>
      </w:pPr>
      <w:r>
        <w:t xml:space="preserve">一、「奉父、子、圣灵的名」</w:t>
      </w:r>
    </w:p>
    <w:p>
      <w:pPr>
        <w:pStyle w:val="FirstParagraph"/>
      </w:pPr>
      <w:r>
        <w:t xml:space="preserve">基督徒是「奉父、子、圣灵的名」受洗的。</w:t>
      </w:r>
      <w:r>
        <w:rPr>
          <w:rStyle w:val="FootnoteReference"/>
        </w:rPr>
        <w:footnoteReference w:id="360"/>
      </w:r>
      <w:r>
        <w:t xml:space="preserve">在领受圣事之前，当被问及是否宣认圣父、圣子与圣灵时，他们要逐一回答：「我愿意。」——「所有基督徒的信仰都立基于三位一体。」</w:t>
      </w:r>
      <w:r>
        <w:rPr>
          <w:rStyle w:val="FootnoteReference"/>
        </w:rPr>
        <w:footnoteReference w:id="361"/>
      </w:r>
    </w:p>
    <w:p>
      <w:pPr>
        <w:pStyle w:val="BodyText"/>
      </w:pPr>
      <w:r>
        <w:t xml:space="preserve">基督徒是奉父、子、圣灵的</w:t>
      </w:r>
      <w:r>
        <w:rPr>
          <w:i/>
          <w:iCs/>
        </w:rPr>
        <w:t xml:space="preserve">名</w:t>
      </w:r>
      <w:r>
        <w:t xml:space="preserve">受洗——不是奉他们的</w:t>
      </w:r>
      <w:r>
        <w:rPr>
          <w:i/>
          <w:iCs/>
        </w:rPr>
        <w:t xml:space="preserve">名词</w:t>
      </w:r>
      <w:r>
        <w:t xml:space="preserve">（复数），</w:t>
      </w:r>
      <w:r>
        <w:rPr>
          <w:rStyle w:val="FootnoteReference"/>
        </w:rPr>
        <w:footnoteReference w:id="362"/>
      </w:r>
      <w:r>
        <w:t xml:space="preserve">因为只有一位神，就是全能的父、他的独生子与圣灵：至圣三位一体。</w:t>
      </w:r>
    </w:p>
    <w:p>
      <w:pPr>
        <w:pStyle w:val="BodyText"/>
      </w:pPr>
      <w:r>
        <w:t xml:space="preserve">至圣三位一体的奥秘是基督信仰与生活的中心奥秘；这是神自身的奥秘。因此，它是其他一切信仰奥秘的泉源，是照亮它们的光；它是「信仰真理的层次」中最根本且最要紧的教导。</w:t>
      </w:r>
      <w:r>
        <w:rPr>
          <w:rStyle w:val="FootnoteReference"/>
        </w:rPr>
        <w:footnoteReference w:id="363"/>
      </w:r>
      <w:r>
        <w:t xml:space="preserve">整个救恩史，正是那位独一真神——圣父、圣子与圣灵——启示他自己给人，并「使离弃罪恶的人与他和好且联合于他」的途径与方式之历史。</w:t>
      </w:r>
      <w:r>
        <w:rPr>
          <w:rStyle w:val="FootnoteReference"/>
        </w:rPr>
        <w:footnoteReference w:id="364"/>
      </w:r>
    </w:p>
    <w:p>
      <w:pPr>
        <w:pStyle w:val="BodyText"/>
      </w:pPr>
      <w:r>
        <w:t xml:space="preserve">本条将简要说明：（一）这可称颂的三位一体奥秘是如何被启示的；（二）教会如何阐明关于此奥秘的信仰教义；（三）圣父如何藉着圣子与圣灵的派遣，成就他那「慈爱的计划」——创造、救赎与成圣。</w:t>
      </w:r>
    </w:p>
    <w:p>
      <w:pPr>
        <w:pStyle w:val="BodyText"/>
      </w:pPr>
      <w:r>
        <w:t xml:space="preserve">教父们区分「神学」（</w:t>
      </w:r>
      <w:r>
        <w:rPr>
          <w:i/>
          <w:iCs/>
        </w:rPr>
        <w:t xml:space="preserve">theologia</w:t>
      </w:r>
      <w:r>
        <w:t xml:space="preserve">）与「经纶」（</w:t>
      </w:r>
      <w:r>
        <w:rPr>
          <w:i/>
          <w:iCs/>
        </w:rPr>
        <w:t xml:space="preserve">oikonomia</w:t>
      </w:r>
      <w:r>
        <w:t xml:space="preserve">）。「神学」指可称颂的三位一体里神最内在生命的奥秘；「经纶」指神藉以启示他自己并传达他生命的一切作为。藉着</w:t>
      </w:r>
      <w:r>
        <w:rPr>
          <w:i/>
          <w:iCs/>
        </w:rPr>
        <w:t xml:space="preserve">经纶</w:t>
      </w:r>
      <w:r>
        <w:t xml:space="preserve">，</w:t>
      </w:r>
      <w:r>
        <w:rPr>
          <w:i/>
          <w:iCs/>
        </w:rPr>
        <w:t xml:space="preserve">神学</w:t>
      </w:r>
      <w:r>
        <w:t xml:space="preserve">向我们显明；反过来，</w:t>
      </w:r>
      <w:r>
        <w:rPr>
          <w:i/>
          <w:iCs/>
        </w:rPr>
        <w:t xml:space="preserve">神学</w:t>
      </w:r>
      <w:r>
        <w:t xml:space="preserve">又照亮整个经纶。神的作为显出他本身是谁；他最里面的奥秘又光照我们对他一切作为的理解。人与人之间也可以作类似的比喻：一个人在他的行为中显露他自己；我们越认识一个人，就越能明白他的行为。</w:t>
      </w:r>
    </w:p>
    <w:p>
      <w:pPr>
        <w:pStyle w:val="BodyText"/>
      </w:pPr>
      <w:r>
        <w:t xml:space="preserve">三位一体是严格意义上的信仰奥秘，是那些「隐藏在神里面、若非神启示就永不能被认识」的奥秘之一。</w:t>
      </w:r>
      <w:r>
        <w:rPr>
          <w:rStyle w:val="FootnoteReference"/>
        </w:rPr>
        <w:footnoteReference w:id="365"/>
      </w:r>
      <w:r>
        <w:t xml:space="preserve">诚然，神在创造工程与旧约时期的启示中，留下了他三位一体的踪迹；但他作为三位一体之最内在的所是，却是人单凭理性甚至以色列在圣子降生前与圣灵降临前的信仰所不能达的奥秘。</w:t>
      </w:r>
    </w:p>
    <w:bookmarkEnd w:id="366"/>
    <w:bookmarkStart w:id="389" w:name="二神作为三位一体的启示"/>
    <w:p>
      <w:pPr>
        <w:pStyle w:val="Heading6"/>
      </w:pPr>
      <w:r>
        <w:t xml:space="preserve">二、神作为三位一体的启示</w:t>
      </w:r>
    </w:p>
    <w:p>
      <w:pPr>
        <w:pStyle w:val="FirstParagraph"/>
      </w:pPr>
      <w:r>
        <w:rPr>
          <w:b/>
          <w:bCs/>
        </w:rPr>
        <w:t xml:space="preserve">由圣子所启示的圣父</w:t>
      </w:r>
      <w:r>
        <w:t xml:space="preserve"> </w:t>
      </w:r>
      <w:r>
        <w:t xml:space="preserve">{ }</w:t>
      </w:r>
    </w:p>
    <w:p>
      <w:pPr>
        <w:pStyle w:val="BodyText"/>
      </w:pPr>
      <w:r>
        <w:t xml:space="preserve">许多宗教称呼神为「父」。神明常被看作「众神与人类之父」。在以色列，神被称为「父」，因为他是世界的创造者。</w:t>
      </w:r>
      <w:r>
        <w:rPr>
          <w:rStyle w:val="FootnoteReference"/>
        </w:rPr>
        <w:footnoteReference w:id="367"/>
      </w:r>
      <w:r>
        <w:t xml:space="preserve">更进一步，神因着与以色列所立的约与赐下的律法，成为他们的父——以色列是「他的长子」。</w:t>
      </w:r>
      <w:r>
        <w:rPr>
          <w:rStyle w:val="FootnoteReference"/>
        </w:rPr>
        <w:footnoteReference w:id="368"/>
      </w:r>
      <w:r>
        <w:t xml:space="preserve">神也被称为以色列王的父；尤其他是「穷人的父」，是孤儿寡妇的父，他们在他的慈爱保护之下。</w:t>
      </w:r>
      <w:r>
        <w:rPr>
          <w:rStyle w:val="FootnoteReference"/>
        </w:rPr>
        <w:footnoteReference w:id="369"/>
      </w:r>
    </w:p>
    <w:p>
      <w:pPr>
        <w:pStyle w:val="BodyText"/>
      </w:pPr>
      <w:r>
        <w:t xml:space="preserve">称神为「父」，信仰的语言主要表达两点：神是一切事物最初的本源与超越的权威；同时他也是良善，并以慈爱看顾他的一切儿女。信仰的语言也可用母性的形象来表达神的父母之情，</w:t>
      </w:r>
      <w:r>
        <w:rPr>
          <w:rStyle w:val="FootnoteReference"/>
        </w:rPr>
        <w:footnoteReference w:id="370"/>
      </w:r>
      <w:r>
        <w:t xml:space="preserve">以强调造物主与受造物之间那亲密的临在。因此，信仰的语言借用人作父母的经验，因为在某种意义上，父母是神在人面前的最初代表。但这经验也告诉我们，人作父母会有过失，可能扭曲父性与母性的面貌。所以我们应当记得：神超越人的性别区分；他既不是男，也不是女——他是神。他也超越人的父性与母性，虽然他是它们的根源与标准：</w:t>
      </w:r>
      <w:r>
        <w:rPr>
          <w:rStyle w:val="FootnoteReference"/>
        </w:rPr>
        <w:footnoteReference w:id="371"/>
      </w:r>
      <w:r>
        <w:t xml:space="preserve">没有人像神那样作父。</w:t>
      </w:r>
    </w:p>
    <w:p>
      <w:pPr>
        <w:pStyle w:val="BodyText"/>
      </w:pPr>
      <w:r>
        <w:t xml:space="preserve">耶稣以一种前所未有的意义启示神为父：他为父，不仅因他是创造主；他在与其独生子的关系上，永远为父；而独生子也只在与父的关系上永远为子：「除了父，没有人知道子；除了子和子所愿意指示的，没有人知道父。」</w:t>
      </w:r>
      <w:r>
        <w:rPr>
          <w:rStyle w:val="FootnoteReference"/>
        </w:rPr>
        <w:footnoteReference w:id="372"/>
      </w:r>
    </w:p>
    <w:p>
      <w:pPr>
        <w:pStyle w:val="BodyText"/>
      </w:pPr>
      <w:r>
        <w:t xml:space="preserve">因此，使徒们宣认耶稣是「道」：「太初有道，道与神同在，道就是神」；又宣认他是「那不能看见之神的像」；是「神荣耀所发的光辉，是神本体的真像」。</w:t>
      </w:r>
      <w:r>
        <w:rPr>
          <w:rStyle w:val="FootnoteReference"/>
        </w:rPr>
        <w:footnoteReference w:id="373"/>
      </w:r>
    </w:p>
    <w:p>
      <w:pPr>
        <w:pStyle w:val="BodyText"/>
      </w:pPr>
      <w:r>
        <w:t xml:space="preserve">循此使徒传统，教会在第一次大公会议（325 年尼西亚）宣认：子与父是「同一本体」（同体），也就是说，与父同为独一的神。</w:t>
      </w:r>
      <w:r>
        <w:rPr>
          <w:rStyle w:val="FootnoteReference"/>
        </w:rPr>
        <w:footnoteReference w:id="374"/>
      </w:r>
      <w:r>
        <w:t xml:space="preserve">第二次大公会议（381 年君士坦丁堡）在其尼西亚信经的表述中保留了这个措辞，宣认：「神的独生子，于万世之前自父所生；光由光出，真神由真神出；受生而非受造；与父同一本体。」</w:t>
      </w:r>
      <w:r>
        <w:rPr>
          <w:rStyle w:val="FootnoteReference"/>
        </w:rPr>
        <w:footnoteReference w:id="375"/>
      </w:r>
    </w:p>
    <w:p>
      <w:pPr>
        <w:pStyle w:val="BodyText"/>
      </w:pPr>
      <w:r>
        <w:rPr>
          <w:b/>
          <w:bCs/>
        </w:rPr>
        <w:t xml:space="preserve">「有怜悯有恩典的神」</w:t>
      </w:r>
      <w:r>
        <w:t xml:space="preserve"> </w:t>
      </w:r>
      <w:r>
        <w:t xml:space="preserve">{ }</w:t>
      </w:r>
    </w:p>
    <w:p>
      <w:pPr>
        <w:pStyle w:val="BodyText"/>
      </w:pPr>
      <w:r>
        <w:t xml:space="preserve">在他逾越节之前，耶稣预告要差遣「另一位保惠师」（护慰者）——圣灵。圣灵自创造以来就运行，并且先前「借先知们说话」；如今他要与门徒同在、住在他们里面，教导他们，引导他们「进入一切的真理」。</w:t>
      </w:r>
      <w:r>
        <w:rPr>
          <w:rStyle w:val="FootnoteReference"/>
        </w:rPr>
        <w:footnoteReference w:id="376"/>
      </w:r>
    </w:p>
    <w:p>
      <w:pPr>
        <w:pStyle w:val="BodyText"/>
      </w:pPr>
      <w:r>
        <w:t xml:space="preserve">圣灵永恒的来处，借着他在时间里的使命而显明。圣灵既由父奉子的名差遣，也由子在回到父那里之后亲自差遣，临到使徒与教会。</w:t>
      </w:r>
      <w:r>
        <w:rPr>
          <w:rStyle w:val="FootnoteReference"/>
        </w:rPr>
        <w:footnoteReference w:id="377"/>
      </w:r>
      <w:r>
        <w:t xml:space="preserve">耶稣得荣耀之后，圣灵以位格被差遣，</w:t>
      </w:r>
      <w:r>
        <w:rPr>
          <w:rStyle w:val="FootnoteReference"/>
        </w:rPr>
        <w:footnoteReference w:id="378"/>
      </w:r>
      <w:r>
        <w:t xml:space="preserve">把至圣三位一体的奥秘完全启示出来。</w:t>
      </w:r>
    </w:p>
    <w:p>
      <w:pPr>
        <w:pStyle w:val="BodyText"/>
      </w:pPr>
      <w:r>
        <w:t xml:space="preserve">关于圣灵的使徒信仰，由第二次大公会议（381 年，君士坦丁堡）所宣认：「我们信圣灵，他是主，是赐生命的；他从父而出。」</w:t>
      </w:r>
      <w:r>
        <w:rPr>
          <w:rStyle w:val="FootnoteReference"/>
        </w:rPr>
        <w:footnoteReference w:id="379"/>
      </w:r>
      <w:r>
        <w:t xml:space="preserve">借着这信仰宣认，教会承认父是「一切神性之泉源与根源」。</w:t>
      </w:r>
      <w:r>
        <w:rPr>
          <w:rStyle w:val="FootnoteReference"/>
        </w:rPr>
        <w:footnoteReference w:id="380"/>
      </w:r>
      <w:r>
        <w:t xml:space="preserve">然而，圣灵永恒的来处并不与子的来处无关：「圣灵，三位一体的第三位格，是神，与圣父与圣子同一且同等，本质与本性相同……但他不仅被称为父的灵……也被称为父与子的灵。」</w:t>
      </w:r>
      <w:r>
        <w:rPr>
          <w:rStyle w:val="FootnoteReference"/>
        </w:rPr>
        <w:footnoteReference w:id="381"/>
      </w:r>
      <w:r>
        <w:t xml:space="preserve">君士坦丁堡大公会议所定的教会信经宣认：「他同父及子同受敬拜，同受荣耀。」</w:t>
      </w:r>
      <w:r>
        <w:rPr>
          <w:rStyle w:val="FootnoteReference"/>
        </w:rPr>
        <w:footnoteReference w:id="382"/>
      </w:r>
    </w:p>
    <w:p>
      <w:pPr>
        <w:pStyle w:val="BodyText"/>
      </w:pPr>
      <w:r>
        <w:t xml:space="preserve">拉丁传统的信经宣认圣灵「从父</w:t>
      </w:r>
      <w:r>
        <w:t xml:space="preserve"> </w:t>
      </w:r>
      <w:r>
        <w:rPr>
          <w:i/>
          <w:iCs/>
        </w:rPr>
        <w:t xml:space="preserve">和子（filioque）</w:t>
      </w:r>
      <w:r>
        <w:t xml:space="preserve"> </w:t>
      </w:r>
      <w:r>
        <w:t xml:space="preserve">而出」。佛罗伦萨大公会议（1438）解释说：「圣灵是永远由父与子所出；他同时（</w:t>
      </w:r>
      <w:r>
        <w:rPr>
          <w:i/>
          <w:iCs/>
        </w:rPr>
        <w:t xml:space="preserve">simul</w:t>
      </w:r>
      <w:r>
        <w:t xml:space="preserve">）由父与子领受其本性与位格存在。他由二者永远『如出于一根源并由一吐放』而出……而且，因为父借着发生把属于父的一切（除了『为父』）都赐给了独生子，所以子也从他永远所出之父，永远领受圣灵由子而出。」</w:t>
      </w:r>
      <w:r>
        <w:rPr>
          <w:rStyle w:val="FootnoteReference"/>
        </w:rPr>
        <w:footnoteReference w:id="383"/>
      </w:r>
    </w:p>
    <w:p>
      <w:pPr>
        <w:pStyle w:val="BodyText"/>
      </w:pPr>
      <w:r>
        <w:rPr>
          <w:i/>
          <w:iCs/>
        </w:rPr>
        <w:t xml:space="preserve">filioque</w:t>
      </w:r>
      <w:r>
        <w:t xml:space="preserve"> </w:t>
      </w:r>
      <w:r>
        <w:t xml:space="preserve">这项表述并未出现在 381 年君士坦丁堡所宣认的信经中。但教宗圣良一世遵循古老的拉丁与亚历山大传统，早在 447 年就已以信条形式宣认了它，</w:t>
      </w:r>
      <w:r>
        <w:rPr>
          <w:rStyle w:val="FootnoteReference"/>
        </w:rPr>
        <w:footnoteReference w:id="384"/>
      </w:r>
      <w:r>
        <w:t xml:space="preserve">甚至早于罗马在 451 年迦克墩大公会议上承认并接纳 381 年的信经。此措辞渐次被纳入拉丁礼仪的信经之中（约在八到十一世纪之间）。直到今日，将 filioque 加入《尼西亚-君士坦丁堡信经》的拉丁礼仪，也仍然是与正教诸教会之间分歧的一点。</w:t>
      </w:r>
    </w:p>
    <w:p>
      <w:pPr>
        <w:pStyle w:val="BodyText"/>
      </w:pPr>
      <w:r>
        <w:t xml:space="preserve">起初，东方传统强调父是圣灵的第一根源。宣认圣灵「从父而出」，也就肯定他</w:t>
      </w:r>
      <w:r>
        <w:rPr>
          <w:i/>
          <w:iCs/>
        </w:rPr>
        <w:t xml:space="preserve">由</w:t>
      </w:r>
      <w:r>
        <w:t xml:space="preserve">父并</w:t>
      </w:r>
      <w:r>
        <w:rPr>
          <w:i/>
          <w:iCs/>
        </w:rPr>
        <w:t xml:space="preserve">借着</w:t>
      </w:r>
      <w:r>
        <w:t xml:space="preserve">子而来。</w:t>
      </w:r>
      <w:r>
        <w:rPr>
          <w:rStyle w:val="FootnoteReference"/>
        </w:rPr>
        <w:footnoteReference w:id="385"/>
      </w:r>
      <w:r>
        <w:t xml:space="preserve">西方传统则先强调父与子之间同一本体的共融，因而称圣灵由父及子（</w:t>
      </w:r>
      <w:r>
        <w:rPr>
          <w:i/>
          <w:iCs/>
        </w:rPr>
        <w:t xml:space="preserve">filioque</w:t>
      </w:r>
      <w:r>
        <w:t xml:space="preserve">）而出。这种说法「合法且理由充足」，</w:t>
      </w:r>
      <w:r>
        <w:rPr>
          <w:rStyle w:val="FootnoteReference"/>
        </w:rPr>
        <w:footnoteReference w:id="386"/>
      </w:r>
      <w:r>
        <w:t xml:space="preserve">因为在三个位格同一本体的共融之中，他们的永恒秩序包含着这样一个事实：父作为「无源之源」，</w:t>
      </w:r>
      <w:r>
        <w:rPr>
          <w:rStyle w:val="FootnoteReference"/>
        </w:rPr>
        <w:footnoteReference w:id="387"/>
      </w:r>
      <w:r>
        <w:t xml:space="preserve">是圣灵的第一根源；但同时，既然父是独生子的父，他也就与子同为圣灵所出的一根源。</w:t>
      </w:r>
      <w:r>
        <w:rPr>
          <w:rStyle w:val="FootnoteReference"/>
        </w:rPr>
        <w:footnoteReference w:id="388"/>
      </w:r>
      <w:r>
        <w:t xml:space="preserve">这种合法的互补，只要不被僵化，就无损于对同一奥秘的信仰之认同。</w:t>
      </w:r>
    </w:p>
    <w:bookmarkEnd w:id="389"/>
    <w:bookmarkStart w:id="402" w:name="三信仰教导中的至圣三位一体"/>
    <w:p>
      <w:pPr>
        <w:pStyle w:val="Heading6"/>
      </w:pPr>
      <w:r>
        <w:t xml:space="preserve">三、信仰教导中的至圣三位一体</w:t>
      </w:r>
    </w:p>
    <w:p>
      <w:pPr>
        <w:pStyle w:val="FirstParagraph"/>
      </w:pPr>
      <w:r>
        <w:rPr>
          <w:b/>
          <w:bCs/>
        </w:rPr>
        <w:t xml:space="preserve">三位一体信条的形成</w:t>
      </w:r>
      <w:r>
        <w:t xml:space="preserve"> </w:t>
      </w:r>
      <w:r>
        <w:t xml:space="preserve">{ }</w:t>
      </w:r>
    </w:p>
    <w:p>
      <w:pPr>
        <w:pStyle w:val="BodyText"/>
      </w:pPr>
      <w:r>
        <w:t xml:space="preserve">自始以来，关于至圣三位一体的启示真理，就借着洗礼成为教会生活信仰的根基。它在教会的宣讲、教理与祈祷中，被表述为洗礼信仰的规范。这类表述在使徒著作中已可见，例如这句后来被纳入弥撒礼中的问安辞：「愿主耶稣基督的恩惠、神的慈爱、圣灵的感动，常与你们众人同在。」</w:t>
      </w:r>
      <w:r>
        <w:rPr>
          <w:rStyle w:val="FootnoteReference"/>
        </w:rPr>
        <w:footnoteReference w:id="390"/>
      </w:r>
    </w:p>
    <w:p>
      <w:pPr>
        <w:pStyle w:val="BodyText"/>
      </w:pPr>
      <w:r>
        <w:t xml:space="preserve">在头几个世纪，教会力图澄清她关于三位一体的信仰，既为深化自身对信仰的理解，也为抵御扭曲信仰的错误。这种澄清主要由早期大公会议完成，得到教父们的神学工作协助，并由基督徒的感信直觉所扶持。</w:t>
      </w:r>
    </w:p>
    <w:p>
      <w:pPr>
        <w:pStyle w:val="BodyText"/>
      </w:pPr>
      <w:r>
        <w:t xml:space="preserve">为表达三位一体的信条，教会在某些哲学概念的助益下，发展出自己的术语：「本质」（substance）、「位格」（person 或 hypostasis）、「关系」（relation）等等。这样做并不是把信仰屈从于人的智慧，而是赋予这些术语以全新且前所未有的意义，从此用来指称一个不可言宣、且「无穷地超越人所能理解的一切」的奥秘。</w:t>
      </w:r>
      <w:r>
        <w:rPr>
          <w:rStyle w:val="FootnoteReference"/>
        </w:rPr>
        <w:footnoteReference w:id="391"/>
      </w:r>
    </w:p>
    <w:p>
      <w:pPr>
        <w:pStyle w:val="BodyText"/>
      </w:pPr>
      <w:r>
        <w:t xml:space="preserve">教会使用：（一）「本质」（有时也译作「实体」或「本性」）来指称神的存在在其合一里；（二）「位格」或「本位」（person／hypostasis）来指称圣父、圣子与圣灵之间真实的区分；（三）「关系」（relation）来指称他们的区分在于三者彼此之间的相互关系。</w:t>
      </w:r>
    </w:p>
    <w:p>
      <w:pPr>
        <w:pStyle w:val="BodyText"/>
      </w:pPr>
      <w:r>
        <w:rPr>
          <w:b/>
          <w:bCs/>
        </w:rPr>
        <w:t xml:space="preserve">至圣三位一体的信条</w:t>
      </w:r>
      <w:r>
        <w:t xml:space="preserve"> </w:t>
      </w:r>
      <w:r>
        <w:t xml:space="preserve">{ }</w:t>
      </w:r>
    </w:p>
    <w:p>
      <w:pPr>
        <w:pStyle w:val="BodyText"/>
      </w:pPr>
      <w:r>
        <w:t xml:space="preserve">——</w:t>
      </w:r>
      <w:r>
        <w:rPr>
          <w:i/>
          <w:iCs/>
        </w:rPr>
        <w:t xml:space="preserve">三位一体是独一的。</w:t>
      </w:r>
      <w:r>
        <w:t xml:space="preserve"> </w:t>
      </w:r>
      <w:r>
        <w:t xml:space="preserve">我们不是宣认三位神，而是宣认三个位格中的一位神，即「同一本体的三位一体」。</w:t>
      </w:r>
      <w:r>
        <w:rPr>
          <w:rStyle w:val="FootnoteReference"/>
        </w:rPr>
        <w:footnoteReference w:id="392"/>
      </w:r>
      <w:r>
        <w:t xml:space="preserve">三个位格并不是彼此分占同一的神性，而是各自都是完全的神：「父就是子的所是，子就是父的所是；父与子就是圣灵的所是；也就是说，本性上是一位神。」</w:t>
      </w:r>
      <w:r>
        <w:rPr>
          <w:rStyle w:val="FootnoteReference"/>
        </w:rPr>
        <w:footnoteReference w:id="393"/>
      </w:r>
      <w:r>
        <w:t xml:space="preserve">用拉特朗第四届大公会议（1215）的话说：「每一位格都是那至上的实在，即神性的实体、本质或本性。」</w:t>
      </w:r>
      <w:r>
        <w:rPr>
          <w:rStyle w:val="FootnoteReference"/>
        </w:rPr>
        <w:footnoteReference w:id="394"/>
      </w:r>
    </w:p>
    <w:p>
      <w:pPr>
        <w:pStyle w:val="BodyText"/>
      </w:pPr>
      <w:r>
        <w:t xml:space="preserve">——</w:t>
      </w:r>
      <w:r>
        <w:rPr>
          <w:i/>
          <w:iCs/>
        </w:rPr>
        <w:t xml:space="preserve">三个位格彼此真实有别。</w:t>
      </w:r>
      <w:r>
        <w:t xml:space="preserve">「神是独一的，但不是孤独的。」</w:t>
      </w:r>
      <w:r>
        <w:rPr>
          <w:rStyle w:val="FootnoteReference"/>
        </w:rPr>
        <w:footnoteReference w:id="395"/>
      </w:r>
      <w:r>
        <w:t xml:space="preserve">「父、子、圣灵」不是仅仅标示神之存在不同样式的名称，因为他们彼此真实有别：「为父的不是为子的；为子的不是为父的；圣灵也不是为父或为子的。」</w:t>
      </w:r>
      <w:r>
        <w:rPr>
          <w:rStyle w:val="FootnoteReference"/>
        </w:rPr>
        <w:footnoteReference w:id="396"/>
      </w:r>
      <w:r>
        <w:t xml:space="preserve">他们彼此的区别在于各自的来源关系：「是父发生，是子受生，是圣灵发出。」</w:t>
      </w:r>
      <w:r>
        <w:rPr>
          <w:rStyle w:val="FootnoteReference"/>
        </w:rPr>
        <w:footnoteReference w:id="397"/>
      </w:r>
      <w:r>
        <w:t xml:space="preserve">这独一的神性是三一的。</w:t>
      </w:r>
    </w:p>
    <w:p>
      <w:pPr>
        <w:pStyle w:val="BodyText"/>
      </w:pPr>
      <w:r>
        <w:t xml:space="preserve">——</w:t>
      </w:r>
      <w:r>
        <w:rPr>
          <w:i/>
          <w:iCs/>
        </w:rPr>
        <w:t xml:space="preserve">三个位格彼此相关。</w:t>
      </w:r>
      <w:r>
        <w:t xml:space="preserve"> </w:t>
      </w:r>
      <w:r>
        <w:t xml:space="preserve">位格之间真实的区分，不是把神性的合一分割开来，而是只存在于他们彼此相属的关系之中：「在表示关系的名号中，父相对于子，子相对于父，圣灵相对于父与子。虽然因这些关系而称他们为三个位格，我们却相信只是一性或一实体。」</w:t>
      </w:r>
      <w:r>
        <w:rPr>
          <w:rStyle w:val="FootnoteReference"/>
        </w:rPr>
        <w:footnoteReference w:id="398"/>
      </w:r>
      <w:r>
        <w:t xml:space="preserve">确实，「在没有关系对立之处，他们的一切都是一。」</w:t>
      </w:r>
      <w:r>
        <w:rPr>
          <w:rStyle w:val="FootnoteReference"/>
        </w:rPr>
        <w:footnoteReference w:id="399"/>
      </w:r>
      <w:r>
        <w:t xml:space="preserve">「因这合一，父全然在子里，也全然在圣灵里；子全然在父里，也全然在圣灵里；圣灵全然在父里，也全然在子里。」</w:t>
      </w:r>
      <w:r>
        <w:rPr>
          <w:rStyle w:val="FootnoteReference"/>
        </w:rPr>
        <w:footnoteReference w:id="400"/>
      </w:r>
    </w:p>
    <w:p>
      <w:pPr>
        <w:pStyle w:val="BodyText"/>
      </w:pPr>
      <w:r>
        <w:t xml:space="preserve">纳齐安的圣额我略（亦称「神学家」）把这段关于三位一体信仰的撮要，托付给君士坦丁堡的慕道者：</w:t>
      </w:r>
    </w:p>
    <w:p>
      <w:pPr>
        <w:pStyle w:val="BlockText"/>
      </w:pPr>
      <w:r>
        <w:t xml:space="preserve">最重要的是，请你们为我看守这伟大的信仰宝藏：我为它而活、为它而战，我愿意把它当作伴侣带着走；它使我能忍受一切苦难，并藐视一切享乐。我指的是对圣父、圣子与圣灵的信仰宣认。今天我把它托付给你们；不久我将凭着它把你们浸入水中，又从水中举起。我把它交给你们，作你们一生的伴侣与护守。我只给你们一个神性与能力：在三者之中是一，在彼此区分中又各自包容三者。神性没有本质或本性的差等，没有高抬人的上位，也没有贬抑人的下位……三者同一本性的无限合一。每一位格若就其自身而论，都是全然的神……若把三者合并而论……我还没开始思想合一，三位一体已以其光辉浸润我；我还没开始思想三位一体，合一就抓住了我……</w:t>
      </w:r>
      <w:r>
        <w:rPr>
          <w:rStyle w:val="FootnoteReference"/>
        </w:rPr>
        <w:footnoteReference w:id="401"/>
      </w:r>
    </w:p>
    <w:bookmarkEnd w:id="402"/>
    <w:bookmarkStart w:id="413" w:name="四神的作为与三位一体的使命"/>
    <w:p>
      <w:pPr>
        <w:pStyle w:val="Heading6"/>
      </w:pPr>
      <w:r>
        <w:t xml:space="preserve">四、神的作为与三位一体的使命</w:t>
      </w:r>
    </w:p>
    <w:p>
      <w:pPr>
        <w:pStyle w:val="FirstParagraph"/>
      </w:pPr>
      <w:r>
        <w:t xml:space="preserve">「噢，有福的光啊！三一、最初的合一！」</w:t>
      </w:r>
      <w:r>
        <w:rPr>
          <w:rStyle w:val="FootnoteReference"/>
        </w:rPr>
        <w:footnoteReference w:id="403"/>
      </w:r>
      <w:r>
        <w:t xml:space="preserve">神是永恒的福乐、不朽的生命、不灭的光。神就是爱：圣父、圣子与圣灵。神自由旨意要把他有福生命的荣耀赐予我们。这就是那「慈爱的计划」，在创立世界以前，由父在他爱子的里面所拟定：借着「儿子的灵」，「他在爱中预定我们得儿子的名分」，并且「效法他儿子的模样」。</w:t>
      </w:r>
      <w:r>
        <w:rPr>
          <w:rStyle w:val="FootnoteReference"/>
        </w:rPr>
        <w:footnoteReference w:id="404"/>
      </w:r>
      <w:r>
        <w:t xml:space="preserve">这计划是「在万古之先，在基督耶稣里赐给我们」的恩典，直接源自三位一体的爱。</w:t>
      </w:r>
      <w:r>
        <w:rPr>
          <w:rStyle w:val="FootnoteReference"/>
        </w:rPr>
        <w:footnoteReference w:id="405"/>
      </w:r>
      <w:r>
        <w:t xml:space="preserve">它在创造工程、在堕落之后整部救恩史，以及在圣子与圣灵的使命之中展开，并在教会的使命中延续。</w:t>
      </w:r>
      <w:r>
        <w:rPr>
          <w:rStyle w:val="FootnoteReference"/>
        </w:rPr>
        <w:footnoteReference w:id="406"/>
      </w:r>
    </w:p>
    <w:p>
      <w:pPr>
        <w:pStyle w:val="BodyText"/>
      </w:pPr>
      <w:r>
        <w:t xml:space="preserve">整个救恩计划是三个位格共同的作为。因为三位一体只有一且同一的本性，所以也只有一且同一的作为：「父、子与圣灵并不是三种创造的根源，而是一个根源。」</w:t>
      </w:r>
      <w:r>
        <w:rPr>
          <w:rStyle w:val="FootnoteReference"/>
        </w:rPr>
        <w:footnoteReference w:id="407"/>
      </w:r>
      <w:r>
        <w:t xml:space="preserve">不过，每一位格都按其独特的位格属性来完成共同的工作。因此，教会遵循新约而宣认：「一神一父，万物都本于他；一主耶稣基督，万物都是借着他有的；一位圣灵，万物都在他里面。」</w:t>
      </w:r>
      <w:r>
        <w:rPr>
          <w:rStyle w:val="FootnoteReference"/>
        </w:rPr>
        <w:footnoteReference w:id="408"/>
      </w:r>
    </w:p>
    <w:p>
      <w:pPr>
        <w:pStyle w:val="BodyText"/>
      </w:pPr>
      <w:r>
        <w:t xml:space="preserve">作为既共同又各具位格特性的作为，整个救恩计划同时彰显三个位格各自的特性与他们唯一的神性。因此，整个基督徒生活就是与三个位格各自的共融，而毫无分割。凡荣耀父的，都是在圣灵里借着子而行；凡跟随基督的，都是因为父吸引他、圣灵感动他。</w:t>
      </w:r>
      <w:r>
        <w:rPr>
          <w:rStyle w:val="FootnoteReference"/>
        </w:rPr>
        <w:footnoteReference w:id="409"/>
      </w:r>
    </w:p>
    <w:p>
      <w:pPr>
        <w:pStyle w:val="BodyText"/>
      </w:pPr>
      <w:r>
        <w:t xml:space="preserve">整个救恩计划的最终目的，是使神的受造物进入可称颂的三位一体那完美的合一里。</w:t>
      </w:r>
      <w:r>
        <w:rPr>
          <w:rStyle w:val="FootnoteReference"/>
        </w:rPr>
        <w:footnoteReference w:id="410"/>
      </w:r>
      <w:r>
        <w:t xml:space="preserve">但即在当下，我们也被召成为至圣三位一体的居所；主说：「人若爱我，就必遵守我的道；我父也必爱他，并且我们要到他那里去，与他同住。」</w:t>
      </w:r>
      <w:r>
        <w:rPr>
          <w:rStyle w:val="FootnoteReference"/>
        </w:rPr>
        <w:footnoteReference w:id="411"/>
      </w:r>
    </w:p>
    <w:p>
      <w:pPr>
        <w:pStyle w:val="BlockText"/>
      </w:pPr>
      <w:r>
        <w:t xml:space="preserve">我主我的神啊，三位一体、我所敬拜的，求你帮助我完全忘却自己，好使我安居在你里面，如同我的灵魂已在永恒里般不动不摇、满有平安。愿没有任何事搅扰我的安宁，或使我离开你——我那不改变的神；愿每一分钟都使我更深入你的奥秘！求你赐我灵魂平安；使它成为你的天堂、你所爱的居所与安息之处。愿我永不在那里离弃你；愿我整全地留在那里，在信心上全然警醒，完全敬拜，并完全交托给你创造性的作为。</w:t>
      </w:r>
      <w:r>
        <w:rPr>
          <w:rStyle w:val="FootnoteReference"/>
        </w:rPr>
        <w:footnoteReference w:id="412"/>
      </w:r>
    </w:p>
    <w:bookmarkEnd w:id="413"/>
    <w:bookmarkStart w:id="414" w:name="综述-6"/>
    <w:p>
      <w:pPr>
        <w:pStyle w:val="Heading6"/>
      </w:pPr>
      <w:r>
        <w:t xml:space="preserve">综述</w:t>
      </w:r>
    </w:p>
    <w:p>
      <w:pPr>
        <w:pStyle w:val="FirstParagraph"/>
      </w:pPr>
      <w:r>
        <w:t xml:space="preserve">至圣三位一体的奥秘是基督信仰与生活的中心奥秘。唯有神能借着他自己启示为父、子、圣灵，使我们认识这奥秘。</w:t>
      </w:r>
    </w:p>
    <w:p>
      <w:pPr>
        <w:pStyle w:val="BodyText"/>
      </w:pPr>
      <w:r>
        <w:t xml:space="preserve">神子降生成人启示：神是永恒的父，而子与父同一本体；也就是说，在父里、与父同在，子与父同为独一的神。</w:t>
      </w:r>
    </w:p>
    <w:p>
      <w:pPr>
        <w:pStyle w:val="BodyText"/>
      </w:pPr>
      <w:r>
        <w:t xml:space="preserve">圣灵的使命，既是由父奉子的名差遣（约 14:26），也是由子「从父那里」所差（约 15:26），这启示：圣灵与父与子同为独一的神。「他同父及子同受敬拜，同受荣耀」（尼西亚信经）。</w:t>
      </w:r>
    </w:p>
    <w:p>
      <w:pPr>
        <w:pStyle w:val="BodyText"/>
      </w:pPr>
      <w:r>
        <w:t xml:space="preserve">「圣灵从父这第一根源而出，并且由于父将此永远地赐给子，因此也从父与子的共融而出」（圣奥古斯丁，《论三位一体》15,26,47：PL 42,1095）。</w:t>
      </w:r>
    </w:p>
    <w:p>
      <w:pPr>
        <w:pStyle w:val="BodyText"/>
      </w:pPr>
      <w:r>
        <w:t xml:space="preserve">借着「奉父、子、圣灵的名」的洗礼恩典，我们被召分享可称颂的三位一体的生命：在世上，以信心的幽暗来分享；死后，则在永恒的光中分享（参 保禄六世，CPG § 9）。</w:t>
      </w:r>
    </w:p>
    <w:p>
      <w:pPr>
        <w:pStyle w:val="BodyText"/>
      </w:pPr>
      <w:r>
        <w:t xml:space="preserve">「这就是大公信仰：我们在三位一体内敬拜独一的神，在合一内敬拜三位一体；既不混淆位格，也不分割本质。因为父是一位格，子是另一位格，圣灵是另一位格；但圣父、圣子、圣灵的神性是一，他们的荣耀相等，他们的尊威同永恒」（《亚他那修信经》：DS 75；ND 16）。</w:t>
      </w:r>
    </w:p>
    <w:p>
      <w:pPr>
        <w:pStyle w:val="BodyText"/>
      </w:pPr>
      <w:r>
        <w:t xml:space="preserve">三个位格在其所是上不可分，在其所行上也不可分；但在这唯一的神性作为里，每一位格都显出他在三位一体里的特有样式，尤其是在圣子降生成人与赐下圣灵这两项神的使命上。</w:t>
      </w:r>
    </w:p>
    <w:p>
      <w:r>
        <w:br w:type="page"/>
      </w:r>
    </w:p>
    <w:bookmarkEnd w:id="414"/>
    <w:bookmarkEnd w:id="415"/>
    <w:bookmarkStart w:id="429" w:name="第三条全能者"/>
    <w:p>
      <w:pPr>
        <w:pStyle w:val="Heading5"/>
      </w:pPr>
      <w:r>
        <w:t xml:space="preserve">第三条：全能者</w:t>
      </w:r>
    </w:p>
    <w:p>
      <w:pPr>
        <w:pStyle w:val="FirstParagraph"/>
      </w:pPr>
      <w:r>
        <w:t xml:space="preserve">在神一切属性中，信经只称名他的全能：对这能力的宣认与我们的生活大有关联。我们相信他的能力是</w:t>
      </w:r>
      <w:r>
        <w:rPr>
          <w:i/>
          <w:iCs/>
        </w:rPr>
        <w:t xml:space="preserve">普遍的</w:t>
      </w:r>
      <w:r>
        <w:t xml:space="preserve">，因为创造万有的神也统管万有、能行万事。神的能力是慈爱的，因为他是我们的父；也</w:t>
      </w:r>
      <w:r>
        <w:rPr>
          <w:i/>
          <w:iCs/>
        </w:rPr>
        <w:t xml:space="preserve">带着奥秘</w:t>
      </w:r>
      <w:r>
        <w:t xml:space="preserve">，因为只有在它「在人的软弱上显得完全」的时候，信心才能分辨它。</w:t>
      </w:r>
      <w:r>
        <w:rPr>
          <w:rStyle w:val="FootnoteReference"/>
        </w:rPr>
        <w:footnoteReference w:id="416"/>
      </w:r>
    </w:p>
    <w:p>
      <w:pPr>
        <w:pStyle w:val="BlockText"/>
      </w:pPr>
      <w:r>
        <w:t xml:space="preserve">「都随自己的意旨行事」</w:t>
      </w:r>
      <w:r>
        <w:rPr>
          <w:rStyle w:val="FootnoteReference"/>
        </w:rPr>
        <w:footnoteReference w:id="417"/>
      </w:r>
      <w:r>
        <w:t xml:space="preserve"> </w:t>
      </w:r>
      <w:r>
        <w:t xml:space="preserve">{ }</w:t>
      </w:r>
    </w:p>
    <w:p>
      <w:pPr>
        <w:pStyle w:val="FirstParagraph"/>
      </w:pPr>
      <w:r>
        <w:t xml:space="preserve">圣经一再宣认神普世性的权能。他被称为「雅各的大能者」、「万军之耶和华」、「大有能力的」。神之所以在「天上地下」全能，是因为他造了天与地。在神没有难成的事；他按着自己的旨意安排一切作为。他是宇宙的主，建立了宇宙的秩序，使之完全顺服于他、归他所用。他是历史的主，按着自己的旨意掌管人心与万事：「你随时都能显示你大能的手臂；谁能抵挡你臂膀的权势？」</w:t>
      </w:r>
      <w:r>
        <w:rPr>
          <w:rStyle w:val="FootnoteReference"/>
        </w:rPr>
        <w:footnoteReference w:id="418"/>
      </w:r>
    </w:p>
    <w:p>
      <w:pPr>
        <w:pStyle w:val="BlockText"/>
      </w:pPr>
      <w:r>
        <w:t xml:space="preserve">「你怜悯一切，因为你无所不能」</w:t>
      </w:r>
      <w:r>
        <w:rPr>
          <w:rStyle w:val="FootnoteReference"/>
        </w:rPr>
        <w:footnoteReference w:id="419"/>
      </w:r>
      <w:r>
        <w:t xml:space="preserve"> </w:t>
      </w:r>
      <w:r>
        <w:t xml:space="preserve">{ }</w:t>
      </w:r>
    </w:p>
    <w:p>
      <w:pPr>
        <w:pStyle w:val="FirstParagraph"/>
      </w:pPr>
      <w:r>
        <w:t xml:space="preserve">神是</w:t>
      </w:r>
      <w:r>
        <w:rPr>
          <w:i/>
          <w:iCs/>
        </w:rPr>
        <w:t xml:space="preserve">父</w:t>
      </w:r>
      <w:r>
        <w:t xml:space="preserve">、是全能者；他的父性与权能彼此阐明：神借着眷顾我们的需要，来启示他为父的全能；也借着收纳我们为子女（「我要作你们的父，你们要作我的儿女。这是全能的主说的」），</w:t>
      </w:r>
      <w:r>
        <w:rPr>
          <w:rStyle w:val="FootnoteReference"/>
        </w:rPr>
        <w:footnoteReference w:id="420"/>
      </w:r>
      <w:r>
        <w:t xml:space="preserve">最后也借着他无限的怜悯——因为他在自由赦罪时，最极致地显出他的能力。</w:t>
      </w:r>
    </w:p>
    <w:p>
      <w:pPr>
        <w:pStyle w:val="BodyText"/>
      </w:pPr>
      <w:r>
        <w:t xml:space="preserve">神的全能绝非任性：「在神里面，能力、本质、意志、理智、智慧与公义都是同一的。因此，凡不合乎他公义之旨意，或不合乎他智慧之理智的，就不可能在他的能力之中。」</w:t>
      </w:r>
      <w:r>
        <w:rPr>
          <w:rStyle w:val="FootnoteReference"/>
        </w:rPr>
        <w:footnoteReference w:id="421"/>
      </w:r>
    </w:p>
    <w:bookmarkStart w:id="427" w:name="神表面无力的奥秘"/>
    <w:p>
      <w:pPr>
        <w:pStyle w:val="Heading6"/>
      </w:pPr>
      <w:r>
        <w:t xml:space="preserve">神表面无力的奥秘</w:t>
      </w:r>
    </w:p>
    <w:p>
      <w:pPr>
        <w:pStyle w:val="FirstParagraph"/>
      </w:pPr>
      <w:r>
        <w:t xml:space="preserve">对全能圣父之神的信心，会在罪恶与苦难的经历中受试炼。有时神似乎不在场，似乎不能阻止恶事。然而，圣父在最神秘的方式里，藉着他儿子的自我谦卑与复活来启示他的全能，并借此战胜了罪恶。被钉的基督于是就成了「神的能力、神的智慧。因神的愚拙总比人智慧，神的软弱总比人强壮。」</w:t>
      </w:r>
      <w:r>
        <w:rPr>
          <w:rStyle w:val="FootnoteReference"/>
        </w:rPr>
        <w:footnoteReference w:id="422"/>
      </w:r>
      <w:r>
        <w:t xml:space="preserve">正是在基督的复活与被高举上，父显明了那「向我们这信的人所显的能力是何等浩大」。</w:t>
      </w:r>
      <w:r>
        <w:rPr>
          <w:rStyle w:val="FootnoteReference"/>
        </w:rPr>
        <w:footnoteReference w:id="423"/>
      </w:r>
    </w:p>
    <w:p>
      <w:pPr>
        <w:pStyle w:val="BodyText"/>
      </w:pPr>
      <w:r>
        <w:t xml:space="preserve">唯有信心能拥抱神全能之作为的奥秘。这信心因自己的软弱而夸口，为要引来基督的能力。</w:t>
      </w:r>
      <w:r>
        <w:rPr>
          <w:rStyle w:val="FootnoteReference"/>
        </w:rPr>
        <w:footnoteReference w:id="424"/>
      </w:r>
      <w:r>
        <w:t xml:space="preserve">童贞马利亚是这信心的最高典范，因为她相信「因为出于神的话，没有一句不带能力的」，并且能尊主为大：「那有权能的为我成就了大事；他的名为圣。」</w:t>
      </w:r>
      <w:r>
        <w:rPr>
          <w:rStyle w:val="FootnoteReference"/>
        </w:rPr>
        <w:footnoteReference w:id="425"/>
      </w:r>
    </w:p>
    <w:p>
      <w:pPr>
        <w:pStyle w:val="BodyText"/>
      </w:pPr>
      <w:r>
        <w:t xml:space="preserve">「最能坚固我们信心与盼望的，莫过于把『在神没有难成的事』牢牢记在心里。一旦理性把握了神全能的观念，它就会容易且毫不犹豫地接纳［信经］随后要我们相信的一切——即便那些事极其伟大奇妙，远远超越自然常则。」</w:t>
      </w:r>
      <w:r>
        <w:rPr>
          <w:rStyle w:val="FootnoteReference"/>
        </w:rPr>
        <w:footnoteReference w:id="426"/>
      </w:r>
    </w:p>
    <w:bookmarkEnd w:id="427"/>
    <w:bookmarkStart w:id="428" w:name="综述-7"/>
    <w:p>
      <w:pPr>
        <w:pStyle w:val="Heading6"/>
      </w:pPr>
      <w:r>
        <w:t xml:space="preserve">综述</w:t>
      </w:r>
    </w:p>
    <w:p>
      <w:pPr>
        <w:pStyle w:val="FirstParagraph"/>
      </w:pPr>
      <w:r>
        <w:t xml:space="preserve">我们与义人约伯一同宣认：「我知道，你万事都能作；你的旨意不能拦阻。」（伯 42:2）</w:t>
      </w:r>
    </w:p>
    <w:p>
      <w:pPr>
        <w:pStyle w:val="BodyText"/>
      </w:pPr>
      <w:r>
        <w:t xml:space="preserve">教会忠于圣经的见证，常在祈祷中称呼「全能永恒的神」（omnipotens sempiterne Deus…），坚信「在神没有难成的事」（创 18:14；路 1:37；太 19:26）。</w:t>
      </w:r>
    </w:p>
    <w:p>
      <w:pPr>
        <w:pStyle w:val="BodyText"/>
      </w:pPr>
      <w:r>
        <w:t xml:space="preserve">神借着使我们从罪中回转，并以恩典使我们重获与他的友谊，来彰显他的全能。「神啊，你主要在怜悯与宽恕中显示你的全能……」（《罗马弥撒经书》，常年期第二十六主日，集祷经）。</w:t>
      </w:r>
    </w:p>
    <w:p>
      <w:pPr>
        <w:pStyle w:val="BodyText"/>
      </w:pPr>
      <w:r>
        <w:t xml:space="preserve">如果我们不相信神的爱是全能的，我们怎么能相信圣父能创造我们、圣子能救赎我们、圣灵能使我们成圣呢？</w:t>
      </w:r>
    </w:p>
    <w:p>
      <w:r>
        <w:br w:type="page"/>
      </w:r>
    </w:p>
    <w:bookmarkEnd w:id="428"/>
    <w:bookmarkEnd w:id="429"/>
    <w:bookmarkStart w:id="504" w:name="第四条创造主"/>
    <w:p>
      <w:pPr>
        <w:pStyle w:val="Heading5"/>
      </w:pPr>
      <w:r>
        <w:t xml:space="preserve">第四条：创造主</w:t>
      </w:r>
    </w:p>
    <w:p>
      <w:pPr>
        <w:pStyle w:val="FirstParagraph"/>
      </w:pPr>
      <w:r>
        <w:t xml:space="preserve">「起初，神创造天地。」</w:t>
      </w:r>
      <w:r>
        <w:rPr>
          <w:rStyle w:val="FootnoteReference"/>
        </w:rPr>
        <w:footnoteReference w:id="430"/>
      </w:r>
      <w:r>
        <w:t xml:space="preserve">圣经就是以这些庄严的话开篇。信仰宣认也重述它们：我们宣认全能的圣父神是「创造天地的主」（《使徒信经》），是「一切可见与不可见万物的创始者」（《尼西亚信经》）。我们将先谈创造主，然后谈创造，最后谈堕入罪中，而神的儿子耶稣基督来使我们再度被举起。</w:t>
      </w:r>
    </w:p>
    <w:p>
      <w:pPr>
        <w:pStyle w:val="BodyText"/>
      </w:pPr>
      <w:r>
        <w:t xml:space="preserve">创造是「神一切救恩计划」的根基，是「救恩历史的开端」，</w:t>
      </w:r>
      <w:r>
        <w:rPr>
          <w:rStyle w:val="FootnoteReference"/>
        </w:rPr>
        <w:footnoteReference w:id="431"/>
      </w:r>
      <w:r>
        <w:t xml:space="preserve">而这救恩历史在基督里达到高峰。反过来说，基督的奥秘为创造的奥秘投下决定性的光芒，并启示了「起初神创造天地」的目的：从一开始，神就预见了在基督里的新造荣耀。</w:t>
      </w:r>
      <w:r>
        <w:rPr>
          <w:rStyle w:val="FootnoteReference"/>
        </w:rPr>
        <w:footnoteReference w:id="432"/>
      </w:r>
    </w:p>
    <w:p>
      <w:pPr>
        <w:pStyle w:val="BodyText"/>
      </w:pPr>
      <w:r>
        <w:t xml:space="preserve">因此，复活节守夜礼的读经——在基督里新创造的庆祝——以创世的记载开始；同样，在拜占庭礼仪中，创世的记载总是构成主的大节日守夜礼的第一篇读经。根据古代见证，慕道者为洗礼的教导遵循了相同的路线。</w:t>
      </w:r>
      <w:r>
        <w:rPr>
          <w:rStyle w:val="FootnoteReference"/>
        </w:rPr>
        <w:footnoteReference w:id="433"/>
      </w:r>
    </w:p>
    <w:bookmarkStart w:id="442" w:name="一关于创造的教理讲授"/>
    <w:p>
      <w:pPr>
        <w:pStyle w:val="Heading6"/>
      </w:pPr>
      <w:r>
        <w:t xml:space="preserve">一、关于创造的教理讲授</w:t>
      </w:r>
    </w:p>
    <w:p>
      <w:pPr>
        <w:pStyle w:val="FirstParagraph"/>
      </w:pPr>
      <w:r>
        <w:t xml:space="preserve">关于创造的教理讲授极其重要。它涉及人类与基督徒生活的根基：它把基督信仰对历世历代人们都在追问的根本问题的回应表明出来：</w:t>
      </w:r>
      <w:r>
        <w:rPr>
          <w:rStyle w:val="FootnoteReference"/>
        </w:rPr>
        <w:footnoteReference w:id="434"/>
      </w:r>
      <w:r>
        <w:t xml:space="preserve">「我们从哪里来？」「我们要往哪里去？」「我们的本源是什么？」「我们的终向是什么？」「一切存在之物从哪里来，又要往哪里去？」这两类问题——关于起源与关于终向——是不可分开的。它们决定我们生命与行为的意义与方向。</w:t>
      </w:r>
    </w:p>
    <w:p>
      <w:pPr>
        <w:pStyle w:val="BodyText"/>
      </w:pPr>
      <w:r>
        <w:t xml:space="preserve">关于世界和人类起源的问题，已成为众多科学研究的对象，这些研究极大地丰富了我们对宇宙年龄与维度、生命形态发展及人类出现的认知。这些发现促使我们更惊叹于创造主的伟大，推动我们为他的一切作为、以及他赐予学者与研究者的悟性与智慧献上感恩。他们可与所罗门同说：「是他赐给我关于存在之物的确切知识，使我知晓世界的构造与元素的运行……因为那塑造万物的智慧教导了我。」</w:t>
      </w:r>
      <w:r>
        <w:rPr>
          <w:rStyle w:val="FootnoteReference"/>
        </w:rPr>
        <w:footnoteReference w:id="435"/>
      </w:r>
    </w:p>
    <w:p>
      <w:pPr>
        <w:pStyle w:val="BodyText"/>
      </w:pPr>
      <w:r>
        <w:t xml:space="preserve">人们之所以如此热衷这些研究，很大程度上是出于另一类问题的激励，这些问题超出了自然科学本身的范围。问题不只是要知道宇宙在物理上何时、如何产生，或人类何时出现，而是要发现这起源的意义：宇宙是由偶然、盲目的宿命、无名的必然主宰，还是由一位超越的、智慧而良善的存在——被称为「神」——所主宰？如果世界确实出自神的智慧与良善，那么为什么会有恶？恶从哪里来？谁该为此负责？有没有从恶中被释放的可能？</w:t>
      </w:r>
    </w:p>
    <w:p>
      <w:pPr>
        <w:pStyle w:val="BodyText"/>
      </w:pPr>
      <w:r>
        <w:t xml:space="preserve">自始以来，基督信仰就不断面对与其不同的起源观之挑战。古代宗教与文化提出了许多关于起源的神话。有些哲学家说：一切就是神，世界就是神，或者世界的发展就是神的发展（泛神论）。另一些人说：世界是由神必然发出的流溢，且必然回归于他。还有人断言有两个永恒的本原，即善与恶、光明与黑暗，彼此陷于永久的冲突（两元论、摩尼教）。按某些见解，世界（至少物质世界）是恶的，是堕落的产物，因此应当被拒绝或抛弃（诺斯低）。有人承认世界是神造的，但认为如同一位造表者：做成之后就任其自运（自然神论）。最后，有人拒绝世界具有任何超越的本源，视之为永恒物质互动的结果（唯物论）。这些试图都见证了起源问题的持久性与普遍性；这追问是人类独有的。</w:t>
      </w:r>
    </w:p>
    <w:p>
      <w:pPr>
        <w:pStyle w:val="BodyText"/>
      </w:pPr>
      <w:r>
        <w:t xml:space="preserve">人类的理智确能对起源问题找到回应。凭人的理性之光，借着神的作为，人可以确知造物主神的存在，</w:t>
      </w:r>
      <w:r>
        <w:rPr>
          <w:rStyle w:val="FootnoteReference"/>
        </w:rPr>
        <w:footnoteReference w:id="436"/>
      </w:r>
      <w:r>
        <w:t xml:space="preserve">尽管这认识常被错误遮蔽或扭曲。因此，信心来证实并光照理性，使之正确地理解这真理：「我们因着信，就知道诸世界是借神话造成的，这样，所看见的，并不是从显然之物造出来的。」</w:t>
      </w:r>
      <w:r>
        <w:rPr>
          <w:rStyle w:val="FootnoteReference"/>
        </w:rPr>
        <w:footnoteReference w:id="437"/>
      </w:r>
    </w:p>
    <w:p>
      <w:pPr>
        <w:pStyle w:val="BodyText"/>
      </w:pPr>
      <w:r>
        <w:t xml:space="preserve">关于创造的真理对整个人类生活是如此重要，以至于神出于慈爱，乐意把关于此事一切有益于得救的真理启示给他的子民。超越每个人都能对造物主所拥有的自然知识之外，</w:t>
      </w:r>
      <w:r>
        <w:rPr>
          <w:rStyle w:val="FootnoteReference"/>
        </w:rPr>
        <w:footnoteReference w:id="438"/>
      </w:r>
      <w:r>
        <w:t xml:space="preserve">神逐步向以色列启示创造的奥秘。那位拣选先祖、领以色列出埃及、又因拣选以色列而造作且形成它的神，正启示他自己是全地万民与全地本身都属于他的那一位；他是那位独一的「造天造地者」。</w:t>
      </w:r>
      <w:r>
        <w:rPr>
          <w:rStyle w:val="FootnoteReference"/>
        </w:rPr>
        <w:footnoteReference w:id="439"/>
      </w:r>
    </w:p>
    <w:p>
      <w:pPr>
        <w:pStyle w:val="BodyText"/>
      </w:pPr>
      <w:r>
        <w:t xml:space="preserve">因此，关于创造的启示，与独一真神与其子民所立之约的启示与缔结，是不可分割的。创造被启示为走向此约的第一步，是对神全能之爱的首要且普遍的见证。</w:t>
      </w:r>
      <w:r>
        <w:rPr>
          <w:rStyle w:val="FootnoteReference"/>
        </w:rPr>
        <w:footnoteReference w:id="440"/>
      </w:r>
      <w:r>
        <w:t xml:space="preserve">于是，创造的真理也在先知的信息、诗篇与礼仪的祈祷，以及选民的智慧箴言中，以越来越有力的方式被表达出来。</w:t>
      </w:r>
      <w:r>
        <w:rPr>
          <w:rStyle w:val="FootnoteReference"/>
        </w:rPr>
        <w:footnoteReference w:id="441"/>
      </w:r>
    </w:p>
    <w:p>
      <w:pPr>
        <w:pStyle w:val="BodyText"/>
      </w:pPr>
      <w:r>
        <w:t xml:space="preserve">在众多关于创造的经文之中，《创世记》前三章占有独特的地位。从文学角度看，这些经文也许来源不一。受默示的作者把它们置于圣经之首，用庄严的语言表达创造的真理——创造在神里的起源与终向、它的秩序与良善、人的召命，最后还有罪的悲剧与救恩的盼望。在基督之光照耀下，并在整本圣经的合一与教会活的传统之中阅读，这些经文仍是关于「起初」诸奥秘——创造、堕落与救恩应许——教理讲授的主要泉源。</w:t>
      </w:r>
    </w:p>
    <w:bookmarkEnd w:id="442"/>
    <w:bookmarkStart w:id="449" w:name="二创造三位一体的作为"/>
    <w:p>
      <w:pPr>
        <w:pStyle w:val="Heading6"/>
      </w:pPr>
      <w:r>
        <w:t xml:space="preserve">二、创造——三位一体的作为</w:t>
      </w:r>
    </w:p>
    <w:p>
      <w:pPr>
        <w:pStyle w:val="FirstParagraph"/>
      </w:pPr>
      <w:r>
        <w:t xml:space="preserve">「起初，神创造天地」：</w:t>
      </w:r>
      <w:r>
        <w:rPr>
          <w:rStyle w:val="FootnoteReference"/>
        </w:rPr>
        <w:footnoteReference w:id="443"/>
      </w:r>
      <w:r>
        <w:t xml:space="preserve">在圣经开宗明义的这句话里肯定了三件事：永恒的神为一切在他自己以外的存在定下了开始；惟有他是创造者（「创造」一词——希伯来文 bara——的主语总是神）；一切存在的总体（用「天地」来表达）都依赖那位赐给它们存在者。</w:t>
      </w:r>
    </w:p>
    <w:p>
      <w:pPr>
        <w:pStyle w:val="BodyText"/>
      </w:pPr>
      <w:r>
        <w:t xml:space="preserve">「太初有道，道与神同在，道就是神……万物是借着他造的；凡被造的，没有一样不是借着他造的。」</w:t>
      </w:r>
      <w:r>
        <w:rPr>
          <w:rStyle w:val="FootnoteReference"/>
        </w:rPr>
        <w:footnoteReference w:id="444"/>
      </w:r>
      <w:r>
        <w:t xml:space="preserve">新约启示：神是藉那永恒的道——他所爱的儿子——创造了一切。在他里面，「万有都是靠他造的，无论是天上的、地上的……一切都是借着他造的，又是为他造的。他在万有之先；万有也靠他而立。」</w:t>
      </w:r>
      <w:r>
        <w:rPr>
          <w:rStyle w:val="FootnoteReference"/>
        </w:rPr>
        <w:footnoteReference w:id="445"/>
      </w:r>
      <w:r>
        <w:t xml:space="preserve">教会的信仰也同样宣认圣灵——「赐生命者」——的创造作为；他是「创造之灵」（Veni, Creator Spiritus），是「一切美善的泉源」。</w:t>
      </w:r>
      <w:r>
        <w:rPr>
          <w:rStyle w:val="FootnoteReference"/>
        </w:rPr>
        <w:footnoteReference w:id="446"/>
      </w:r>
    </w:p>
    <w:p>
      <w:pPr>
        <w:pStyle w:val="BodyText"/>
      </w:pPr>
      <w:r>
        <w:t xml:space="preserve">旧约暗示，而新约则揭示：圣子与圣灵的创造作为与圣父的作为不可分割。</w:t>
      </w:r>
      <w:r>
        <w:rPr>
          <w:rStyle w:val="FootnoteReference"/>
        </w:rPr>
        <w:footnoteReference w:id="447"/>
      </w:r>
      <w:r>
        <w:t xml:space="preserve">这种创造性的同工在教会信理中明确被肯定：「只有一位神……他是父、是神、是创造者、是作工者、是秩序的赐与者。他借着</w:t>
      </w:r>
      <w:r>
        <w:rPr>
          <w:i/>
          <w:iCs/>
        </w:rPr>
        <w:t xml:space="preserve">他自己</w:t>
      </w:r>
      <w:r>
        <w:t xml:space="preserve">造了一切，也就是借着他的道与他的智慧」，也就是「借着子与灵」，他们可谓是「他的双手」。</w:t>
      </w:r>
      <w:r>
        <w:rPr>
          <w:rStyle w:val="FootnoteReference"/>
        </w:rPr>
        <w:footnoteReference w:id="448"/>
      </w:r>
      <w:r>
        <w:t xml:space="preserve">创造是至圣三位一体的共同作为。</w:t>
      </w:r>
    </w:p>
    <w:bookmarkEnd w:id="449"/>
    <w:bookmarkStart w:id="455" w:name="三世界为神的荣耀而被造"/>
    <w:p>
      <w:pPr>
        <w:pStyle w:val="Heading6"/>
      </w:pPr>
      <w:r>
        <w:t xml:space="preserve">三、「世界为神的荣耀而被造」</w:t>
      </w:r>
    </w:p>
    <w:p>
      <w:pPr>
        <w:pStyle w:val="FirstParagraph"/>
      </w:pPr>
      <w:r>
        <w:t xml:space="preserve">这独一真神，凭着他自己的良善与「全能」，不是为增加他自己的福乐，也不是为成就他自己的完美，而是要藉着他赐给受造物的美善来彰显这完美；他在完全自由的决定中，「自时间之初，由无而有地创造了两类受造物：属灵的与属体的……」。</w:t>
      </w:r>
      <w:r>
        <w:rPr>
          <w:rStyle w:val="FootnoteReference"/>
        </w:rPr>
        <w:footnoteReference w:id="450"/>
      </w:r>
    </w:p>
    <w:p>
      <w:pPr>
        <w:pStyle w:val="BodyText"/>
      </w:pPr>
      <w:r>
        <w:t xml:space="preserve">这独一真神，凭着他自己的良善与「全能」，不是为增加他自己的福乐，也不是为成就他自己的完美，而是要藉着他赐给受造物的美善来彰显这完美；他在完全自由的决定中，「自时间之初，由无而有地创造了两类受造物：属灵的与属体的……」。</w:t>
      </w:r>
      <w:r>
        <w:rPr>
          <w:rStyle w:val="FootnoteReference"/>
        </w:rPr>
        <w:footnoteReference w:id="451"/>
      </w:r>
    </w:p>
    <w:p>
      <w:pPr>
        <w:pStyle w:val="BodyText"/>
      </w:pPr>
      <w:r>
        <w:t xml:space="preserve">神的荣耀，在于这份良善的彰显与沟通得以实现——世界正为此而被造。神「按着自己旨意所喜悦的，预定我们藉着耶稣基督得儿子的名分，</w:t>
      </w:r>
      <w:r>
        <w:rPr>
          <w:i/>
          <w:iCs/>
        </w:rPr>
        <w:t xml:space="preserve">使他荣耀的恩典得着称赞</w:t>
      </w:r>
      <w:r>
        <w:t xml:space="preserve">」，</w:t>
      </w:r>
      <w:r>
        <w:rPr>
          <w:rStyle w:val="FootnoteReference"/>
        </w:rPr>
        <w:footnoteReference w:id="452"/>
      </w:r>
      <w:r>
        <w:t xml:space="preserve">因为「神的荣耀，就是人充分地活着；而人的生命，就是见到神：如果神藉着创造的启示，已使住在地上的万物获得了生命，那么‘道’显明圣父，更何况会使见到神的人获得生命！」</w:t>
      </w:r>
      <w:r>
        <w:rPr>
          <w:rStyle w:val="FootnoteReference"/>
        </w:rPr>
        <w:footnoteReference w:id="453"/>
      </w:r>
      <w:r>
        <w:t xml:space="preserve">创造的最终目的，是「万物的造物主神，最终成为『万有之中的万有』，这样同时保证他的荣耀与我们的福乐。」</w:t>
      </w:r>
      <w:r>
        <w:rPr>
          <w:rStyle w:val="FootnoteReference"/>
        </w:rPr>
        <w:footnoteReference w:id="454"/>
      </w:r>
    </w:p>
    <w:bookmarkEnd w:id="455"/>
    <w:bookmarkStart w:id="476" w:name="四创造的奥秘"/>
    <w:p>
      <w:pPr>
        <w:pStyle w:val="Heading6"/>
      </w:pPr>
      <w:r>
        <w:t xml:space="preserve">四、创造的奥秘</w:t>
      </w:r>
    </w:p>
    <w:p>
      <w:pPr>
        <w:pStyle w:val="FirstParagraph"/>
      </w:pPr>
      <w:r>
        <w:rPr>
          <w:i/>
          <w:iCs/>
        </w:rPr>
        <w:t xml:space="preserve">神以智慧与爱来创造</w:t>
      </w:r>
      <w:r>
        <w:t xml:space="preserve"> </w:t>
      </w:r>
      <w:r>
        <w:t xml:space="preserve">{ }</w:t>
      </w:r>
    </w:p>
    <w:p>
      <w:pPr>
        <w:pStyle w:val="BodyText"/>
      </w:pPr>
      <w:r>
        <w:t xml:space="preserve">我们相信神按着他的智慧创造了世界。</w:t>
      </w:r>
      <w:r>
        <w:rPr>
          <w:rStyle w:val="FootnoteReference"/>
        </w:rPr>
        <w:footnoteReference w:id="456"/>
      </w:r>
      <w:r>
        <w:t xml:space="preserve"> </w:t>
      </w:r>
      <w:r>
        <w:t xml:space="preserve">这不是任何必然性、盲目的宿命或偶然的产物。我们相信它出自神的自由意志；他愿意使他的受造物分享他的本体、智慧和良善：「因为你创造万物，凭你的旨意它们存在并被造。」</w:t>
      </w:r>
      <w:r>
        <w:rPr>
          <w:rStyle w:val="FootnoteReference"/>
        </w:rPr>
        <w:footnoteReference w:id="457"/>
      </w:r>
      <w:r>
        <w:t xml:space="preserve"> </w:t>
      </w:r>
      <w:r>
        <w:t xml:space="preserve">因此诗人赞叹说：「耶和华啊，你的作为何其繁多！你用智慧造就了一切」；并且「耶和华对万有都良善，他的慈爱遍及他所造的一切」。</w:t>
      </w:r>
      <w:r>
        <w:rPr>
          <w:rStyle w:val="FootnoteReference"/>
        </w:rPr>
        <w:footnoteReference w:id="458"/>
      </w:r>
    </w:p>
    <w:p>
      <w:pPr>
        <w:pStyle w:val="BodyText"/>
      </w:pPr>
      <w:r>
        <w:rPr>
          <w:i/>
          <w:iCs/>
        </w:rPr>
        <w:t xml:space="preserve">神「由无而有地」创造</w:t>
      </w:r>
      <w:r>
        <w:t xml:space="preserve"> </w:t>
      </w:r>
      <w:r>
        <w:t xml:space="preserve">{ }</w:t>
      </w:r>
    </w:p>
    <w:p>
      <w:pPr>
        <w:pStyle w:val="BodyText"/>
      </w:pPr>
      <w:r>
        <w:t xml:space="preserve">如果神是从先在的质料造出世界，那有什么奇妙呢？人间的工匠能用现成的材料做出自己想做的东西；然而，神却是由无而有地造出他所愿的一切，借此彰显他的能力。</w:t>
      </w:r>
      <w:r>
        <w:rPr>
          <w:rStyle w:val="FootnoteReference"/>
        </w:rPr>
        <w:footnoteReference w:id="459"/>
      </w:r>
    </w:p>
    <w:p>
      <w:pPr>
        <w:pStyle w:val="BodyText"/>
      </w:pPr>
      <w:r>
        <w:t xml:space="preserve">如果神是从已有的物质中造出世界，那有什么特别之处呢？人类工匠可以用既定的材料随意制造，而神则以无中生有的方式彰显他的能力，创造他所愿的一切。</w:t>
      </w:r>
      <w:r>
        <w:rPr>
          <w:rStyle w:val="FootnoteReference"/>
        </w:rPr>
        <w:footnoteReference w:id="460"/>
      </w:r>
    </w:p>
    <w:p>
      <w:pPr>
        <w:pStyle w:val="BodyText"/>
      </w:pPr>
      <w:r>
        <w:t xml:space="preserve">「我不知道你们怎样在我腹中形成；不是我赐给你们生命和气息，也不是我安排你们每人的肢体机能。故此，那位创造宇宙、形成人类之初、并决定万物来由的造物主，因着他的怜悯，必要把生命与气息再还给你们，因为你们为他的法律而轻看了自己……你观察天与地，和其中的一切万物就该知道：神并不是用现成的东西造成万物的；人类也是这样被造成的。」</w:t>
      </w:r>
      <w:r>
        <w:rPr>
          <w:rStyle w:val="FootnoteReference"/>
        </w:rPr>
        <w:footnoteReference w:id="461"/>
      </w:r>
    </w:p>
    <w:p>
      <w:pPr>
        <w:pStyle w:val="BodyText"/>
      </w:pPr>
      <w:r>
        <w:t xml:space="preserve">我不知道你是如何在我子宫里形成的。我并非赋予你生命与气息，也不是我安排了你们每个人体内的元素。因此，造天地的主，塑造了人的起始，设计万物的起源，必在怜悯中再次赐予你们生命与气息，因为你们如今为他的律法而忘记了自己……「仰望天地，观看其中的一切，认识神并非用已有之物造它们。」人类亦是如此而生。</w:t>
      </w:r>
      <w:r>
        <w:rPr>
          <w:rStyle w:val="FootnoteReference"/>
        </w:rPr>
        <w:footnoteReference w:id="462"/>
      </w:r>
    </w:p>
    <w:p>
      <w:pPr>
        <w:pStyle w:val="BodyText"/>
      </w:pPr>
      <w:r>
        <w:t xml:space="preserve">既然神能由无而有地创造万有，他就也能借着圣灵，在罪人里面「造清洁的心」，</w:t>
      </w:r>
      <w:r>
        <w:rPr>
          <w:rStyle w:val="FootnoteReference"/>
        </w:rPr>
        <w:footnoteReference w:id="463"/>
      </w:r>
      <w:r>
        <w:t xml:space="preserve">并借着复活把身体的生命赐给死人。神「叫死人复活，使无变为有」。</w:t>
      </w:r>
      <w:r>
        <w:rPr>
          <w:rStyle w:val="FootnoteReference"/>
        </w:rPr>
        <w:footnoteReference w:id="464"/>
      </w:r>
      <w:r>
        <w:t xml:space="preserve">既然神曾借着他的话语使光从黑暗里照出来，他也能把信心之光赐给那些尚不认识他的人。</w:t>
      </w:r>
      <w:r>
        <w:rPr>
          <w:rStyle w:val="FootnoteReference"/>
        </w:rPr>
        <w:footnoteReference w:id="465"/>
      </w:r>
    </w:p>
    <w:p>
      <w:pPr>
        <w:pStyle w:val="BodyText"/>
      </w:pPr>
      <w:r>
        <w:rPr>
          <w:i/>
          <w:iCs/>
        </w:rPr>
        <w:t xml:space="preserve">神创造了有秩序且美好的世界</w:t>
      </w:r>
      <w:r>
        <w:t xml:space="preserve"> </w:t>
      </w:r>
      <w:r>
        <w:t xml:space="preserve">{ }</w:t>
      </w:r>
    </w:p>
    <w:p>
      <w:pPr>
        <w:pStyle w:val="BodyText"/>
      </w:pPr>
      <w:r>
        <w:t xml:space="preserve">因为神是借着智慧而创造，故他的创造是有秩序的：「你以尺度、数目和重量安排了一切。」</w:t>
      </w:r>
      <w:r>
        <w:rPr>
          <w:rStyle w:val="FootnoteReference"/>
        </w:rPr>
        <w:footnoteReference w:id="466"/>
      </w:r>
      <w:r>
        <w:t xml:space="preserve">宇宙是在永恒的道中并藉永恒的道——「那不能看见之神的像」——所造，指向人、也为人而设；人本身是按着「神的形象」被造，被召与神建立个人的关系。</w:t>
      </w:r>
      <w:r>
        <w:rPr>
          <w:rStyle w:val="FootnoteReference"/>
        </w:rPr>
        <w:footnoteReference w:id="467"/>
      </w:r>
      <w:r>
        <w:t xml:space="preserve">我们人的理性，分享了神智的光，能借着受造界明白神向我们所说的话，尽管这需要很大努力，并且只可在造物主及其作为面前以谦卑与敬畏的心来进行。</w:t>
      </w:r>
      <w:r>
        <w:rPr>
          <w:rStyle w:val="FootnoteReference"/>
        </w:rPr>
        <w:footnoteReference w:id="468"/>
      </w:r>
      <w:r>
        <w:t xml:space="preserve">因为创造出自神的良善，它就分享那良善——「神看着是好的……甚好」——</w:t>
      </w:r>
      <w:r>
        <w:rPr>
          <w:rStyle w:val="FootnoteReference"/>
        </w:rPr>
        <w:footnoteReference w:id="469"/>
      </w:r>
      <w:r>
        <w:t xml:space="preserve">因为神旨意将创造作为礼物赐给人，作为交付给人的产业。教会曾多次不得不为创造的良善辩护，包括为物质世界的良善辩护。</w:t>
      </w:r>
      <w:r>
        <w:rPr>
          <w:rStyle w:val="FootnoteReference"/>
        </w:rPr>
        <w:footnoteReference w:id="470"/>
      </w:r>
    </w:p>
    <w:p>
      <w:pPr>
        <w:pStyle w:val="BodyText"/>
      </w:pPr>
      <w:r>
        <w:rPr>
          <w:i/>
          <w:iCs/>
        </w:rPr>
        <w:t xml:space="preserve">神超越受造界，也临在其中</w:t>
      </w:r>
      <w:r>
        <w:t xml:space="preserve"> </w:t>
      </w:r>
      <w:r>
        <w:t xml:space="preserve">{ }</w:t>
      </w:r>
    </w:p>
    <w:p>
      <w:pPr>
        <w:pStyle w:val="BodyText"/>
      </w:pPr>
      <w:r>
        <w:t xml:space="preserve">神远超过他一切作为：「你将你的荣耀彰显于天。」</w:t>
      </w:r>
      <w:r>
        <w:rPr>
          <w:rStyle w:val="FootnoteReference"/>
        </w:rPr>
        <w:footnoteReference w:id="471"/>
      </w:r>
      <w:r>
        <w:t xml:space="preserve">的确，神的「大」是无法测度的。</w:t>
      </w:r>
      <w:r>
        <w:rPr>
          <w:rStyle w:val="FootnoteReference"/>
        </w:rPr>
        <w:footnoteReference w:id="472"/>
      </w:r>
      <w:r>
        <w:t xml:space="preserve">但因他是自由而至上的创造主，是一切存在的第一因，神又临在于他受造物最深处：「我们生活、动作、存留，都在乎他。」</w:t>
      </w:r>
      <w:r>
        <w:rPr>
          <w:rStyle w:val="FootnoteReference"/>
        </w:rPr>
        <w:footnoteReference w:id="473"/>
      </w:r>
      <w:r>
        <w:t xml:space="preserve">用圣奥古斯丁的话说，神「超越我的至高，也深入我的至内」。</w:t>
      </w:r>
      <w:r>
        <w:rPr>
          <w:rStyle w:val="FootnoteReference"/>
        </w:rPr>
        <w:footnoteReference w:id="474"/>
      </w:r>
    </w:p>
    <w:p>
      <w:pPr>
        <w:pStyle w:val="BodyText"/>
      </w:pPr>
      <w:r>
        <w:rPr>
          <w:i/>
          <w:iCs/>
        </w:rPr>
        <w:t xml:space="preserve">神扶持并保守受造界</w:t>
      </w:r>
      <w:r>
        <w:t xml:space="preserve"> </w:t>
      </w:r>
      <w:r>
        <w:t xml:space="preserve">{ }</w:t>
      </w:r>
    </w:p>
    <w:p>
      <w:pPr>
        <w:pStyle w:val="BodyText"/>
      </w:pPr>
      <w:r>
        <w:t xml:space="preserve">「在创造里，神并不把受造之物撇在自己手里。他不仅赐予它们存在和生存，而且在每时每刻扶持并维持它们的存在，使它们能够行动，并引导它们达到最终的终点。认识到对造物主的这种全然依赖，是智慧与自由、喜乐与信心的根源：」</w:t>
      </w:r>
    </w:p>
    <w:p>
      <w:pPr>
        <w:pStyle w:val="BodyText"/>
      </w:pPr>
      <w:r>
        <w:t xml:space="preserve">「因为你爱一切存在的事物，且不厌恶你所造的任何事物；若你恨它们，你根本不会造出任何东西。若不是你所愿，何以有事物得以存续？若不是你所呼召，何以有事物得以保存？你怜恤万物，因为它们是你的，主啊，你是爱活人的神。」</w:t>
      </w:r>
      <w:r>
        <w:rPr>
          <w:rStyle w:val="FootnoteReference"/>
        </w:rPr>
        <w:footnoteReference w:id="475"/>
      </w:r>
    </w:p>
    <w:bookmarkEnd w:id="476"/>
    <w:bookmarkStart w:id="502" w:name="五神实现他的计划神的护理"/>
    <w:p>
      <w:pPr>
        <w:pStyle w:val="Heading6"/>
      </w:pPr>
      <w:r>
        <w:t xml:space="preserve">五、神实现他的计划：神的护理</w:t>
      </w:r>
    </w:p>
    <w:p>
      <w:pPr>
        <w:pStyle w:val="FirstParagraph"/>
      </w:pPr>
      <w:r>
        <w:t xml:space="preserve">「创造本身具有善良和适当的完美，但它并非从造物主的手中一次性完整产生。宇宙是以「行旅的状态」(</w:t>
      </w:r>
      <w:r>
        <w:rPr>
          <w:i/>
          <w:iCs/>
        </w:rPr>
        <w:t xml:space="preserve">in statu viae</w:t>
      </w:r>
      <w:r>
        <w:t xml:space="preserve">) 被创造，正朝向尚未实现的终极完美前进，神已为其预定。我们称「神的供养」为神引导其创造走向此完美的安排：」</w:t>
      </w:r>
    </w:p>
    <w:p>
      <w:pPr>
        <w:pStyle w:val="BodyText"/>
      </w:pPr>
      <w:r>
        <w:t xml:space="preserve">「藉着他的供养，神保护并治理他所造的一切，「从地的一端大有能力地伸展到另一端，妥善安排万事」。因为「万事在他眼前都敞开显露」，即使是那些尚待受造之物自由行动而将要出现的事物也是如此。</w:t>
      </w:r>
      <w:r>
        <w:rPr>
          <w:rStyle w:val="FootnoteReference"/>
        </w:rPr>
        <w:footnoteReference w:id="477"/>
      </w:r>
      <w:r>
        <w:t xml:space="preserve">」</w:t>
      </w:r>
    </w:p>
    <w:p>
      <w:pPr>
        <w:pStyle w:val="BodyText"/>
      </w:pPr>
      <w:r>
        <w:t xml:space="preserve">圣经的见证一致表明：神的护理是具体而直接的；神眷顾一切，从最小的事到世界及其历史上的大事。圣书有力地肯定神对历史进程的绝对主权：「我们的神在天上，都随自己的意旨行事。」</w:t>
      </w:r>
      <w:r>
        <w:rPr>
          <w:rStyle w:val="FootnoteReference"/>
        </w:rPr>
        <w:footnoteReference w:id="478"/>
      </w:r>
      <w:r>
        <w:t xml:space="preserve">基督也是这样：「他开了就没有人能关，他关了就没有人能开。」</w:t>
      </w:r>
      <w:r>
        <w:rPr>
          <w:rStyle w:val="FootnoteReference"/>
        </w:rPr>
        <w:footnoteReference w:id="479"/>
      </w:r>
      <w:r>
        <w:t xml:space="preserve">《箴言》说：「人心多有计谋；惟有耶和华的筹算才能立定。」</w:t>
      </w:r>
      <w:r>
        <w:rPr>
          <w:rStyle w:val="FootnoteReference"/>
        </w:rPr>
        <w:footnoteReference w:id="480"/>
      </w:r>
    </w:p>
    <w:p>
      <w:pPr>
        <w:pStyle w:val="BodyText"/>
      </w:pPr>
      <w:r>
        <w:t xml:space="preserve">因此，我们看到作为圣经首要作者的圣灵，常常把某些作为直接归于神，而不提及任何次要原因。这并不是一种「原始的说法」，而是一个深刻的方式，提醒人神在历史与世界上的首要地位和绝对主权，</w:t>
      </w:r>
      <w:r>
        <w:rPr>
          <w:rStyle w:val="FootnoteReference"/>
        </w:rPr>
        <w:footnoteReference w:id="481"/>
      </w:r>
      <w:r>
        <w:t xml:space="preserve">并借此教育他的子民对他存信靠之心。诗篇的祈祷正是学习这信靠的大学校。</w:t>
      </w:r>
      <w:r>
        <w:rPr>
          <w:rStyle w:val="FootnoteReference"/>
        </w:rPr>
        <w:footnoteReference w:id="482"/>
      </w:r>
    </w:p>
    <w:p>
      <w:pPr>
        <w:pStyle w:val="BodyText"/>
      </w:pPr>
      <w:r>
        <w:t xml:space="preserve">耶稣要求我们像孩子一样，把自己交托给看顾我们、连小事也不忽略的天父的护理：「所以，不要忧虑说：『吃什么？喝什么？』……你们需用的这一切东西，你们的天父是知道的。你们要先求他的国和他的义，这些东西都要加给你们了。」</w:t>
      </w:r>
      <w:r>
        <w:rPr>
          <w:rStyle w:val="FootnoteReference"/>
        </w:rPr>
        <w:footnoteReference w:id="483"/>
      </w:r>
    </w:p>
    <w:p>
      <w:pPr>
        <w:pStyle w:val="BodyText"/>
      </w:pPr>
      <w:r>
        <w:rPr>
          <w:i/>
          <w:iCs/>
        </w:rPr>
        <w:t xml:space="preserve">护理与第二因</w:t>
      </w:r>
      <w:r>
        <w:t xml:space="preserve"> </w:t>
      </w:r>
      <w:r>
        <w:t xml:space="preserve">{ }</w:t>
      </w:r>
    </w:p>
    <w:p>
      <w:pPr>
        <w:pStyle w:val="BodyText"/>
      </w:pPr>
      <w:r>
        <w:t xml:space="preserve">神是他计划的主权主宰。但为了实施这计划，他也使用受造物的合作。这种使用不是软弱的标志，而是全能神的伟大和良善的记号。因为神不仅赐予受造物存在，也赐予他们自主行动的尊严，使他们能够彼此成为原因和原则，从而在完成他的计划中合作。</w:t>
      </w:r>
    </w:p>
    <w:p>
      <w:pPr>
        <w:pStyle w:val="BodyText"/>
      </w:pPr>
      <w:r>
        <w:t xml:space="preserve">神甚至赐给人类自由分担他护理的权柄，托付他们「治理」大地并掌管它的责任。</w:t>
      </w:r>
      <w:r>
        <w:rPr>
          <w:rStyle w:val="FootnoteReference"/>
        </w:rPr>
        <w:footnoteReference w:id="484"/>
      </w:r>
      <w:r>
        <w:t xml:space="preserve">神如此使人成为理性而自由的行动因，为要完成创造的工作，使其和谐更加完善，造福自己也造福邻舍。虽然人往往在不知不觉中与神的旨意合作，他们也可以通过自己的行为、祈祷和苦难，有意识地进入神的计划。</w:t>
      </w:r>
      <w:r>
        <w:rPr>
          <w:rStyle w:val="FootnoteReference"/>
        </w:rPr>
        <w:footnoteReference w:id="485"/>
      </w:r>
      <w:r>
        <w:t xml:space="preserve">这样，他们就完全成为「神的同工」，成为他国度的合作者。</w:t>
      </w:r>
      <w:r>
        <w:rPr>
          <w:rStyle w:val="FootnoteReference"/>
        </w:rPr>
        <w:footnoteReference w:id="486"/>
      </w:r>
    </w:p>
    <w:p>
      <w:pPr>
        <w:pStyle w:val="BodyText"/>
      </w:pPr>
      <w:r>
        <w:t xml:space="preserve">神在受造物一切行动中工作这一真理，与对创造主神的信仰不可分割。神是第一因，他在第二因中并藉着第二因而工作：「因为你们立志行事，都是神在你们心里运行，为要成就他的美意。」</w:t>
      </w:r>
      <w:r>
        <w:rPr>
          <w:rStyle w:val="FootnoteReference"/>
        </w:rPr>
        <w:footnoteReference w:id="487"/>
      </w:r>
      <w:r>
        <w:t xml:space="preserve">这真理非但不贬低受造物的尊严，反而提升它。受造物是由神的能力、智慧与良善从无有中被引出；若与其本源隔绝，它就什么也不能作，因为「没有创造主，受造物随即归于乌有」。</w:t>
      </w:r>
      <w:r>
        <w:rPr>
          <w:rStyle w:val="FootnoteReference"/>
        </w:rPr>
        <w:footnoteReference w:id="488"/>
      </w:r>
      <w:r>
        <w:t xml:space="preserve">更何况，没有神恩的帮助，受造物就更不可能达到其最终的归宿。</w:t>
      </w:r>
      <w:r>
        <w:rPr>
          <w:rStyle w:val="FootnoteReference"/>
        </w:rPr>
        <w:footnoteReference w:id="489"/>
      </w:r>
    </w:p>
    <w:p>
      <w:pPr>
        <w:pStyle w:val="BodyText"/>
      </w:pPr>
      <w:r>
        <w:rPr>
          <w:i/>
          <w:iCs/>
        </w:rPr>
        <w:t xml:space="preserve">护理与恶的绊脚石</w:t>
      </w:r>
      <w:r>
        <w:t xml:space="preserve"> </w:t>
      </w:r>
      <w:r>
        <w:t xml:space="preserve">{ }</w:t>
      </w:r>
    </w:p>
    <w:p>
      <w:pPr>
        <w:pStyle w:val="BodyText"/>
      </w:pPr>
      <w:r>
        <w:t xml:space="preserve">如果全能的天父神，那有序且美好世界的创造者，关怀他的一切受造物，为什么邪恶存在？对于这个问题，既紧迫又不可避免，既痛苦又神秘，没有快速的答案能足够。只有整个基督教信仰构成这个问题的答案：创造的良善、罪的戏剧、以及神通过他的约来与人相遇的忍耐之爱、他儿子的救赎性道成肉身、他赐下的圣灵、他聚集教会、圣事的能力、以及他呼召进入有福的生命——自由的受造物被邀请预先同意这个生命，但通过一个可怕的奥秘，他们也能预先拒绝。</w:t>
      </w:r>
      <w:r>
        <w:rPr>
          <w:i/>
          <w:iCs/>
        </w:rPr>
        <w:t xml:space="preserve">基督教信息的每一个方面都部分地回答了邪恶的问题。</w:t>
      </w:r>
    </w:p>
    <w:p>
      <w:pPr>
        <w:pStyle w:val="BodyText"/>
      </w:pPr>
      <w:r>
        <w:t xml:space="preserve">可为什么神不创造一个完美到不可能存在任何恶的世界呢？以无限的能力，神总能造出更好的东西。</w:t>
      </w:r>
      <w:r>
        <w:rPr>
          <w:rStyle w:val="FootnoteReference"/>
        </w:rPr>
        <w:footnoteReference w:id="490"/>
      </w:r>
      <w:r>
        <w:t xml:space="preserve">但以无限的智慧与良善，神自愿创造一个「在旅途中」的世界，使之走向最终的圆满。在神的计划里，这个生成的过程包含有些存在的出现与另一些存在的消逝，较不完美者与较完美者并存，自然界既有建构性的力量，也有破坏性的力量。只要受造界还未达到圆满，随着物质的善，也会并存着</w:t>
      </w:r>
      <w:r>
        <w:rPr>
          <w:i/>
          <w:iCs/>
        </w:rPr>
        <w:t xml:space="preserve">物质的恶</w:t>
      </w:r>
      <w:r>
        <w:t xml:space="preserve">。</w:t>
      </w:r>
      <w:r>
        <w:rPr>
          <w:rStyle w:val="FootnoteReference"/>
        </w:rPr>
        <w:footnoteReference w:id="491"/>
      </w:r>
    </w:p>
    <w:p>
      <w:pPr>
        <w:pStyle w:val="BodyText"/>
      </w:pPr>
      <w:r>
        <w:t xml:space="preserve">因为全能的神……既然他是至善的，若不是他如此全能又良善，甚至能使善从恶本身产生出来，他绝不会容许在他所造的万物里有任何恶存在。</w:t>
      </w:r>
      <w:r>
        <w:rPr>
          <w:rStyle w:val="FootnoteReference"/>
        </w:rPr>
        <w:footnoteReference w:id="492"/>
      </w:r>
    </w:p>
    <w:p>
      <w:pPr>
        <w:pStyle w:val="BodyText"/>
      </w:pPr>
      <w:r>
        <w:t xml:space="preserve">因为全能的神……既然他是至善的，若不是他如此全能又良善，甚至能使善从恶本身产生出来，他绝不会容许在他所造的万物里有任何恶存在。</w:t>
      </w:r>
      <w:r>
        <w:rPr>
          <w:rStyle w:val="FootnoteReference"/>
        </w:rPr>
        <w:footnoteReference w:id="493"/>
      </w:r>
    </w:p>
    <w:p>
      <w:pPr>
        <w:pStyle w:val="BodyText"/>
      </w:pPr>
      <w:r>
        <w:t xml:space="preserve">随着时间推进，我们会发现，全能的神在他的护理里，能使善从受造物所造成的恶的后果中出现，哪怕那是道德之恶：约瑟对他的弟兄们说：「差我到这里来的不是你们，乃是神。……从前你们的意思是要害我，但神的意思原是好的，要保全许多人的性命。」</w:t>
      </w:r>
      <w:r>
        <w:rPr>
          <w:rStyle w:val="FootnoteReference"/>
        </w:rPr>
        <w:footnoteReference w:id="494"/>
      </w:r>
      <w:r>
        <w:t xml:space="preserve">而从人类所犯过最大的道德之恶——因众人的罪而弃绝并杀害神的独生子——神却借着「恩典……就越发显多」，</w:t>
      </w:r>
      <w:r>
        <w:rPr>
          <w:rStyle w:val="FootnoteReference"/>
        </w:rPr>
        <w:footnoteReference w:id="495"/>
      </w:r>
      <w:r>
        <w:t xml:space="preserve">带来了至大的善：基督得荣耀，并且我们得了救赎。尽管如此，恶永远不会变成善。</w:t>
      </w:r>
    </w:p>
    <w:p>
      <w:pPr>
        <w:pStyle w:val="BodyText"/>
      </w:pPr>
      <w:r>
        <w:t xml:space="preserve">诺里奇的朱利安修女：「在这里，我蒙神的恩教导，要在信仰上坚定不移……同时也要立定心志，恳切地相信主在此时向我显明的——『一切都会好起来。』」</w:t>
      </w:r>
      <w:r>
        <w:rPr>
          <w:rStyle w:val="FootnoteReference"/>
        </w:rPr>
        <w:footnoteReference w:id="496"/>
      </w:r>
    </w:p>
    <w:p>
      <w:pPr>
        <w:pStyle w:val="BodyText"/>
      </w:pPr>
      <w:r>
        <w:t xml:space="preserve">锡耶纳的圣加大利纳对「那些因遭遇的事而跌倒并反叛的人」说：「一切都出于爱；所有事都是为人的得救而被安排；神所行的一切都以此为目的。」</w:t>
      </w:r>
      <w:r>
        <w:rPr>
          <w:rStyle w:val="FootnoteReference"/>
        </w:rPr>
        <w:footnoteReference w:id="497"/>
      </w:r>
      <w:r>
        <w:t xml:space="preserve"> </w:t>
      </w:r>
      <w:r>
        <w:t xml:space="preserve">{ }</w:t>
      </w:r>
    </w:p>
    <w:p>
      <w:pPr>
        <w:pStyle w:val="BodyText"/>
      </w:pPr>
      <w:r>
        <w:t xml:space="preserve">圣托马斯·莫尔在殉道前不久安慰他的女儿说：「除了神所愿意的，什么也不会临到我们。而且我十分笃定，无论那是什么事，哪怕看起来再不好，最后都必定是最好的。」</w:t>
      </w:r>
      <w:r>
        <w:rPr>
          <w:rStyle w:val="FootnoteReference"/>
        </w:rPr>
        <w:footnoteReference w:id="498"/>
      </w:r>
      <w:r>
        <w:t xml:space="preserve"> </w:t>
      </w:r>
      <w:r>
        <w:t xml:space="preserve">{ }</w:t>
      </w:r>
    </w:p>
    <w:p>
      <w:pPr>
        <w:pStyle w:val="BodyText"/>
      </w:pPr>
      <w:r>
        <w:t xml:space="preserve">诺里奇的朱利安修女：「在这里，我蒙神的恩教导，要在信仰上坚定不移……同时也要立定心志，恳切地相信主在此时向我显明的——『一切都会好起来。』」</w:t>
      </w:r>
      <w:r>
        <w:rPr>
          <w:rStyle w:val="FootnoteReference"/>
        </w:rPr>
        <w:footnoteReference w:id="499"/>
      </w:r>
    </w:p>
    <w:p>
      <w:pPr>
        <w:pStyle w:val="BodyText"/>
      </w:pPr>
      <w:r>
        <w:t xml:space="preserve">我们坚信神是世界和其历史的主宰。但他护理的道路，我们常常不能明白。唯有到了末了，当我们部分的知识止息，当我们「面对面」见到神时，</w:t>
      </w:r>
      <w:r>
        <w:rPr>
          <w:rStyle w:val="FootnoteReference"/>
        </w:rPr>
        <w:footnoteReference w:id="500"/>
      </w:r>
      <w:r>
        <w:t xml:space="preserve">我们才会完全认识他怎样——甚至借着恶与罪的悲剧——引导他的受造物进入他创造天地所指向的那最终的安息。</w:t>
      </w:r>
      <w:r>
        <w:rPr>
          <w:rStyle w:val="FootnoteReference"/>
        </w:rPr>
        <w:footnoteReference w:id="501"/>
      </w:r>
    </w:p>
    <w:bookmarkEnd w:id="502"/>
    <w:bookmarkStart w:id="503" w:name="综述-8"/>
    <w:p>
      <w:pPr>
        <w:pStyle w:val="Heading6"/>
      </w:pPr>
      <w:r>
        <w:t xml:space="preserve">综述</w:t>
      </w:r>
    </w:p>
    <w:p>
      <w:pPr>
        <w:pStyle w:val="FirstParagraph"/>
      </w:pPr>
      <w:r>
        <w:t xml:space="preserve">在创造世界与人时，神首先、普遍地见证了他全能的爱与他的智慧；这也是他那「慈爱计划」的首次宣告，而这计划在基督里的新造上达到目的。</w:t>
      </w:r>
    </w:p>
    <w:p>
      <w:pPr>
        <w:pStyle w:val="BodyText"/>
      </w:pPr>
      <w:r>
        <w:t xml:space="preserve">虽然创造的工作特别归于圣父，但同样属于信仰真理的是：圣父、圣子、圣灵同为创造的唯一且不可分割的根源。</w:t>
      </w:r>
    </w:p>
    <w:p>
      <w:pPr>
        <w:pStyle w:val="BodyText"/>
      </w:pPr>
      <w:r>
        <w:t xml:space="preserve">惟独神创造了这宇宙；他是自由地、直接地、且无须任何帮助地创造。</w:t>
      </w:r>
    </w:p>
    <w:p>
      <w:pPr>
        <w:pStyle w:val="BodyText"/>
      </w:pPr>
      <w:r>
        <w:t xml:space="preserve">没有任何受造物拥有足以「创造」——就其严格意义而言——所需的无限能力；也就是使本来全无存在的事物产生出来并赋予其存在（由无而有地使之存在）（参 DS 3624）。</w:t>
      </w:r>
    </w:p>
    <w:p>
      <w:pPr>
        <w:pStyle w:val="BodyText"/>
      </w:pPr>
      <w:r>
        <w:t xml:space="preserve">神创造世界是为彰显并沟通他的荣耀。使他的受造物分享他的真理、良善与美——这就是神创造它们所指向的荣耀。</w:t>
      </w:r>
    </w:p>
    <w:p>
      <w:pPr>
        <w:pStyle w:val="BodyText"/>
      </w:pPr>
      <w:r>
        <w:t xml:space="preserve">神创造了宇宙，并借着他的道使之存留；圣子「用他权能的命令托住万有」（</w:t>
      </w:r>
      <w:r>
        <w:rPr>
          <w:i/>
          <w:iCs/>
        </w:rPr>
        <w:t xml:space="preserve">来</w:t>
      </w:r>
      <w:r>
        <w:t xml:space="preserve"> </w:t>
      </w:r>
      <w:r>
        <w:t xml:space="preserve">1:3），并且借着他的创造之灵——那位赐生命者。</w:t>
      </w:r>
    </w:p>
    <w:p>
      <w:pPr>
        <w:pStyle w:val="BodyText"/>
      </w:pPr>
      <w:r>
        <w:t xml:space="preserve">神的护理，就是神以智慧和爱安排一切，使他的一切受造物走向它们最终的归宿。</w:t>
      </w:r>
    </w:p>
    <w:p>
      <w:pPr>
        <w:pStyle w:val="BodyText"/>
      </w:pPr>
      <w:r>
        <w:t xml:space="preserve">基督邀请我们以儿女的心信靠天父的护理（参</w:t>
      </w:r>
      <w:r>
        <w:rPr>
          <w:i/>
          <w:iCs/>
        </w:rPr>
        <w:t xml:space="preserve">太</w:t>
      </w:r>
      <w:r>
        <w:t xml:space="preserve"> </w:t>
      </w:r>
      <w:r>
        <w:t xml:space="preserve">6:26-34）；使徒彼得也重申：「你们要将一切的忧虑卸给神，因为他顾念你们」（</w:t>
      </w:r>
      <w:r>
        <w:rPr>
          <w:i/>
          <w:iCs/>
        </w:rPr>
        <w:t xml:space="preserve">彼前</w:t>
      </w:r>
      <w:r>
        <w:t xml:space="preserve"> </w:t>
      </w:r>
      <w:r>
        <w:t xml:space="preserve">5:7；参</w:t>
      </w:r>
      <w:r>
        <w:rPr>
          <w:i/>
          <w:iCs/>
        </w:rPr>
        <w:t xml:space="preserve">诗</w:t>
      </w:r>
      <w:r>
        <w:t xml:space="preserve"> </w:t>
      </w:r>
      <w:r>
        <w:t xml:space="preserve">55:23）。</w:t>
      </w:r>
    </w:p>
    <w:p>
      <w:pPr>
        <w:pStyle w:val="BodyText"/>
      </w:pPr>
      <w:r>
        <w:t xml:space="preserve">神的护理也通过受造物的行动来工作。神将能自由地与他的计划合作的能力赐给人。</w:t>
      </w:r>
    </w:p>
    <w:p>
      <w:pPr>
        <w:pStyle w:val="BodyText"/>
      </w:pPr>
      <w:r>
        <w:t xml:space="preserve">神容许物质之恶，甚至道德之恶，这是一个奥秘；神藉着他的儿子耶稣基督——他受死、复活，战胜了恶——来光照这奥秘。信心使我们确信：若不是神要以我们唯有在永生里才能完全认识的方式，使善从那同一的恶中产生，他决不会容许恶发生。</w:t>
      </w:r>
    </w:p>
    <w:p>
      <w:r>
        <w:br w:type="page"/>
      </w:r>
    </w:p>
    <w:bookmarkEnd w:id="503"/>
    <w:bookmarkEnd w:id="504"/>
    <w:bookmarkStart w:id="540" w:name="第五条天地"/>
    <w:p>
      <w:pPr>
        <w:pStyle w:val="Heading5"/>
      </w:pPr>
      <w:r>
        <w:t xml:space="preserve">第五条：天地</w:t>
      </w:r>
    </w:p>
    <w:p>
      <w:pPr>
        <w:pStyle w:val="FirstParagraph"/>
      </w:pPr>
      <w:r>
        <w:t xml:space="preserve">《使徒信经》宣认神是「创造天地的主」。《尼西亚信经》进一步明确：这宣认包括「一切有形无形的万有」。</w:t>
      </w:r>
    </w:p>
    <w:p>
      <w:pPr>
        <w:pStyle w:val="BodyText"/>
      </w:pPr>
      <w:r>
        <w:t xml:space="preserve">圣经里的「天地」一词，指的是一切存在之物，即整个受造界。它也指出在受造界深处那既连接天地，又将其区分开的纽带：「地」是人的世界；而「天」或「诸天」既可指穹苍，也可指神自己的「所在」——「我们在天上的父」，并因而也指末世的「天上」荣耀。最后，「天」还指圣徒，以及环绕神的属灵受造物——天使们——的「所在」。</w:t>
      </w:r>
      <w:r>
        <w:rPr>
          <w:rStyle w:val="FootnoteReference"/>
        </w:rPr>
        <w:footnoteReference w:id="505"/>
      </w:r>
    </w:p>
    <w:p>
      <w:pPr>
        <w:pStyle w:val="BodyText"/>
      </w:pPr>
      <w:r>
        <w:t xml:space="preserve">拉特朗第四届大公会议（1215）的信仰宣认指出：神「自时间之初，立时（</w:t>
      </w:r>
      <w:r>
        <w:rPr>
          <w:i/>
          <w:iCs/>
        </w:rPr>
        <w:t xml:space="preserve">simul</w:t>
      </w:r>
      <w:r>
        <w:t xml:space="preserve">）由无而有地创造了两类受造物：属灵的与属体的，也就是天使性的与地上的；随后（</w:t>
      </w:r>
      <w:r>
        <w:rPr>
          <w:i/>
          <w:iCs/>
        </w:rPr>
        <w:t xml:space="preserve">deinde</w:t>
      </w:r>
      <w:r>
        <w:t xml:space="preserve">）又创造了人这受造物，他可说是参与了两类秩序，因为他由灵与体所组成」。</w:t>
      </w:r>
      <w:r>
        <w:rPr>
          <w:rStyle w:val="FootnoteReference"/>
        </w:rPr>
        <w:footnoteReference w:id="506"/>
      </w:r>
    </w:p>
    <w:bookmarkStart w:id="523" w:name="一天使"/>
    <w:p>
      <w:pPr>
        <w:pStyle w:val="Heading6"/>
      </w:pPr>
      <w:r>
        <w:t xml:space="preserve">一、天使</w:t>
      </w:r>
    </w:p>
    <w:p>
      <w:pPr>
        <w:pStyle w:val="FirstParagraph"/>
      </w:pPr>
      <w:r>
        <w:rPr>
          <w:i/>
          <w:iCs/>
        </w:rPr>
        <w:t xml:space="preserve">天使的存在——信仰的真理</w:t>
      </w:r>
      <w:r>
        <w:t xml:space="preserve"> </w:t>
      </w:r>
      <w:r>
        <w:t xml:space="preserve">{ }</w:t>
      </w:r>
    </w:p>
    <w:p>
      <w:pPr>
        <w:pStyle w:val="BodyText"/>
      </w:pPr>
      <w:r>
        <w:t xml:space="preserve">那些属灵、非物质的存在者——圣经通常称为「天使」——的存在，是一项信仰真理。圣经的见证，与圣传的一致见证，同样清楚。</w:t>
      </w:r>
    </w:p>
    <w:p>
      <w:pPr>
        <w:pStyle w:val="BodyText"/>
      </w:pPr>
      <w:r>
        <w:rPr>
          <w:i/>
          <w:iCs/>
        </w:rPr>
        <w:t xml:space="preserve">他们是谁？</w:t>
      </w:r>
      <w:r>
        <w:t xml:space="preserve"> </w:t>
      </w:r>
      <w:r>
        <w:t xml:space="preserve">{ }</w:t>
      </w:r>
    </w:p>
    <w:p>
      <w:pPr>
        <w:pStyle w:val="BodyText"/>
      </w:pPr>
      <w:r>
        <w:t xml:space="preserve">「『天使』是他们职务的名称，不是他们本性的名称。若要问他们本性的名称，就是『灵』；若要问他们职务的名称，就是『天使』：就他们是什么而言，是『灵』；就他们所做的而言，是『天使』。」</w:t>
      </w:r>
      <w:r>
        <w:rPr>
          <w:rStyle w:val="FootnoteReference"/>
        </w:rPr>
        <w:footnoteReference w:id="507"/>
      </w:r>
      <w:r>
        <w:t xml:space="preserve">天使以其全存作神的</w:t>
      </w:r>
      <w:r>
        <w:rPr>
          <w:i/>
          <w:iCs/>
        </w:rPr>
        <w:t xml:space="preserve">仆役</w:t>
      </w:r>
      <w:r>
        <w:t xml:space="preserve">与使者。因为他们「常见我在天上的父的面」，他们就是那「听从他命令、成全他旨意、有大能的天使」。</w:t>
      </w:r>
      <w:r>
        <w:rPr>
          <w:rStyle w:val="FootnoteReference"/>
        </w:rPr>
        <w:footnoteReference w:id="508"/>
      </w:r>
    </w:p>
    <w:p>
      <w:pPr>
        <w:pStyle w:val="BodyText"/>
      </w:pPr>
      <w:r>
        <w:t xml:space="preserve">天使作为纯粹</w:t>
      </w:r>
      <w:r>
        <w:rPr>
          <w:i/>
          <w:iCs/>
        </w:rPr>
        <w:t xml:space="preserve">属灵</w:t>
      </w:r>
      <w:r>
        <w:t xml:space="preserve">的受造物，具备理智与意志：他们是有位格且不死的受造物，在完善上超越一切可见的受造物，他们荣耀的光辉为此作证。</w:t>
      </w:r>
      <w:r>
        <w:rPr>
          <w:rStyle w:val="FootnoteReference"/>
        </w:rPr>
        <w:footnoteReference w:id="509"/>
      </w:r>
    </w:p>
    <w:p>
      <w:pPr>
        <w:pStyle w:val="BodyText"/>
      </w:pPr>
      <w:r>
        <w:rPr>
          <w:i/>
          <w:iCs/>
        </w:rPr>
        <w:t xml:space="preserve">基督「与众天使同来」</w:t>
      </w:r>
      <w:r>
        <w:t xml:space="preserve"> </w:t>
      </w:r>
      <w:r>
        <w:t xml:space="preserve">{ }</w:t>
      </w:r>
    </w:p>
    <w:p>
      <w:pPr>
        <w:pStyle w:val="BodyText"/>
      </w:pPr>
      <w:r>
        <w:t xml:space="preserve">基督是天使世界的中心。他们是</w:t>
      </w:r>
      <w:r>
        <w:rPr>
          <w:i/>
          <w:iCs/>
        </w:rPr>
        <w:t xml:space="preserve">他的</w:t>
      </w:r>
      <w:r>
        <w:t xml:space="preserve">天使：「当人子在他荣耀里降临、同着众天使的时候……」</w:t>
      </w:r>
      <w:r>
        <w:rPr>
          <w:rStyle w:val="FootnoteReference"/>
        </w:rPr>
        <w:footnoteReference w:id="510"/>
      </w:r>
      <w:r>
        <w:t xml:space="preserve">他们属他，因为他们是</w:t>
      </w:r>
      <w:r>
        <w:rPr>
          <w:i/>
          <w:iCs/>
        </w:rPr>
        <w:t xml:space="preserve">藉着</w:t>
      </w:r>
      <w:r>
        <w:t xml:space="preserve">他、也</w:t>
      </w:r>
      <w:r>
        <w:rPr>
          <w:i/>
          <w:iCs/>
        </w:rPr>
        <w:t xml:space="preserve">为着</w:t>
      </w:r>
      <w:r>
        <w:t xml:space="preserve">他而被造：「因为万有都是靠他造的，无论是天上的、地上的、能看见的、不能看见的；或是有位的、主治的、执政的、掌权的；一概都是借着他造的，又是为他造的。」</w:t>
      </w:r>
      <w:r>
        <w:rPr>
          <w:rStyle w:val="FootnoteReference"/>
        </w:rPr>
        <w:footnoteReference w:id="511"/>
      </w:r>
      <w:r>
        <w:t xml:space="preserve">他们更属他，因为他使他们成为他救恩计划的使者：「天使岂不都是服役的灵，奉差遣为那将要承受救恩的人效力吗？」</w:t>
      </w:r>
      <w:r>
        <w:rPr>
          <w:rStyle w:val="FootnoteReference"/>
        </w:rPr>
        <w:footnoteReference w:id="512"/>
      </w:r>
    </w:p>
    <w:p>
      <w:pPr>
        <w:pStyle w:val="BodyText"/>
      </w:pPr>
      <w:r>
        <w:t xml:space="preserve">自创造之初并贯穿整个救恩历史，天使一直在场，或远或近地宣告救恩，并服事神计划的完成：他们封闭了地上的乐园；保护了罗得；拯救了夏甲与她的孩子；阻止了亚伯拉罕下手；借着他们的职事传达了律法；引领了神的子民；宣告了诞生与蒙召；并扶助了先知们——这里只略举其例。</w:t>
      </w:r>
      <w:r>
        <w:rPr>
          <w:rStyle w:val="FootnoteReference"/>
        </w:rPr>
        <w:footnoteReference w:id="513"/>
      </w:r>
      <w:r>
        <w:t xml:space="preserve">最后是天使加百列宣告了先锋者的诞生以及耶稣本人的降生。</w:t>
      </w:r>
      <w:r>
        <w:rPr>
          <w:rStyle w:val="FootnoteReference"/>
        </w:rPr>
        <w:footnoteReference w:id="514"/>
      </w:r>
    </w:p>
    <w:p>
      <w:pPr>
        <w:pStyle w:val="BodyText"/>
      </w:pPr>
      <w:r>
        <w:t xml:space="preserve">从降生成人到升天，降生为人的道的一生，都被天使的朝拜与服事所环绕。当神「使长子到世上来的时候，就说：『神的使者都要拜他。』」</w:t>
      </w:r>
      <w:r>
        <w:rPr>
          <w:rStyle w:val="FootnoteReference"/>
        </w:rPr>
        <w:footnoteReference w:id="515"/>
      </w:r>
      <w:r>
        <w:t xml:space="preserve">他们在基督诞生时的颂歌，至今仍在教会的赞美中回荡：「在至高之处荣耀归与神！」</w:t>
      </w:r>
      <w:r>
        <w:rPr>
          <w:rStyle w:val="FootnoteReference"/>
        </w:rPr>
        <w:footnoteReference w:id="516"/>
      </w:r>
      <w:r>
        <w:t xml:space="preserve">他们在主幼年时保护他；在旷野服事他；在客西马尼加添他力量——那时他本可以像以色列那样，借天使之手从仇敌手中得拯救。</w:t>
      </w:r>
      <w:r>
        <w:rPr>
          <w:rStyle w:val="FootnoteReference"/>
        </w:rPr>
        <w:footnoteReference w:id="517"/>
      </w:r>
      <w:r>
        <w:t xml:space="preserve">又是天使「传福音」，宣告基督的降生成人与复活的喜讯。</w:t>
      </w:r>
      <w:r>
        <w:rPr>
          <w:rStyle w:val="FootnoteReference"/>
        </w:rPr>
        <w:footnoteReference w:id="518"/>
      </w:r>
      <w:r>
        <w:t xml:space="preserve">在基督再临时，他们也要同在、要宣告，并在他的审判中服事。</w:t>
      </w:r>
      <w:r>
        <w:rPr>
          <w:rStyle w:val="FootnoteReference"/>
        </w:rPr>
        <w:footnoteReference w:id="519"/>
      </w:r>
    </w:p>
    <w:p>
      <w:pPr>
        <w:pStyle w:val="BodyText"/>
      </w:pPr>
      <w:r>
        <w:rPr>
          <w:i/>
          <w:iCs/>
        </w:rPr>
        <w:t xml:space="preserve">天使在教会生活中的地位</w:t>
      </w:r>
      <w:r>
        <w:t xml:space="preserve"> </w:t>
      </w:r>
      <w:r>
        <w:t xml:space="preserve">{ }</w:t>
      </w:r>
    </w:p>
    <w:p>
      <w:pPr>
        <w:pStyle w:val="BodyText"/>
      </w:pPr>
      <w:r>
        <w:t xml:space="preserve">与此同时，教会的整个生活都得益于天使那神秘而有力的帮助。</w:t>
      </w:r>
      <w:r>
        <w:rPr>
          <w:rStyle w:val="FootnoteReference"/>
        </w:rPr>
        <w:footnoteReference w:id="520"/>
      </w:r>
    </w:p>
    <w:p>
      <w:pPr>
        <w:pStyle w:val="BodyText"/>
      </w:pPr>
      <w:r>
        <w:t xml:space="preserve">在礼仪中，教会与天使一同敬拜三次圣的神。她也呼求他们的帮助（在殡葬礼仪中的</w:t>
      </w:r>
      <w:r>
        <w:t xml:space="preserve"> </w:t>
      </w:r>
      <w:r>
        <w:rPr>
          <w:i/>
          <w:iCs/>
        </w:rPr>
        <w:t xml:space="preserve">In Paradisum deducant te angeli</w:t>
      </w:r>
      <w:r>
        <w:t xml:space="preserve">……［「愿天使领你进入乐园……」］）。此外，在拜占庭礼仪的「基路伯圣歌」中，教会也更特别地纪念若干位天使（圣米迦勒、圣加百列、圣拉斐尔，以及守护天使）。</w:t>
      </w:r>
    </w:p>
    <w:p>
      <w:pPr>
        <w:pStyle w:val="BodyText"/>
      </w:pPr>
      <w:r>
        <w:t xml:space="preserve">自始至终，人的一生都被他们警醒的看顾与代祷所环绕。</w:t>
      </w:r>
      <w:r>
        <w:rPr>
          <w:rStyle w:val="FootnoteReference"/>
        </w:rPr>
        <w:footnoteReference w:id="521"/>
      </w:r>
      <w:r>
        <w:t xml:space="preserve">「在每位信徒身旁，都有一位天使作护卫与牧者，引领他走向生命。」</w:t>
      </w:r>
      <w:r>
        <w:rPr>
          <w:rStyle w:val="FootnoteReference"/>
        </w:rPr>
        <w:footnoteReference w:id="522"/>
      </w:r>
      <w:r>
        <w:t xml:space="preserve">在世之时，基督徒生活就已凭信心分担那在神里与天使和人同在的福分。</w:t>
      </w:r>
    </w:p>
    <w:bookmarkEnd w:id="523"/>
    <w:bookmarkStart w:id="538" w:name="二可见的世界"/>
    <w:p>
      <w:pPr>
        <w:pStyle w:val="Heading6"/>
      </w:pPr>
      <w:r>
        <w:t xml:space="preserve">二、可见的世界</w:t>
      </w:r>
    </w:p>
    <w:p>
      <w:pPr>
        <w:pStyle w:val="FirstParagraph"/>
      </w:pPr>
      <w:r>
        <w:t xml:space="preserve">神亲自创造了这可见的世界，使其充满丰富、多样与秩序。圣经以象征性的方式，把创造主的工作描绘为神六日「工作」的连续，而以第七日的「安息」结束。</w:t>
      </w:r>
      <w:r>
        <w:rPr>
          <w:rStyle w:val="FootnoteReference"/>
        </w:rPr>
        <w:footnoteReference w:id="524"/>
      </w:r>
      <w:r>
        <w:t xml:space="preserve">关于创造，圣书教导神为我们得救所启示的真理，</w:t>
      </w:r>
      <w:r>
        <w:rPr>
          <w:rStyle w:val="FootnoteReference"/>
        </w:rPr>
        <w:footnoteReference w:id="525"/>
      </w:r>
      <w:r>
        <w:t xml:space="preserve">使我们可以「认出整个受造界的本质、价值与秩序，皆为赞美神」。</w:t>
      </w:r>
      <w:r>
        <w:rPr>
          <w:rStyle w:val="FootnoteReference"/>
        </w:rPr>
        <w:footnoteReference w:id="526"/>
      </w:r>
    </w:p>
    <w:p>
      <w:pPr>
        <w:pStyle w:val="BodyText"/>
      </w:pPr>
      <w:r>
        <w:rPr>
          <w:i/>
          <w:iCs/>
        </w:rPr>
        <w:t xml:space="preserve">没有任何存在不是赖造物主神而存在的</w:t>
      </w:r>
      <w:r>
        <w:t xml:space="preserve">。当神的话把世界由无引入有时，世界便开始了；一切现存之物、整个自然界与整个人类历史，都扎根于这起初的事件——藉此世界被建立、时间开始。</w:t>
      </w:r>
      <w:r>
        <w:rPr>
          <w:rStyle w:val="FootnoteReference"/>
        </w:rPr>
        <w:footnoteReference w:id="527"/>
      </w:r>
    </w:p>
    <w:p>
      <w:pPr>
        <w:pStyle w:val="BodyText"/>
      </w:pPr>
      <w:r>
        <w:rPr>
          <w:i/>
          <w:iCs/>
        </w:rPr>
        <w:t xml:space="preserve">每一样受造物都有其特有的良善与完善</w:t>
      </w:r>
      <w:r>
        <w:t xml:space="preserve">。关于「六日」中各项作为，圣经都说：「神看着是好的。」而且「因着创造的本性，物质存在被赋予其自身的稳固、真实与卓越，及其自身的秩序与法则」。</w:t>
      </w:r>
      <w:r>
        <w:rPr>
          <w:rStyle w:val="FootnoteReference"/>
        </w:rPr>
        <w:footnoteReference w:id="528"/>
      </w:r>
      <w:r>
        <w:t xml:space="preserve">各样受造物都在其被神所愿的存在中，以各自的方式反映出神无限智慧与良善的一缕光辉。所以，人必须尊重每个受造物特有的良善，避免任何对万物的紊乱使用，因为那等于轻视创造主，并将给人类及其环境带来灾难性的后果。</w:t>
      </w:r>
    </w:p>
    <w:p>
      <w:pPr>
        <w:pStyle w:val="BodyText"/>
      </w:pPr>
      <w:r>
        <w:t xml:space="preserve">神愿意受造物</w:t>
      </w:r>
      <w:r>
        <w:rPr>
          <w:i/>
          <w:iCs/>
        </w:rPr>
        <w:t xml:space="preserve">彼此互赖</w:t>
      </w:r>
      <w:r>
        <w:t xml:space="preserve">。日与月、香柏与小花、鹰与麻雀：它们不可胜数的差异与不等，向我们表明：没有任何受造物可以自给自足。受造物唯有互相依存、彼此成全、彼此服务，才能存在。</w:t>
      </w:r>
    </w:p>
    <w:p>
      <w:pPr>
        <w:pStyle w:val="BodyText"/>
      </w:pPr>
      <w:r>
        <w:t xml:space="preserve">宇宙的</w:t>
      </w:r>
      <w:r>
        <w:rPr>
          <w:i/>
          <w:iCs/>
        </w:rPr>
        <w:t xml:space="preserve">美</w:t>
      </w:r>
      <w:r>
        <w:t xml:space="preserve">：受造世界的秩序与和谐，来自万有的多样以及它们彼此之间的关系。人逐步把这些发现为自然律。它们引发学者的惊叹。受造的美反映造物主无穷的美，并当激发人的理智与意志予以尊敬与顺服。</w:t>
      </w:r>
    </w:p>
    <w:p>
      <w:pPr>
        <w:pStyle w:val="BodyText"/>
      </w:pPr>
      <w:r>
        <w:t xml:space="preserve">受造物的</w:t>
      </w:r>
      <w:r>
        <w:rPr>
          <w:i/>
          <w:iCs/>
        </w:rPr>
        <w:t xml:space="preserve">层级</w:t>
      </w:r>
      <w:r>
        <w:t xml:space="preserve">，由「六日」的秩序表达出来：从较不完美到较完美。神爱他一切的受造物，</w:t>
      </w:r>
      <w:r>
        <w:rPr>
          <w:rStyle w:val="FootnoteReference"/>
        </w:rPr>
        <w:footnoteReference w:id="529"/>
      </w:r>
      <w:r>
        <w:t xml:space="preserve">并顾念每一个，连麻雀也不例外。然而，耶稣说：「你们比许多麻雀还贵重。」又说：「人比羊何等贵重呢！」</w:t>
      </w:r>
      <w:r>
        <w:rPr>
          <w:rStyle w:val="FootnoteReference"/>
        </w:rPr>
        <w:footnoteReference w:id="530"/>
      </w:r>
    </w:p>
    <w:p>
      <w:pPr>
        <w:pStyle w:val="BodyText"/>
      </w:pPr>
      <w:r>
        <w:t xml:space="preserve">人是创造主工作之</w:t>
      </w:r>
      <w:r>
        <w:rPr>
          <w:i/>
          <w:iCs/>
        </w:rPr>
        <w:t xml:space="preserve">巅峰</w:t>
      </w:r>
      <w:r>
        <w:t xml:space="preserve">，正如受默示的记载通过清楚地区分人的受造与其他受造物的受造来表达的。</w:t>
      </w:r>
      <w:r>
        <w:rPr>
          <w:rStyle w:val="FootnoteReference"/>
        </w:rPr>
        <w:footnoteReference w:id="531"/>
      </w:r>
    </w:p>
    <w:p>
      <w:pPr>
        <w:pStyle w:val="BodyText"/>
      </w:pPr>
      <w:r>
        <w:t xml:space="preserve">一切受造物之间存在着</w:t>
      </w:r>
      <w:r>
        <w:rPr>
          <w:i/>
          <w:iCs/>
        </w:rPr>
        <w:t xml:space="preserve">相通</w:t>
      </w:r>
      <w:r>
        <w:t xml:space="preserve">，因为它们都有同一位创造主，并且都指向他的荣耀：主啊，愿你在你的一切受造物上受赞美，尤其在我们的兄弟太阳上受赞美；借着他，你赐给我们白日的光明；他美丽，放射伟大的光辉，向我们显示你至高者的标记…… { }</w:t>
      </w:r>
    </w:p>
    <w:p>
      <w:pPr>
        <w:pStyle w:val="BlockText"/>
      </w:pPr>
      <w:r>
        <w:t xml:space="preserve">主啊，愿你因我们的姊妹——水——受赞美，她非常有用而谦卑，宝贵而纯洁……</w:t>
      </w:r>
      <w:r>
        <w:t xml:space="preserve"> </w:t>
      </w:r>
      <w:r>
        <w:t xml:space="preserve">主啊，愿你因我们的姊妹——大地——受赞美；她是我们的母亲，怀抱我们、供养我们，生出各样果子、繁花与青草……</w:t>
      </w:r>
      <w:r>
        <w:t xml:space="preserve"> </w:t>
      </w:r>
      <w:r>
        <w:t xml:space="preserve">请赞美并称颂我的主，感谢他，并以全然谦卑之心事奉他。</w:t>
      </w:r>
      <w:r>
        <w:rPr>
          <w:rStyle w:val="FootnoteReference"/>
        </w:rPr>
        <w:footnoteReference w:id="532"/>
      </w:r>
    </w:p>
    <w:p>
      <w:pPr>
        <w:pStyle w:val="FirstParagraph"/>
      </w:pPr>
      <w:r>
        <w:rPr>
          <w:i/>
          <w:iCs/>
        </w:rPr>
        <w:t xml:space="preserve">安息日——六日工作的终点</w:t>
      </w:r>
      <w:r>
        <w:t xml:space="preserve">。圣书说：「到第七日，神造物的工已经完毕」，「天地万物都造齐了」，且神在这一天「歇了他一切的工」，并将其分别为圣、赐予祝福。</w:t>
      </w:r>
      <w:r>
        <w:rPr>
          <w:rStyle w:val="FootnoteReference"/>
        </w:rPr>
        <w:footnoteReference w:id="533"/>
      </w:r>
      <w:r>
        <w:t xml:space="preserve">这些受默示的话语，富含许多有益的教导：</w:t>
      </w:r>
    </w:p>
    <w:p>
      <w:pPr>
        <w:pStyle w:val="BodyText"/>
      </w:pPr>
      <w:r>
        <w:t xml:space="preserve">在创造中，神奠立了根基，制定了长存不变的法则；信徒可以坦然依靠它们，因为它们是神之约不动摇之信实的记号与凭据。</w:t>
      </w:r>
      <w:r>
        <w:rPr>
          <w:rStyle w:val="FootnoteReference"/>
        </w:rPr>
        <w:footnoteReference w:id="534"/>
      </w:r>
      <w:r>
        <w:t xml:space="preserve">而人则必须对这根基保持忠信，并尊重造物主写在其中的律例。</w:t>
      </w:r>
    </w:p>
    <w:p>
      <w:pPr>
        <w:pStyle w:val="BodyText"/>
      </w:pPr>
      <w:r>
        <w:t xml:space="preserve">创造是为了安息日而安排的，因此也是为敬拜与朝拜神而设的。敬拜被铭刻在创造的秩序里。</w:t>
      </w:r>
      <w:r>
        <w:rPr>
          <w:rStyle w:val="FootnoteReference"/>
        </w:rPr>
        <w:footnoteReference w:id="535"/>
      </w:r>
      <w:r>
        <w:t xml:space="preserve">正如圣本笃会规所说，任何事都不该凌驾于「神的事业」之上，也就是庄严的敬奉。</w:t>
      </w:r>
      <w:r>
        <w:rPr>
          <w:rStyle w:val="FootnoteReference"/>
        </w:rPr>
        <w:footnoteReference w:id="536"/>
      </w:r>
      <w:r>
        <w:t xml:space="preserve">这指出了人类关怀之事的正确次序。</w:t>
      </w:r>
    </w:p>
    <w:p>
      <w:pPr>
        <w:pStyle w:val="BodyText"/>
      </w:pPr>
      <w:r>
        <w:t xml:space="preserve">安息日位于以色列律法的核心。遵守诫命，就是顺从神在创造工程中所表达的智慧与旨意。</w:t>
      </w:r>
    </w:p>
    <w:p>
      <w:pPr>
        <w:pStyle w:val="BodyText"/>
      </w:pPr>
      <w:r>
        <w:rPr>
          <w:i/>
          <w:iCs/>
        </w:rPr>
        <w:t xml:space="preserve">第八日</w:t>
      </w:r>
      <w:r>
        <w:t xml:space="preserve">。但对我们来说，一个新的一天已经来临：基督复活的日子。第七日完成了最初的创造；第八日开启了新的创造。因此，创造之工以更大的救赎之工为顶峰。第一次的创造在基督里的新造中找到它的意义与高峰，而新造的荣光超过第一次的创造。</w:t>
      </w:r>
      <w:r>
        <w:rPr>
          <w:rStyle w:val="FootnoteReference"/>
        </w:rPr>
        <w:footnoteReference w:id="537"/>
      </w:r>
    </w:p>
    <w:bookmarkEnd w:id="538"/>
    <w:bookmarkStart w:id="539" w:name="综述-9"/>
    <w:p>
      <w:pPr>
        <w:pStyle w:val="Heading6"/>
      </w:pPr>
      <w:r>
        <w:t xml:space="preserve">综述</w:t>
      </w:r>
    </w:p>
    <w:p>
      <w:pPr>
        <w:pStyle w:val="FirstParagraph"/>
      </w:pPr>
      <w:r>
        <w:t xml:space="preserve">天使是属灵的受造物，不住地颂扬神，并为他对其他受造物的救恩计划效力：「天使彼此同工，惠及我们众人」（圣托马斯·阿奎那，</w:t>
      </w:r>
      <w:r>
        <w:rPr>
          <w:i/>
          <w:iCs/>
        </w:rPr>
        <w:t xml:space="preserve">STh</w:t>
      </w:r>
      <w:r>
        <w:t xml:space="preserve"> </w:t>
      </w:r>
      <w:r>
        <w:t xml:space="preserve">I, 114, 3，</w:t>
      </w:r>
      <w:r>
        <w:rPr>
          <w:i/>
          <w:iCs/>
        </w:rPr>
        <w:t xml:space="preserve">ad</w:t>
      </w:r>
      <w:r>
        <w:t xml:space="preserve"> </w:t>
      </w:r>
      <w:r>
        <w:t xml:space="preserve">3）。</w:t>
      </w:r>
    </w:p>
    <w:p>
      <w:pPr>
        <w:pStyle w:val="BodyText"/>
      </w:pPr>
      <w:r>
        <w:t xml:space="preserve">天使环绕他们的主基督，尤其在他向人完成救恩使命时服事他。</w:t>
      </w:r>
    </w:p>
    <w:p>
      <w:pPr>
        <w:pStyle w:val="BodyText"/>
      </w:pPr>
      <w:r>
        <w:t xml:space="preserve">教会敬奉那些在她在世旅程中帮助她，并护佑每一个人的天使。</w:t>
      </w:r>
    </w:p>
    <w:p>
      <w:pPr>
        <w:pStyle w:val="BodyText"/>
      </w:pPr>
      <w:r>
        <w:t xml:space="preserve">神旨意他的受造物具有多样性与各自特有的良善，彼此互赖并各守其序。他使一切物质受造物指向人类的益处。人——并且藉着人，万有——被指定归向神的荣耀。</w:t>
      </w:r>
    </w:p>
    <w:p>
      <w:pPr>
        <w:pStyle w:val="BodyText"/>
      </w:pPr>
      <w:r>
        <w:t xml:space="preserve">尊重镌刻在受造界里的法则，以及由万物本性而来的关系，是智慧的原则，也是道德的根基。</w:t>
      </w:r>
    </w:p>
    <w:p>
      <w:r>
        <w:br w:type="page"/>
      </w:r>
    </w:p>
    <w:bookmarkEnd w:id="539"/>
    <w:bookmarkEnd w:id="540"/>
    <w:bookmarkStart w:id="585" w:name="第六节人"/>
    <w:p>
      <w:pPr>
        <w:pStyle w:val="Heading5"/>
      </w:pPr>
      <w:r>
        <w:t xml:space="preserve">第六节：人</w:t>
      </w:r>
    </w:p>
    <w:p>
      <w:pPr>
        <w:pStyle w:val="FirstParagraph"/>
      </w:pPr>
      <w:r>
        <w:t xml:space="preserve">「神就照着自己的形象造人，乃是照着他的形象造男造女。」</w:t>
      </w:r>
      <w:r>
        <w:rPr>
          <w:rStyle w:val="FootnoteReference"/>
        </w:rPr>
        <w:footnoteReference w:id="541"/>
      </w:r>
      <w:r>
        <w:t xml:space="preserve">人在受造物中占有独特的地位：（一）他是「照着神的形象」造的；（二）他本性上联合了属灵和物质的世界；（三）他被造为「男和女」；（四）神与他建立了友谊。</w:t>
      </w:r>
    </w:p>
    <w:bookmarkStart w:id="552" w:name="一照着神的形象"/>
    <w:p>
      <w:pPr>
        <w:pStyle w:val="Heading6"/>
      </w:pPr>
      <w:r>
        <w:t xml:space="preserve">一、「照着神的形象」</w:t>
      </w:r>
    </w:p>
    <w:p>
      <w:pPr>
        <w:pStyle w:val="FirstParagraph"/>
      </w:pPr>
      <w:r>
        <w:t xml:space="preserve">在所有有形的受造物中，唯独人「能认识并爱慕造他的主」。</w:t>
      </w:r>
      <w:r>
        <w:rPr>
          <w:rStyle w:val="FootnoteReference"/>
        </w:rPr>
        <w:footnoteReference w:id="542"/>
      </w:r>
      <w:r>
        <w:t xml:space="preserve">在地上的万物中，唯独人是「神为其本身而愿意的」,</w:t>
      </w:r>
      <w:r>
        <w:rPr>
          <w:rStyle w:val="FootnoteReference"/>
        </w:rPr>
        <w:footnoteReference w:id="543"/>
      </w:r>
      <w:r>
        <w:t xml:space="preserve">也唯独人蒙召以认知和爱有份于神自己的生命。人受造正是为此目的，这也是他的尊严的根本理由：</w:t>
      </w:r>
    </w:p>
    <w:p>
      <w:pPr>
        <w:pStyle w:val="BodyText"/>
      </w:pPr>
      <w:r>
        <w:t xml:space="preserve">是什么使你将人置于如此崇高的尊严中？当然是那无法估量的爱，你藉此爱在你自己里看顾你的受造物！你被对她的爱所充满，因为你确实出于爱创造了她，出于爱赐给她一个能品尝你永恒的美善的生命。</w:t>
      </w:r>
      <w:r>
        <w:rPr>
          <w:rStyle w:val="FootnoteReference"/>
        </w:rPr>
        <w:footnoteReference w:id="544"/>
      </w:r>
    </w:p>
    <w:p>
      <w:pPr>
        <w:pStyle w:val="BodyText"/>
      </w:pPr>
      <w:r>
        <w:t xml:space="preserve">身为神的形象，人有着位格的尊严，他不仅是某物，更是某人。他能够自知、自主，并自由地奉献自己与他人共融。他蒙召与造他的主立约，以其他任何受造物都无法替代的信心和爱心回应神。</w:t>
      </w:r>
    </w:p>
    <w:p>
      <w:pPr>
        <w:pStyle w:val="BodyText"/>
      </w:pPr>
      <w:r>
        <w:t xml:space="preserve">神为人创造了万物，</w:t>
      </w:r>
      <w:r>
        <w:rPr>
          <w:rStyle w:val="FootnoteReference"/>
        </w:rPr>
        <w:footnoteReference w:id="545"/>
      </w:r>
      <w:r>
        <w:t xml:space="preserve">但人反过来被造是为要事奉和爱神，并将一切受造之物献回给神：</w:t>
      </w:r>
    </w:p>
    <w:p>
      <w:pPr>
        <w:pStyle w:val="BodyText"/>
      </w:pPr>
      <w:r>
        <w:t xml:space="preserve">将要被创造的是什么，竟享有如此尊荣？那就是人，那伟大而奇妙的生灵，在神眼中比一切受造之物都更为宝贵！诸天、地、海和其他一切受造物都是为他而存在。神如此重视人的救恩，甚至不惜牺牲自己的儿子。神也从不停止工作，尽一切可能的方法，直到将人提升到他自己面前，使他坐在他的右边。</w:t>
      </w:r>
      <w:r>
        <w:rPr>
          <w:rStyle w:val="FootnoteReference"/>
        </w:rPr>
        <w:footnoteReference w:id="546"/>
      </w:r>
    </w:p>
    <w:p>
      <w:pPr>
        <w:pStyle w:val="BodyText"/>
      </w:pPr>
      <w:r>
        <w:t xml:space="preserve">「事实上，唯有在道成肉身的奥秘中，人的奥秘才真正变得明晰。」</w:t>
      </w:r>
      <w:r>
        <w:rPr>
          <w:rStyle w:val="FootnoteReference"/>
        </w:rPr>
        <w:footnoteReference w:id="547"/>
      </w:r>
    </w:p>
    <w:p>
      <w:pPr>
        <w:pStyle w:val="BodyText"/>
      </w:pPr>
      <w:r>
        <w:t xml:space="preserve">圣保罗告诉我们，人类起源于两个人：亚当和基督……他说，首先的人亚当成了有灵的活人，末后的亚当成了叫人活的灵。首先的亚当是由末后的亚当造的，也从他那里得到了灵魂，使他有了生命……第二个亚当在创造第一个亚当时，将自己的形象印在他身上。这就是为什么他取了第一个亚当的角色和名字，免得失去他按自己形象所造的。第一个亚当，末后的亚当：第一个有开始，末后的没有终结。末后的亚当实际上是第一个，正如他自己所说：「我是首先的，我是末后的。」</w:t>
      </w:r>
      <w:r>
        <w:rPr>
          <w:rStyle w:val="FootnoteReference"/>
        </w:rPr>
        <w:footnoteReference w:id="548"/>
      </w:r>
    </w:p>
    <w:p>
      <w:pPr>
        <w:pStyle w:val="BodyText"/>
      </w:pPr>
      <w:r>
        <w:t xml:space="preserve">由于共同的起源，</w:t>
      </w:r>
      <w:r>
        <w:rPr>
          <w:i/>
          <w:iCs/>
        </w:rPr>
        <w:t xml:space="preserve">人类形成一个统一体</w:t>
      </w:r>
      <w:r>
        <w:t xml:space="preserve">，因为「神从一本造出万族的人，住在全地上」：</w:t>
      </w:r>
      <w:r>
        <w:rPr>
          <w:rStyle w:val="FootnoteReference"/>
        </w:rPr>
        <w:footnoteReference w:id="549"/>
      </w:r>
    </w:p>
    <w:p>
      <w:pPr>
        <w:pStyle w:val="BodyText"/>
      </w:pPr>
      <w:r>
        <w:t xml:space="preserve">何等奇妙的景象，使我们得以默想人类在神里起源的统一性……在其本质的统一性中，所有人都同样由物质的身体和灵性的灵魂组成；在其直接目标和世界使命的统一性中；在其居所的统一性中，即地球，所有人都有权利利用其恩惠来维持和发展生命；在其超自然目标的统一性中：神自己，所有人都应当向他趋向；在达成这一目标的手段的统一性中……在基督为所有人成就的救赎的统一性中。</w:t>
      </w:r>
      <w:r>
        <w:rPr>
          <w:rStyle w:val="FootnoteReference"/>
        </w:rPr>
        <w:footnoteReference w:id="550"/>
      </w:r>
    </w:p>
    <w:p>
      <w:pPr>
        <w:pStyle w:val="BodyText"/>
      </w:pPr>
      <w:r>
        <w:t xml:space="preserve">「这人类团结和仁爱的律法」，</w:t>
      </w:r>
      <w:r>
        <w:rPr>
          <w:rStyle w:val="FootnoteReference"/>
        </w:rPr>
        <w:footnoteReference w:id="551"/>
      </w:r>
      <w:r>
        <w:t xml:space="preserve">在不排除人、文化和民族丰富多样性的同时，向我们保证所有人确实都是弟兄。</w:t>
      </w:r>
    </w:p>
    <w:bookmarkEnd w:id="552"/>
    <w:bookmarkStart w:id="564" w:name="二有体有灵却真正合一"/>
    <w:p>
      <w:pPr>
        <w:pStyle w:val="Heading6"/>
      </w:pPr>
      <w:r>
        <w:t xml:space="preserve">二、「有体有灵却真正合一」</w:t>
      </w:r>
    </w:p>
    <w:p>
      <w:pPr>
        <w:pStyle w:val="FirstParagraph"/>
      </w:pPr>
      <w:r>
        <w:t xml:space="preserve">按神形象所造的人，是一个既有形体又有灵性的存在。圣经用象征性的语言表达这一现实，说「耶和华神用地上的尘土造人，将生气吹在他鼻孔里，他就成了有灵的活人。」</w:t>
      </w:r>
      <w:r>
        <w:rPr>
          <w:rStyle w:val="FootnoteReference"/>
        </w:rPr>
        <w:footnoteReference w:id="553"/>
      </w:r>
      <w:r>
        <w:t xml:space="preserve">因此，神所愿意的是完整的人。</w:t>
      </w:r>
    </w:p>
    <w:p>
      <w:pPr>
        <w:pStyle w:val="BodyText"/>
      </w:pPr>
      <w:r>
        <w:t xml:space="preserve">在圣经中，「灵魂」一词常指人的</w:t>
      </w:r>
      <w:r>
        <w:rPr>
          <w:i/>
          <w:iCs/>
        </w:rPr>
        <w:t xml:space="preserve">生命</w:t>
      </w:r>
      <w:r>
        <w:t xml:space="preserve">或</w:t>
      </w:r>
      <w:r>
        <w:rPr>
          <w:i/>
          <w:iCs/>
        </w:rPr>
        <w:t xml:space="preserve">整个人</w:t>
      </w:r>
      <w:r>
        <w:t xml:space="preserve">。</w:t>
      </w:r>
      <w:r>
        <w:rPr>
          <w:rStyle w:val="FootnoteReference"/>
        </w:rPr>
        <w:footnoteReference w:id="554"/>
      </w:r>
      <w:r>
        <w:t xml:space="preserve">但「灵魂」也指人最内在的方面，即他最宝贵的部分，</w:t>
      </w:r>
      <w:r>
        <w:rPr>
          <w:rStyle w:val="FootnoteReference"/>
        </w:rPr>
        <w:footnoteReference w:id="555"/>
      </w:r>
      <w:r>
        <w:t xml:space="preserve">正是这部分使他最特别地体现了神的形象：「灵魂」表示人里面的</w:t>
      </w:r>
      <w:r>
        <w:rPr>
          <w:i/>
          <w:iCs/>
        </w:rPr>
        <w:t xml:space="preserve">灵性原则</w:t>
      </w:r>
      <w:r>
        <w:t xml:space="preserve">。</w:t>
      </w:r>
    </w:p>
    <w:p>
      <w:pPr>
        <w:pStyle w:val="BodyText"/>
      </w:pPr>
      <w:r>
        <w:t xml:space="preserve">人体有份于「神的形象」的尊严：正因为它由属灵的魂所赋予生命，它才是一个人的身体，而整个人蒙召要在基督的身体里成为圣灵的殿：</w:t>
      </w:r>
      <w:r>
        <w:rPr>
          <w:rStyle w:val="FootnoteReference"/>
        </w:rPr>
        <w:footnoteReference w:id="556"/>
      </w:r>
    </w:p>
    <w:p>
      <w:pPr>
        <w:pStyle w:val="BodyText"/>
      </w:pPr>
      <w:r>
        <w:t xml:space="preserve">人虽由身体和灵魂组成，却是一个整体。正是通过他的身体状况，人将物质世界的元素集于一身。通过人，这些元素达到最高的圆满，能自由地向造物主发出赞美之声。因此，人不可轻视自己的身体生命。相反，他有义务将自己的身体视为美善的，并尊重它，因为是神创造了它，并将在末日使它复活。</w:t>
      </w:r>
      <w:r>
        <w:rPr>
          <w:rStyle w:val="FootnoteReference"/>
        </w:rPr>
        <w:footnoteReference w:id="557"/>
      </w:r>
    </w:p>
    <w:p>
      <w:pPr>
        <w:pStyle w:val="BodyText"/>
      </w:pPr>
      <w:r>
        <w:t xml:space="preserve">灵魂和身体的合一如此深刻，以至于必须将灵魂视为身体的「形式」（form）：</w:t>
      </w:r>
      <w:r>
        <w:rPr>
          <w:rStyle w:val="FootnoteReference"/>
        </w:rPr>
        <w:footnoteReference w:id="558"/>
      </w:r>
      <w:r>
        <w:t xml:space="preserve">也就是说，正是因为无形的灵魂，由物质构成的身体才成为一个活的、人的身体；在人里面，灵与物不是两个结合的本性，而是它们的结合形成了一个单一的本性。</w:t>
      </w:r>
    </w:p>
    <w:p>
      <w:pPr>
        <w:pStyle w:val="BodyText"/>
      </w:pPr>
      <w:r>
        <w:t xml:space="preserve">根据教会的教导，每一个灵性的魂都是神直接创造的——不是由父母「产生」的。它也是不朽的：它在死亡时与身体分离时并不会消亡，并将在最后的复活时与身体重新结合。</w:t>
      </w:r>
      <w:r>
        <w:rPr>
          <w:rStyle w:val="FootnoteReference"/>
        </w:rPr>
        <w:footnoteReference w:id="559"/>
      </w:r>
    </w:p>
    <w:p>
      <w:pPr>
        <w:pStyle w:val="BodyText"/>
      </w:pPr>
      <w:r>
        <w:t xml:space="preserve">有时「魂」与灵是有所区分的：例如，圣保罗祈求神使他的子民「全然成圣」，「灵、与魂、与身子得蒙保守，在我主耶稣基督降临的时候，完全无可指摘。」</w:t>
      </w:r>
      <w:r>
        <w:rPr>
          <w:rStyle w:val="FootnoteReference"/>
        </w:rPr>
        <w:footnoteReference w:id="560"/>
      </w:r>
      <w:r>
        <w:t xml:space="preserve">教会教导说，这种区分并不在灵魂中引入二元性。</w:t>
      </w:r>
      <w:r>
        <w:rPr>
          <w:rStyle w:val="FootnoteReference"/>
        </w:rPr>
        <w:footnoteReference w:id="561"/>
      </w:r>
      <w:r>
        <w:t xml:space="preserve">「灵」表示人从受造之时就被指向一个超自然的目标，他的灵魂能够因恩典而超越所应得的一切，与神相交。</w:t>
      </w:r>
      <w:r>
        <w:rPr>
          <w:rStyle w:val="FootnoteReference"/>
        </w:rPr>
        <w:footnoteReference w:id="562"/>
      </w:r>
    </w:p>
    <w:p>
      <w:pPr>
        <w:pStyle w:val="BodyText"/>
      </w:pPr>
      <w:r>
        <w:t xml:space="preserve">教会的灵修传统也强调</w:t>
      </w:r>
      <w:r>
        <w:rPr>
          <w:i/>
          <w:iCs/>
        </w:rPr>
        <w:t xml:space="preserve">心</w:t>
      </w:r>
      <w:r>
        <w:t xml:space="preserve">，按照圣经所说的人内心深处的意义，在那里，人决定是跟随还是反对神。</w:t>
      </w:r>
      <w:r>
        <w:rPr>
          <w:rStyle w:val="FootnoteReference"/>
        </w:rPr>
        <w:footnoteReference w:id="563"/>
      </w:r>
    </w:p>
    <w:bookmarkEnd w:id="564"/>
    <w:bookmarkStart w:id="575" w:name="三他造男造女"/>
    <w:p>
      <w:pPr>
        <w:pStyle w:val="Heading6"/>
      </w:pPr>
      <w:r>
        <w:t xml:space="preserve">三、「他造男造女」</w:t>
      </w:r>
    </w:p>
    <w:p>
      <w:pPr>
        <w:pStyle w:val="FirstParagraph"/>
      </w:pPr>
      <w:r>
        <w:rPr>
          <w:i/>
          <w:iCs/>
        </w:rPr>
        <w:t xml:space="preserve">神所愿意的平等与差异</w:t>
      </w:r>
    </w:p>
    <w:p>
      <w:pPr>
        <w:pStyle w:val="BodyText"/>
      </w:pPr>
      <w:r>
        <w:t xml:space="preserve">男人和女人是被</w:t>
      </w:r>
      <w:r>
        <w:rPr>
          <w:i/>
          <w:iCs/>
        </w:rPr>
        <w:t xml:space="preserve">创造</w:t>
      </w:r>
      <w:r>
        <w:t xml:space="preserve">的，也就是说，是神所</w:t>
      </w:r>
      <w:r>
        <w:rPr>
          <w:i/>
          <w:iCs/>
        </w:rPr>
        <w:t xml:space="preserve">愿意</w:t>
      </w:r>
      <w:r>
        <w:t xml:space="preserve">的：一方面，作为完全平等的人的存在；另一方面，分别作为男人和女人的存在。「作为男人」或「作为女人」是美好的、神所愿意的现实：男人和女人拥有不可剥夺的尊严，这尊严直接来自创造他们的神。</w:t>
      </w:r>
      <w:r>
        <w:rPr>
          <w:rStyle w:val="FootnoteReference"/>
        </w:rPr>
        <w:footnoteReference w:id="565"/>
      </w:r>
      <w:r>
        <w:t xml:space="preserve">男人和女人都以同样的尊严体现「神的形象」。在他们的「作为男人」和「作为女人」中，他们反映了创造主的智慧和美善。</w:t>
      </w:r>
    </w:p>
    <w:p>
      <w:pPr>
        <w:pStyle w:val="BodyText"/>
      </w:pPr>
      <w:r>
        <w:t xml:space="preserve">神绝不是按人的形象造的。神既不是男性也不是女性。神是纯粹的灵，其中没有性别差异的余地。但男人和女人各自的「完美」反映了神无限完美的某些方面：母亲的完美和父亲与丈夫的完美。</w:t>
      </w:r>
      <w:r>
        <w:rPr>
          <w:rStyle w:val="FootnoteReference"/>
        </w:rPr>
        <w:footnoteReference w:id="566"/>
      </w:r>
    </w:p>
    <w:p>
      <w:pPr>
        <w:pStyle w:val="BodyText"/>
      </w:pPr>
      <w:r>
        <w:rPr>
          <w:i/>
          <w:iCs/>
        </w:rPr>
        <w:t xml:space="preserve">「彼此为了对方」——「二人的合一」</w:t>
      </w:r>
    </w:p>
    <w:p>
      <w:pPr>
        <w:pStyle w:val="BodyText"/>
      </w:pPr>
      <w:r>
        <w:t xml:space="preserve">神一同创造男人和女人，并愿意他们彼此相属。神的道通过圣经中的多处特征让我们理解这一点。「那人独居不好，我要为他造一个配偶帮助他。」</w:t>
      </w:r>
      <w:r>
        <w:rPr>
          <w:rStyle w:val="FootnoteReference"/>
        </w:rPr>
        <w:footnoteReference w:id="567"/>
      </w:r>
      <w:r>
        <w:t xml:space="preserve">动物中没有一个能成为人的伴侣。</w:t>
      </w:r>
      <w:r>
        <w:rPr>
          <w:rStyle w:val="FootnoteReference"/>
        </w:rPr>
        <w:footnoteReference w:id="568"/>
      </w:r>
      <w:r>
        <w:t xml:space="preserve">神用那人的肋骨「造」成女人，带到他面前，引起那人惊叹的呼喊，一声爱与共融的呼声：「这是我骨中的骨，肉中的肉。」</w:t>
      </w:r>
      <w:r>
        <w:rPr>
          <w:rStyle w:val="FootnoteReference"/>
        </w:rPr>
        <w:footnoteReference w:id="569"/>
      </w:r>
      <w:r>
        <w:t xml:space="preserve">男人在女人中看到另一个「我」，共享同样的人性。</w:t>
      </w:r>
    </w:p>
    <w:p>
      <w:pPr>
        <w:pStyle w:val="BodyText"/>
      </w:pPr>
      <w:r>
        <w:t xml:space="preserve">男人和女人被造是「为彼此」而存在——这并不是说神将他们造得不完整：他创造他们是为了成为一个人格的共融体，在其中每一个都能成为对方的「帮助者」，因为他们作为人是平等的（「这是我骨中的骨……」），作为男性和女性又是互补的。在婚姻中，神以这样的方式将他们结合，使他们成为「二人成为一体」，</w:t>
      </w:r>
      <w:r>
        <w:rPr>
          <w:rStyle w:val="FootnoteReference"/>
        </w:rPr>
        <w:footnoteReference w:id="570"/>
      </w:r>
      <w:r>
        <w:t xml:space="preserve">可以传宗接代：「要生养众多，遍满地面。」</w:t>
      </w:r>
      <w:r>
        <w:rPr>
          <w:rStyle w:val="FootnoteReference"/>
        </w:rPr>
        <w:footnoteReference w:id="571"/>
      </w:r>
      <w:r>
        <w:t xml:space="preserve">通过将生命传给后代，作为夫妻和父母的男女以独特的方式参与了创造主的工作。</w:t>
      </w:r>
      <w:r>
        <w:rPr>
          <w:rStyle w:val="FootnoteReference"/>
        </w:rPr>
        <w:footnoteReference w:id="572"/>
      </w:r>
    </w:p>
    <w:p>
      <w:pPr>
        <w:pStyle w:val="BodyText"/>
      </w:pPr>
      <w:r>
        <w:t xml:space="preserve">在神的计划中，男人和女人有作为神的管家「治理」大地的使命，</w:t>
      </w:r>
      <w:r>
        <w:rPr>
          <w:rStyle w:val="FootnoteReference"/>
        </w:rPr>
        <w:footnoteReference w:id="573"/>
      </w:r>
      <w:r>
        <w:t xml:space="preserve">。这种统治不应是专制和破坏性的。神呼召按创造主形象所造的男人和女人，这位创造主「爱惜一切所有」，</w:t>
      </w:r>
      <w:r>
        <w:rPr>
          <w:rStyle w:val="FootnoteReference"/>
        </w:rPr>
        <w:footnoteReference w:id="574"/>
      </w:r>
      <w:r>
        <w:t xml:space="preserve">要他们分享他对其他受造物的眷顾；因此，他们对神托付给他们的世界负有责任。</w:t>
      </w:r>
    </w:p>
    <w:bookmarkEnd w:id="575"/>
    <w:bookmarkStart w:id="583" w:name="四乐园中的人"/>
    <w:p>
      <w:pPr>
        <w:pStyle w:val="Heading6"/>
      </w:pPr>
      <w:r>
        <w:t xml:space="preserve">四、乐园中的人</w:t>
      </w:r>
    </w:p>
    <w:p>
      <w:pPr>
        <w:pStyle w:val="FirstParagraph"/>
      </w:pPr>
      <w:r>
        <w:t xml:space="preserve">第一个人不仅被造为善良，而且被建立在与造物主的友谊中，与自己和周围的受造物和谐相处，处于一种只有在基督里的新创造的荣耀才能超越的状态。</w:t>
      </w:r>
    </w:p>
    <w:p>
      <w:pPr>
        <w:pStyle w:val="BodyText"/>
      </w:pPr>
      <w:r>
        <w:t xml:space="preserve">教会根据新约和圣传的亮光解释圣经语言的象征意义，教导我们的始祖亚当和夏娃被置于一种原始的「圣洁和公义的状态」中。</w:t>
      </w:r>
      <w:r>
        <w:rPr>
          <w:rStyle w:val="FootnoteReference"/>
        </w:rPr>
        <w:footnoteReference w:id="576"/>
      </w:r>
      <w:r>
        <w:t xml:space="preserve">这种原始圣洁的恩典是为了「分享……神性的生命」。</w:t>
      </w:r>
      <w:r>
        <w:rPr>
          <w:rStyle w:val="FootnoteReference"/>
        </w:rPr>
        <w:footnoteReference w:id="577"/>
      </w:r>
    </w:p>
    <w:p>
      <w:pPr>
        <w:pStyle w:val="BodyText"/>
      </w:pPr>
      <w:r>
        <w:t xml:space="preserve">通过这恩典的光辉，人生命的各个层面都得到了强化。只要人保持与神的亲密关系，他就不会经历苦难或死亡。</w:t>
      </w:r>
      <w:r>
        <w:rPr>
          <w:rStyle w:val="FootnoteReference"/>
        </w:rPr>
        <w:footnoteReference w:id="578"/>
      </w:r>
      <w:r>
        <w:t xml:space="preserve">人内在的和谐，男女之间的和谐，</w:t>
      </w:r>
      <w:r>
        <w:rPr>
          <w:rStyle w:val="FootnoteReference"/>
        </w:rPr>
        <w:footnoteReference w:id="579"/>
      </w:r>
      <w:r>
        <w:t xml:space="preserve">以及最终第一对夫妇与整个创造之间的和谐，构成了所谓的「原始的义」状态。</w:t>
      </w:r>
    </w:p>
    <w:p>
      <w:pPr>
        <w:pStyle w:val="BodyText"/>
      </w:pPr>
      <w:r>
        <w:t xml:space="preserve">神从一开始赐给人的对世界的「管理权」，首先是在人自身内实现的：即</w:t>
      </w:r>
      <w:r>
        <w:rPr>
          <w:i/>
          <w:iCs/>
        </w:rPr>
        <w:t xml:space="preserve">自我掌控</w:t>
      </w:r>
      <w:r>
        <w:t xml:space="preserve">。第一个人在他的整个存在中是无缺陷的，有序的，因为他没有受制于三重贪欲</w:t>
      </w:r>
      <w:r>
        <w:rPr>
          <w:rStyle w:val="FootnoteReference"/>
        </w:rPr>
        <w:footnoteReference w:id="580"/>
      </w:r>
      <w:r>
        <w:t xml:space="preserve">，这三重贪欲使人违背理性的指引，屈从于感官的快乐、对世俗财物的贪婪，以及自我主张。</w:t>
      </w:r>
    </w:p>
    <w:p>
      <w:pPr>
        <w:pStyle w:val="BodyText"/>
      </w:pPr>
      <w:r>
        <w:t xml:space="preserve">人与神亲密关系的标志是神将他安置在园中。</w:t>
      </w:r>
      <w:r>
        <w:rPr>
          <w:rStyle w:val="FootnoteReference"/>
        </w:rPr>
        <w:footnoteReference w:id="581"/>
      </w:r>
      <w:r>
        <w:t xml:space="preserve">他在那里生活，「修理看守」。工作还不是一种负担，</w:t>
      </w:r>
      <w:r>
        <w:rPr>
          <w:rStyle w:val="FootnoteReference"/>
        </w:rPr>
        <w:footnoteReference w:id="582"/>
      </w:r>
      <w:r>
        <w:t xml:space="preserve">而是男女在完善神可见的创造中的合作。</w:t>
      </w:r>
    </w:p>
    <w:p>
      <w:pPr>
        <w:pStyle w:val="BodyText"/>
      </w:pPr>
      <w:r>
        <w:t xml:space="preserve">这种神计划中为人预备的原始公义的一切和谐，将因我们始祖的罪而失去。</w:t>
      </w:r>
    </w:p>
    <w:bookmarkEnd w:id="583"/>
    <w:bookmarkStart w:id="584" w:name="综述-10"/>
    <w:p>
      <w:pPr>
        <w:pStyle w:val="Heading6"/>
      </w:pPr>
      <w:r>
        <w:t xml:space="preserve">综述</w:t>
      </w:r>
    </w:p>
    <w:p>
      <w:pPr>
        <w:pStyle w:val="FirstParagraph"/>
      </w:pPr>
      <w:r>
        <w:t xml:space="preserve">「父啊，……你按自己的形象造了人，使他管理全世界，事奉你——他的创造主，统治一切受造物」（《罗马弥撒经书》，圣餐祷文四，118）。</w:t>
      </w:r>
    </w:p>
    <w:p>
      <w:pPr>
        <w:pStyle w:val="BodyText"/>
      </w:pPr>
      <w:r>
        <w:t xml:space="preserve">人被预定要效法成为人的神子的形象，那「看不见之神的像」（西 1:15），使基督成为众多弟兄姊妹中的长子（参弗 1:3-6；罗 8:29）。</w:t>
      </w:r>
    </w:p>
    <w:p>
      <w:pPr>
        <w:pStyle w:val="BodyText"/>
      </w:pPr>
      <w:r>
        <w:t xml:space="preserve">「人虽由身体和灵魂组成，却是一个整体」（GS 14 § 1）。信仰的教义确认，灵性的、不朽的灵魂是由神直接创造的。</w:t>
      </w:r>
    </w:p>
    <w:p>
      <w:pPr>
        <w:pStyle w:val="BodyText"/>
      </w:pPr>
      <w:r>
        <w:t xml:space="preserve">「神并未将人造成孤独的存在。从一开始，『神就造男造女』（创 1:27）。这种男女的结合构成了人与人之间的第一种共融形式」（GS 12 § 4）。</w:t>
      </w:r>
    </w:p>
    <w:p>
      <w:pPr>
        <w:pStyle w:val="BodyText"/>
      </w:pPr>
      <w:r>
        <w:t xml:space="preserve">启示让我们知道人未犯罪前男女原始的圣洁和公义状态：他们与神的友谊带来了他们在乐园中存在的福乐。</w:t>
      </w:r>
    </w:p>
    <w:p>
      <w:r>
        <w:br w:type="page"/>
      </w:r>
    </w:p>
    <w:bookmarkEnd w:id="584"/>
    <w:bookmarkEnd w:id="585"/>
    <w:bookmarkStart w:id="642" w:name="第七节堕落"/>
    <w:p>
      <w:pPr>
        <w:pStyle w:val="Heading5"/>
      </w:pPr>
      <w:r>
        <w:t xml:space="preserve">第七节：堕落</w:t>
      </w:r>
    </w:p>
    <w:p>
      <w:pPr>
        <w:pStyle w:val="FirstParagraph"/>
      </w:pPr>
      <w:r>
        <w:t xml:space="preserve">神是无限良善的，他的一切作为都是好的。然而，没有人能够逃避痛苦的经历，或大自然中似乎与受造物固有限制有关的罪恶，尤其是道德罪恶的问题。恶从何而来？圣奥古斯丁说：「我寻求恶从何来，却无解」，</w:t>
      </w:r>
      <w:r>
        <w:rPr>
          <w:rStyle w:val="FootnoteReference"/>
        </w:rPr>
        <w:footnoteReference w:id="586"/>
      </w:r>
      <w:r>
        <w:t xml:space="preserve">他痛苦的探求只有在向永生神归正时才得到解决。因为「不法的隐意」只有在「敬虔的奥秘」光照下才能得以明了。</w:t>
      </w:r>
      <w:r>
        <w:rPr>
          <w:rStyle w:val="FootnoteReference"/>
        </w:rPr>
        <w:footnoteReference w:id="587"/>
      </w:r>
      <w:r>
        <w:t xml:space="preserve">基督里神爱之显明同时揭示了罪恶的深度和恩典的丰富。</w:t>
      </w:r>
      <w:r>
        <w:rPr>
          <w:rStyle w:val="FootnoteReference"/>
        </w:rPr>
        <w:footnoteReference w:id="588"/>
      </w:r>
      <w:r>
        <w:t xml:space="preserve">因此，我们必须以信心的眼光注视那唯一战胜罪恶者来探讨恶的起源问题。</w:t>
      </w:r>
      <w:r>
        <w:rPr>
          <w:rStyle w:val="FootnoteReference"/>
        </w:rPr>
        <w:footnoteReference w:id="589"/>
      </w:r>
    </w:p>
    <w:bookmarkStart w:id="595" w:name="一罪在哪里显多恩典就更显多"/>
    <w:p>
      <w:pPr>
        <w:pStyle w:val="Heading6"/>
      </w:pPr>
      <w:r>
        <w:t xml:space="preserve">一、罪在哪里显多，恩典就更显多</w:t>
      </w:r>
    </w:p>
    <w:p>
      <w:pPr>
        <w:pStyle w:val="FirstParagraph"/>
      </w:pPr>
      <w:r>
        <w:rPr>
          <w:i/>
          <w:iCs/>
        </w:rPr>
        <w:t xml:space="preserve">罪的现实</w:t>
      </w:r>
    </w:p>
    <w:p>
      <w:pPr>
        <w:pStyle w:val="BodyText"/>
      </w:pPr>
      <w:r>
        <w:t xml:space="preserve">罪存在于人类历史中；任何试图忽视它，或给这个黑暗现实另起名字的尝试，都是徒劳的。要理解罪是什么，人首先必须认识</w:t>
      </w:r>
      <w:r>
        <w:rPr>
          <w:i/>
          <w:iCs/>
        </w:rPr>
        <w:t xml:space="preserve">人与神之间深刻的关系</w:t>
      </w:r>
      <w:r>
        <w:t xml:space="preserve">，因为只有在这种关系中，罪的恶才以其真实的面目被揭露出来，就是人类对神的拒绝和敌对；罪仍然沉重地压在人类的生命和历史上。</w:t>
      </w:r>
    </w:p>
    <w:p>
      <w:pPr>
        <w:pStyle w:val="BodyText"/>
      </w:pPr>
      <w:r>
        <w:t xml:space="preserve">只有神的启示之光能阐明罪的实质，尤其是在人类起初所犯的罪。若没有启示所赐关于神的认识，我们无法清晰地认识罪，且倾向于将其仅仅解释为发展中的缺陷、心理上的软弱、错误，或是不完善的社会结构所必然导致的结果，等等。只有在明白神对人的计划时，我们才能领悟，罪是人滥用了神赐给受造之人的自由，这自由是为了使他们能够爱神并彼此相爱。</w:t>
      </w:r>
    </w:p>
    <w:p>
      <w:pPr>
        <w:pStyle w:val="BodyText"/>
      </w:pPr>
      <w:r>
        <w:rPr>
          <w:i/>
          <w:iCs/>
        </w:rPr>
        <w:t xml:space="preserve">原罪——信仰的一项基本真理</w:t>
      </w:r>
    </w:p>
    <w:p>
      <w:pPr>
        <w:pStyle w:val="BodyText"/>
      </w:pPr>
      <w:r>
        <w:t xml:space="preserve">随着启示的进展，罪的实相也被揭示出来了。虽然旧约中的神的子民在一定程度上根据《创世记》所述的堕落历史，试图理解人类境况的悲哀，但他们无法领会这个故事的最终意义，这意义只有在耶稣基督的死而复活的光照下才得以揭示。</w:t>
      </w:r>
      <w:r>
        <w:rPr>
          <w:rStyle w:val="FootnoteReference"/>
        </w:rPr>
        <w:footnoteReference w:id="590"/>
      </w:r>
      <w:r>
        <w:t xml:space="preserve">我们必须认识基督是恩典的源头，才能认识亚当是罪的源头。复活的基督所差来的保惠师圣灵，来要「叫世人为罪、为义、为审判，自己责备自己」，</w:t>
      </w:r>
      <w:r>
        <w:rPr>
          <w:rStyle w:val="FootnoteReference"/>
        </w:rPr>
        <w:footnoteReference w:id="591"/>
      </w:r>
      <w:r>
        <w:t xml:space="preserve">藉此显明那位救赎他们的主。</w:t>
      </w:r>
    </w:p>
    <w:p>
      <w:pPr>
        <w:pStyle w:val="BodyText"/>
      </w:pPr>
      <w:r>
        <w:t xml:space="preserve">原罪的教义，可以说是「耶稣是全人类的救主，人人都需要救恩，救恩藉着基督赐给众人」这福音的「反面」。拥有基督心意的教会</w:t>
      </w:r>
      <w:r>
        <w:rPr>
          <w:rStyle w:val="FootnoteReference"/>
        </w:rPr>
        <w:footnoteReference w:id="592"/>
      </w:r>
      <w:r>
        <w:t xml:space="preserve"> </w:t>
      </w:r>
      <w:r>
        <w:t xml:space="preserve">深知，我们若篡改原罪的启示，必损害基督的奥秘。</w:t>
      </w:r>
    </w:p>
    <w:p>
      <w:pPr>
        <w:pStyle w:val="BodyText"/>
      </w:pPr>
      <w:r>
        <w:rPr>
          <w:i/>
          <w:iCs/>
        </w:rPr>
        <w:t xml:space="preserve">如何解读堕落的记载</w:t>
      </w:r>
    </w:p>
    <w:p>
      <w:pPr>
        <w:pStyle w:val="BodyText"/>
      </w:pPr>
      <w:r>
        <w:t xml:space="preserve">《创世记》第 3 章中关于堕落的记载使用了比喻性的语言，但它肯定了一个原始事件，一个发生在</w:t>
      </w:r>
      <w:r>
        <w:rPr>
          <w:i/>
          <w:iCs/>
        </w:rPr>
        <w:t xml:space="preserve">人类历史开端</w:t>
      </w:r>
      <w:r>
        <w:t xml:space="preserve">的行为。</w:t>
      </w:r>
      <w:r>
        <w:rPr>
          <w:rStyle w:val="FootnoteReference"/>
        </w:rPr>
        <w:footnoteReference w:id="593"/>
      </w:r>
      <w:r>
        <w:t xml:space="preserve">启示给予我们信仰的确据——整个人类历史都带有我们始祖自由犯下的原罪的印记。</w:t>
      </w:r>
      <w:r>
        <w:rPr>
          <w:rStyle w:val="FootnoteReference"/>
        </w:rPr>
        <w:footnoteReference w:id="594"/>
      </w:r>
    </w:p>
    <w:bookmarkEnd w:id="595"/>
    <w:bookmarkStart w:id="606" w:name="二天使的堕落"/>
    <w:p>
      <w:pPr>
        <w:pStyle w:val="Heading6"/>
      </w:pPr>
      <w:r>
        <w:t xml:space="preserve">二、天使的堕落</w:t>
      </w:r>
    </w:p>
    <w:p>
      <w:pPr>
        <w:pStyle w:val="FirstParagraph"/>
      </w:pPr>
      <w:r>
        <w:t xml:space="preserve">在我们始祖不顺从的选择背后，潜伏着一个与神为敌的诱惑之声，因嫉妒使他们陷入死亡。</w:t>
      </w:r>
      <w:r>
        <w:rPr>
          <w:rStyle w:val="FootnoteReference"/>
        </w:rPr>
        <w:footnoteReference w:id="596"/>
      </w:r>
      <w:r>
        <w:t xml:space="preserve">根据圣经和教会的圣传，这个存在是堕落的天使，称为「撒但」或「魔鬼」。</w:t>
      </w:r>
      <w:r>
        <w:rPr>
          <w:rStyle w:val="FootnoteReference"/>
        </w:rPr>
        <w:footnoteReference w:id="597"/>
      </w:r>
      <w:r>
        <w:t xml:space="preserve">教会教导说，撒但起初是神所造的一个良善的天使：「魔鬼和其他邪灵确实是神按其本性造为善的，但他们因自己的作为而变为恶。」</w:t>
      </w:r>
      <w:r>
        <w:rPr>
          <w:rStyle w:val="FootnoteReference"/>
        </w:rPr>
        <w:footnoteReference w:id="598"/>
      </w:r>
    </w:p>
    <w:p>
      <w:pPr>
        <w:pStyle w:val="BodyText"/>
      </w:pPr>
      <w:r>
        <w:t xml:space="preserve">圣经提到这些天使的罪。</w:t>
      </w:r>
      <w:r>
        <w:rPr>
          <w:rStyle w:val="FootnoteReference"/>
        </w:rPr>
        <w:footnoteReference w:id="599"/>
      </w:r>
      <w:r>
        <w:t xml:space="preserve">这「堕落」是这些受造的灵体自由选择的结果，他们彻底且不可挽回地</w:t>
      </w:r>
      <w:r>
        <w:rPr>
          <w:i/>
          <w:iCs/>
        </w:rPr>
        <w:t xml:space="preserve">拒绝</w:t>
      </w:r>
      <w:r>
        <w:t xml:space="preserve">了神和他的统治。我们在诱惑者对我们始祖的话中发现了这种叛逆的反映：「你们便如神」。</w:t>
      </w:r>
      <w:r>
        <w:rPr>
          <w:rStyle w:val="FootnoteReference"/>
        </w:rPr>
        <w:footnoteReference w:id="600"/>
      </w:r>
      <w:r>
        <w:t xml:space="preserve">魔鬼「从起初就犯罪」；他是「说谎者，也是说谎之人的父」。</w:t>
      </w:r>
      <w:r>
        <w:rPr>
          <w:rStyle w:val="FootnoteReference"/>
        </w:rPr>
        <w:footnoteReference w:id="601"/>
      </w:r>
    </w:p>
    <w:p>
      <w:pPr>
        <w:pStyle w:val="BodyText"/>
      </w:pPr>
      <w:r>
        <w:t xml:space="preserve">正是他们选择的</w:t>
      </w:r>
      <w:r>
        <w:rPr>
          <w:i/>
          <w:iCs/>
        </w:rPr>
        <w:t xml:space="preserve">不可撤销</w:t>
      </w:r>
      <w:r>
        <w:t xml:space="preserve">性，而非神的无限怜悯中有缺陷，使天使的罪不可饶恕。「天使堕落后不能悔改，就如人死后也不能悔改一样。」</w:t>
      </w:r>
      <w:r>
        <w:rPr>
          <w:rStyle w:val="FootnoteReference"/>
        </w:rPr>
        <w:footnoteReference w:id="602"/>
      </w:r>
    </w:p>
    <w:p>
      <w:pPr>
        <w:pStyle w:val="BodyText"/>
      </w:pPr>
      <w:r>
        <w:t xml:space="preserve">圣经见证了耶稣所称「从起初是杀人的」那位的灾难性影响，他甚至试图使耶稣偏离父所交付的使命。</w:t>
      </w:r>
      <w:r>
        <w:rPr>
          <w:rStyle w:val="FootnoteReference"/>
        </w:rPr>
        <w:footnoteReference w:id="603"/>
      </w:r>
      <w:r>
        <w:t xml:space="preserve">「神的儿子显现出来，为要除灭魔鬼的作为。」</w:t>
      </w:r>
      <w:r>
        <w:rPr>
          <w:rStyle w:val="FootnoteReference"/>
        </w:rPr>
        <w:footnoteReference w:id="604"/>
      </w:r>
      <w:r>
        <w:t xml:space="preserve">在其后果中，这些作为中最严重的是那欺骗性的诱惑，导致人不顺服神。</w:t>
      </w:r>
    </w:p>
    <w:p>
      <w:pPr>
        <w:pStyle w:val="BodyText"/>
      </w:pPr>
      <w:r>
        <w:t xml:space="preserve">然而，撒但的力量并非无限。他只是一个受造物，虽然因其纯粹的灵性而强大，但仍是受造物。他无法阻止神国度的建立。尽管撒但可能因憎恨神和他在基督耶稣里的国度而在世上行动，尽管他的行为可能给每个人和社会造成严重的伤害——在灵性上，间接地甚至在身体上——但这行为是神的眷顾所允许的，神以力量和温柔引导人类和宇宙的历史。神的眷顾允许魔鬼活动是一个伟大的奥秘，但「我们晓得万事都互相效力，叫爱神的人得益处。」</w:t>
      </w:r>
      <w:r>
        <w:rPr>
          <w:rStyle w:val="FootnoteReference"/>
        </w:rPr>
        <w:footnoteReference w:id="605"/>
      </w:r>
    </w:p>
    <w:bookmarkEnd w:id="606"/>
    <w:bookmarkStart w:id="634" w:name="三原罪"/>
    <w:p>
      <w:pPr>
        <w:pStyle w:val="Heading6"/>
      </w:pPr>
      <w:r>
        <w:t xml:space="preserve">三、原罪</w:t>
      </w:r>
    </w:p>
    <w:p>
      <w:pPr>
        <w:pStyle w:val="FirstParagraph"/>
      </w:pPr>
      <w:r>
        <w:rPr>
          <w:i/>
          <w:iCs/>
        </w:rPr>
        <w:t xml:space="preserve">自由受到考验</w:t>
      </w:r>
    </w:p>
    <w:p>
      <w:pPr>
        <w:pStyle w:val="BodyText"/>
      </w:pPr>
      <w:r>
        <w:t xml:space="preserve">神按照自己的形象创造了人，使他与神相交。人作为灵性的受造物，唯有在自由顺服神时，才能活出这种友谊。「不可吃『分别善恶树』上的果子」的禁令阐明了这一点：「因为你吃的日子必定死。」</w:t>
      </w:r>
      <w:r>
        <w:rPr>
          <w:rStyle w:val="FootnoteReference"/>
        </w:rPr>
        <w:footnoteReference w:id="607"/>
      </w:r>
      <w:r>
        <w:t xml:space="preserve">「分别善恶树」象征着人作为受造物，必须自由地承认并信赖地尊重的不可逾越的限制。人依赖于他的创造主，受创造的法则和支配自由运用的道德规范所约束。</w:t>
      </w:r>
    </w:p>
    <w:p>
      <w:pPr>
        <w:pStyle w:val="BodyText"/>
      </w:pPr>
      <w:r>
        <w:rPr>
          <w:i/>
          <w:iCs/>
        </w:rPr>
        <w:t xml:space="preserve">人的第一次罪</w:t>
      </w:r>
    </w:p>
    <w:p>
      <w:pPr>
        <w:pStyle w:val="BodyText"/>
      </w:pPr>
      <w:r>
        <w:t xml:space="preserve">人，在魔鬼的诱惑下，让他对造物主的信任在心中消亡，滥用自由，违背了神的命令。这就是人的第一次罪的本质。</w:t>
      </w:r>
      <w:r>
        <w:rPr>
          <w:rStyle w:val="FootnoteReference"/>
        </w:rPr>
        <w:footnoteReference w:id="608"/>
      </w:r>
      <w:r>
        <w:t xml:space="preserve">此后的所有罪都是对神的不顺服，以及对他良善的不信任。</w:t>
      </w:r>
    </w:p>
    <w:p>
      <w:pPr>
        <w:pStyle w:val="BodyText"/>
      </w:pPr>
      <w:r>
        <w:t xml:space="preserve">在那罪中，人</w:t>
      </w:r>
      <w:r>
        <w:rPr>
          <w:i/>
          <w:iCs/>
        </w:rPr>
        <w:t xml:space="preserve">将自己置于神之上</w:t>
      </w:r>
      <w:r>
        <w:t xml:space="preserve">，并以此行为轻视他。他选择了自己而违背神，违背了他作为受造物的身份要求，因此也违背了他自己的益处。被置于圣洁的状态中，人本应注定在荣耀中被神完全「神化」。受魔鬼的诱惑，他想要「像神一样」，但「没有神，超越神，不按照神的心意」。</w:t>
      </w:r>
      <w:r>
        <w:rPr>
          <w:rStyle w:val="FootnoteReference"/>
        </w:rPr>
        <w:footnoteReference w:id="609"/>
      </w:r>
    </w:p>
    <w:p>
      <w:pPr>
        <w:pStyle w:val="BodyText"/>
      </w:pPr>
      <w:r>
        <w:t xml:space="preserve">圣经描绘了这首次不顺服的悲惨后果。亚当和夏娃立即失去了原初圣洁的恩典。</w:t>
      </w:r>
      <w:r>
        <w:rPr>
          <w:rStyle w:val="FootnoteReference"/>
        </w:rPr>
        <w:footnoteReference w:id="610"/>
      </w:r>
      <w:r>
        <w:t xml:space="preserve">他们对神产生了扭曲的形象，因而惧怕他——以为他是嫉妒自己特权的神。</w:t>
      </w:r>
      <w:r>
        <w:rPr>
          <w:rStyle w:val="FootnoteReference"/>
        </w:rPr>
        <w:footnoteReference w:id="611"/>
      </w:r>
    </w:p>
    <w:p>
      <w:pPr>
        <w:pStyle w:val="BodyText"/>
      </w:pPr>
      <w:r>
        <w:t xml:space="preserve">他们原本因原始的正义而享有的和谐现已毁坏：灵魂对身体的掌控被打破；男女之间的结合开始受到张力的影响，他们的关系从此被情欲和辖制所标记。</w:t>
      </w:r>
      <w:r>
        <w:rPr>
          <w:rStyle w:val="FootnoteReference"/>
        </w:rPr>
        <w:footnoteReference w:id="612"/>
      </w:r>
      <w:r>
        <w:t xml:space="preserve">与受造物的和谐被打破：可见的受造物对人变得陌生和敌对。</w:t>
      </w:r>
      <w:r>
        <w:rPr>
          <w:rStyle w:val="FootnoteReference"/>
        </w:rPr>
        <w:footnoteReference w:id="613"/>
      </w:r>
      <w:r>
        <w:t xml:space="preserve">因为人的缘故，受造物如今「服在虚空之下」。</w:t>
      </w:r>
      <w:r>
        <w:rPr>
          <w:rStyle w:val="FootnoteReference"/>
        </w:rPr>
        <w:footnoteReference w:id="614"/>
      </w:r>
      <w:r>
        <w:t xml:space="preserve">最后，对这不顺服明确预言的后果将成为现实：人要「归于尘土」，</w:t>
      </w:r>
      <w:r>
        <w:rPr>
          <w:rStyle w:val="FootnoteReference"/>
        </w:rPr>
        <w:footnoteReference w:id="615"/>
      </w:r>
      <w:r>
        <w:t xml:space="preserve">因为他是从尘土而出。</w:t>
      </w:r>
      <w:r>
        <w:rPr>
          <w:i/>
          <w:iCs/>
        </w:rPr>
        <w:t xml:space="preserve">死亡进入了人类历史</w:t>
      </w:r>
      <w:r>
        <w:t xml:space="preserve">。</w:t>
      </w:r>
      <w:r>
        <w:rPr>
          <w:rStyle w:val="FootnoteReference"/>
        </w:rPr>
        <w:footnoteReference w:id="616"/>
      </w:r>
    </w:p>
    <w:p>
      <w:pPr>
        <w:pStyle w:val="BodyText"/>
      </w:pPr>
      <w:r>
        <w:t xml:space="preserve">第一次罪之后，罪几乎淹没了整个世界。有该隐杀害他的兄弟亚伯，以及随之而来的普遍败坏。同样，罪在以色列的历史中频繁地显现，尤其表现为对立约之神的不忠，以及对摩西律法的违背。即使在基督的赎罪之后，罪仍以无数方式在基督徒中抬头。</w:t>
      </w:r>
      <w:r>
        <w:rPr>
          <w:rStyle w:val="FootnoteReference"/>
        </w:rPr>
        <w:footnoteReference w:id="617"/>
      </w:r>
      <w:r>
        <w:t xml:space="preserve">圣经和教会的圣传不断提醒我们</w:t>
      </w:r>
      <w:r>
        <w:rPr>
          <w:i/>
          <w:iCs/>
        </w:rPr>
        <w:t xml:space="preserve">人类历史中罪的存在和普遍性</w:t>
      </w:r>
      <w:r>
        <w:t xml:space="preserve">：</w:t>
      </w:r>
    </w:p>
    <w:p>
      <w:pPr>
        <w:pStyle w:val="BodyText"/>
      </w:pPr>
      <w:r>
        <w:t xml:space="preserve">启示向我们揭示的内容，我们自身的经验也证实了。因为当人审视自己的内心时，他发现自己被吸引向错误，沉沦在许多邪恶之中，这些邪恶不可能来自他良善的创造主。人常常拒绝承认神是他的源头，因此也扰乱了他与终极目标之间应有的关系，同时也破坏了他自身内部，以及他与其他人和所有受造物之间应当存在的正确秩序。</w:t>
      </w:r>
      <w:r>
        <w:rPr>
          <w:rStyle w:val="FootnoteReference"/>
        </w:rPr>
        <w:footnoteReference w:id="618"/>
      </w:r>
    </w:p>
    <w:p>
      <w:pPr>
        <w:pStyle w:val="BodyText"/>
      </w:pPr>
      <w:r>
        <w:rPr>
          <w:i/>
          <w:iCs/>
        </w:rPr>
        <w:t xml:space="preserve">亚当的罪对人类的后果</w:t>
      </w:r>
    </w:p>
    <w:p>
      <w:pPr>
        <w:pStyle w:val="BodyText"/>
      </w:pPr>
      <w:r>
        <w:t xml:space="preserve">所有人都与亚当的罪有牵连，正如圣保罗所确认的：「因一人的悖逆，众人（即所有人）成为罪人」；「这就如罪是从一人入了世界，死又是从罪来的，于是死就临到众人，因为众人都犯了罪。」</w:t>
      </w:r>
      <w:r>
        <w:rPr>
          <w:rStyle w:val="FootnoteReference"/>
        </w:rPr>
        <w:footnoteReference w:id="619"/>
      </w:r>
      <w:r>
        <w:t xml:space="preserve">使徒将罪和死亡的普遍性与基督里救恩的普遍性作对比。「如此说来，因一次的过犯，众人都被定罪；照样，因一次的义行，众人也就被称义得生命了。」</w:t>
      </w:r>
      <w:r>
        <w:rPr>
          <w:rStyle w:val="FootnoteReference"/>
        </w:rPr>
        <w:footnoteReference w:id="620"/>
      </w:r>
    </w:p>
    <w:p>
      <w:pPr>
        <w:pStyle w:val="BodyText"/>
      </w:pPr>
      <w:r>
        <w:t xml:space="preserve">遵循圣保罗的教导，教会一直教导说，压迫人类的极大苦难，以及他们倾向于邪恶和死亡的倾向，若不与亚当的罪及他传给我们的罪联系起来，是无法理解的。我们生来就受此罪的缠累，这罪就是「灵魂的死亡」。</w:t>
      </w:r>
      <w:r>
        <w:rPr>
          <w:rStyle w:val="FootnoteReference"/>
        </w:rPr>
        <w:footnoteReference w:id="621"/>
      </w:r>
      <w:r>
        <w:t xml:space="preserve">正因为有了这种信仰的确据，教会甚至为那些尚未犯下个人罪的婴孩施行赦罪的洗礼。</w:t>
      </w:r>
      <w:r>
        <w:rPr>
          <w:rStyle w:val="FootnoteReference"/>
        </w:rPr>
        <w:footnoteReference w:id="622"/>
      </w:r>
    </w:p>
    <w:p>
      <w:pPr>
        <w:pStyle w:val="BodyText"/>
      </w:pPr>
      <w:r>
        <w:t xml:space="preserve">亚当的罪如何成为他所有后裔的罪呢？全人类在亚当里面，「如同一人的一个身体」。</w:t>
      </w:r>
      <w:r>
        <w:rPr>
          <w:rStyle w:val="FootnoteReference"/>
        </w:rPr>
        <w:footnoteReference w:id="623"/>
      </w:r>
      <w:r>
        <w:t xml:space="preserve">借着这种「人类的合一」，所有人都涉及亚当的罪，正如所有人都涉及基督的公义。然而，原罪的传递是我们无法完全理解的奥秘。但我们从启示中知道，亚当所领受的原初圣洁和公义，不仅为他自己，也是为全人类的本性。亚当和夏娃顺从了那试探人的，犯了</w:t>
      </w:r>
      <w:r>
        <w:rPr>
          <w:i/>
          <w:iCs/>
        </w:rPr>
        <w:t xml:space="preserve">个人的罪</w:t>
      </w:r>
      <w:r>
        <w:t xml:space="preserve">，但这罪影响了他们将在</w:t>
      </w:r>
      <w:r>
        <w:rPr>
          <w:i/>
          <w:iCs/>
        </w:rPr>
        <w:t xml:space="preserve">堕落状态</w:t>
      </w:r>
      <w:r>
        <w:t xml:space="preserve">中传递的人性。</w:t>
      </w:r>
      <w:r>
        <w:rPr>
          <w:rStyle w:val="FootnoteReference"/>
        </w:rPr>
        <w:footnoteReference w:id="624"/>
      </w:r>
      <w:r>
        <w:t xml:space="preserve">这罪将通过繁衍传给全人类，就是通过一个被剥夺了原初圣洁和公义的人性来传递。因此，原罪被称为「罪」只是类比性的：它是</w:t>
      </w:r>
      <w:r>
        <w:rPr>
          <w:i/>
          <w:iCs/>
        </w:rPr>
        <w:t xml:space="preserve">承受</w:t>
      </w:r>
      <w:r>
        <w:t xml:space="preserve">的罪，而非</w:t>
      </w:r>
      <w:r>
        <w:rPr>
          <w:i/>
          <w:iCs/>
        </w:rPr>
        <w:t xml:space="preserve">犯下</w:t>
      </w:r>
      <w:r>
        <w:t xml:space="preserve">的罪——一种状态，而非一个行为。</w:t>
      </w:r>
    </w:p>
    <w:p>
      <w:pPr>
        <w:pStyle w:val="BodyText"/>
      </w:pPr>
      <w:r>
        <w:t xml:space="preserve">虽然原罪属于每个人，</w:t>
      </w:r>
      <w:r>
        <w:rPr>
          <w:rStyle w:val="FootnoteReference"/>
        </w:rPr>
        <w:footnoteReference w:id="625"/>
      </w:r>
      <w:r>
        <w:t xml:space="preserve">但在亚当的任何后裔中，原罪并不具有个人过失的性质。它是对原初圣洁和公义的剥夺，但人性并未完全败坏，而是在其本有的自然能力上受了创伤，受制于无知、痛苦和死亡的统治，且倾向于犯罪——这种倾向于邪恶的倾向被称为私欲。洗礼，借着赐予基督恩典的生命，涂抹原罪，使人回归神，但在人性中，那软弱且倾向于邪恶的后果仍然存在，召唤他进行属灵的争战。</w:t>
      </w:r>
    </w:p>
    <w:p>
      <w:pPr>
        <w:pStyle w:val="BodyText"/>
      </w:pPr>
      <w:r>
        <w:t xml:space="preserve">教会关于原罪传递的教导在 5 世纪得到更精确的阐述，尤其是在圣奥古斯丁反对伯拉纠主义的思考推动下，以及在 16 世纪，为对抗新教改革。伯拉纠认为人可以凭借自由意志的自然力量，无需神恩典的必要帮助，就能过道德良善的生活；他因此将亚当过犯的影响仅仅归结为坏榜样。相反，最初的新教改革者们教导说，原罪已经彻底败坏了人并摧毁了他的自由；他们将每个人继承的罪等同于向恶的倾向（私欲），认为这是不可克服的。教会对启示中关于原罪的数据作出了阐明，特别是在第二次奥兰治会议（529 年）</w:t>
      </w:r>
      <w:r>
        <w:rPr>
          <w:rStyle w:val="FootnoteReference"/>
        </w:rPr>
        <w:footnoteReference w:id="626"/>
      </w:r>
      <w:r>
        <w:t xml:space="preserve">和特利腾大公会议（1546 年）。</w:t>
      </w:r>
      <w:r>
        <w:rPr>
          <w:rStyle w:val="FootnoteReference"/>
        </w:rPr>
        <w:footnoteReference w:id="627"/>
      </w:r>
    </w:p>
    <w:p>
      <w:pPr>
        <w:pStyle w:val="BodyText"/>
      </w:pPr>
      <w:r>
        <w:rPr>
          <w:i/>
          <w:iCs/>
        </w:rPr>
        <w:t xml:space="preserve">「艰难的战斗……」</w:t>
      </w:r>
    </w:p>
    <w:p>
      <w:pPr>
        <w:pStyle w:val="BodyText"/>
      </w:pPr>
      <w:r>
        <w:t xml:space="preserve">原罪的教义与基督救赎的教义密切相连，为人在世界上的处境和行为提供了清晰的辨识。因我们始祖的罪，魔鬼获得了对人的某种统治，尽管人仍然是自由的。原罪导致「人被置于死权之下，即魔鬼权势之下」。</w:t>
      </w:r>
      <w:r>
        <w:rPr>
          <w:rStyle w:val="FootnoteReference"/>
        </w:rPr>
        <w:footnoteReference w:id="628"/>
      </w:r>
      <w:r>
        <w:t xml:space="preserve">忽视人有倾向于邪恶的受伤本性这一事实，会在教育、政治、社会行动</w:t>
      </w:r>
      <w:r>
        <w:rPr>
          <w:rStyle w:val="FootnoteReference"/>
        </w:rPr>
        <w:footnoteReference w:id="629"/>
      </w:r>
      <w:r>
        <w:t xml:space="preserve">和道德领域引发严重错误。</w:t>
      </w:r>
    </w:p>
    <w:p>
      <w:pPr>
        <w:pStyle w:val="BodyText"/>
      </w:pPr>
      <w:r>
        <w:t xml:space="preserve">原罪的后果和所有人个人罪的结果，使整个世界处于一种罪的状态，正如圣约翰所描述的「世人的罪」。</w:t>
      </w:r>
      <w:r>
        <w:rPr>
          <w:rStyle w:val="FootnoteReference"/>
        </w:rPr>
        <w:footnoteReference w:id="630"/>
      </w:r>
      <w:r>
        <w:t xml:space="preserve">这个表达也可以指由人的罪所产生的公共状况和社会结构对人所施加的负面影响。</w:t>
      </w:r>
      <w:r>
        <w:rPr>
          <w:rStyle w:val="FootnoteReference"/>
        </w:rPr>
        <w:footnoteReference w:id="631"/>
      </w:r>
    </w:p>
    <w:p>
      <w:pPr>
        <w:pStyle w:val="BodyText"/>
      </w:pPr>
      <w:r>
        <w:t xml:space="preserve">这种「全世界都卧在那恶者手下」</w:t>
      </w:r>
      <w:r>
        <w:rPr>
          <w:rStyle w:val="FootnoteReference"/>
        </w:rPr>
        <w:footnoteReference w:id="632"/>
      </w:r>
      <w:r>
        <w:t xml:space="preserve">的严峻局面，使人的生活成为一场战斗：</w:t>
      </w:r>
    </w:p>
    <w:p>
      <w:pPr>
        <w:pStyle w:val="BodyText"/>
      </w:pPr>
      <w:r>
        <w:t xml:space="preserve">整个人类的历史，就是与邪恶势力进行严酷斗争的故事，正如我们的主告诉我们的那样，从历史的黎明直到末日。人发现自己置身于战场之中，必须为行善而奋斗，他只有在付出巨大的代价并在神的恩典帮助下，才能成功地实现自身内在的完整。</w:t>
      </w:r>
      <w:r>
        <w:rPr>
          <w:rStyle w:val="FootnoteReference"/>
        </w:rPr>
        <w:footnoteReference w:id="633"/>
      </w:r>
    </w:p>
    <w:bookmarkEnd w:id="634"/>
    <w:bookmarkStart w:id="640" w:name="四你没有把他弃于死亡的权势"/>
    <w:p>
      <w:pPr>
        <w:pStyle w:val="Heading6"/>
      </w:pPr>
      <w:r>
        <w:t xml:space="preserve">四、「你没有把他弃于死亡的权势」</w:t>
      </w:r>
    </w:p>
    <w:p>
      <w:pPr>
        <w:pStyle w:val="FirstParagraph"/>
      </w:pPr>
      <w:r>
        <w:t xml:space="preserve">「人在堕落之后，神并没有弃绝他。相反，神呼唤他，并以一种奥秘的方式预告他将战胜邪恶，从堕落中恢复过来。</w:t>
      </w:r>
      <w:r>
        <w:rPr>
          <w:rStyle w:val="FootnoteReference"/>
        </w:rPr>
        <w:footnoteReference w:id="635"/>
      </w:r>
      <w:r>
        <w:t xml:space="preserve">《创世记》中的这段经文被称为</w:t>
      </w:r>
      <w:r>
        <w:rPr>
          <w:i/>
          <w:iCs/>
        </w:rPr>
        <w:t xml:space="preserve">原始福音</w:t>
      </w:r>
      <w:r>
        <w:t xml:space="preserve">（protoevangelium）：第一次宣告了弥赛亚和救赎主，宣告了蛇与女人之间的争战，以及她后裔最终的胜利。」</w:t>
      </w:r>
    </w:p>
    <w:p>
      <w:pPr>
        <w:pStyle w:val="BodyText"/>
      </w:pPr>
      <w:r>
        <w:t xml:space="preserve">基督教传统在这段经文中看到了「新亚当」的预告，因为他「顺服至死，且死在十字架上」，为亚当的不顺服作了超丰盛的补偿。</w:t>
      </w:r>
      <w:r>
        <w:rPr>
          <w:rStyle w:val="FootnoteReference"/>
        </w:rPr>
        <w:footnoteReference w:id="636"/>
      </w:r>
      <w:r>
        <w:t xml:space="preserve">此外，许多教会的教父和圣师将原始福音中预告的女人视为基督的母亲马利亚，即「新夏娃」。马利亚首先并独特地受益于基督战胜罪恶的胜利：她从原罪的任何玷污中被保守，并且在神特殊的恩典下，在她整个地上的生命中，没有犯过任何罪。</w:t>
      </w:r>
      <w:r>
        <w:rPr>
          <w:rStyle w:val="FootnoteReference"/>
        </w:rPr>
        <w:footnoteReference w:id="637"/>
      </w:r>
    </w:p>
    <w:p>
      <w:pPr>
        <w:pStyle w:val="BodyText"/>
      </w:pPr>
      <w:r>
        <w:t xml:space="preserve">但</w:t>
      </w:r>
      <w:r>
        <w:rPr>
          <w:i/>
          <w:iCs/>
        </w:rPr>
        <w:t xml:space="preserve">为什么神没有阻止第一个人犯罪</w:t>
      </w:r>
      <w:r>
        <w:t xml:space="preserve">？圣良回答说：「基督的不可言喻的恩典给了我们比魔鬼的嫉妒所夺走的更好的祝福。」</w:t>
      </w:r>
      <w:r>
        <w:rPr>
          <w:rStyle w:val="FootnoteReference"/>
        </w:rPr>
        <w:footnoteReference w:id="638"/>
      </w:r>
      <w:r>
        <w:t xml:space="preserve">圣托马斯·阿奎那写道：「即使在犯罪之后，也没有什么能阻止人性被提升到更高的境界；神允许罪恶存在，为的是从中引出更大的善。因此圣保罗说：『罪在哪里显多，恩典就更显多了』；《逾越颂》也唱道：『幸福的过犯啊……为我们赢得了如此伟大的救主！』」</w:t>
      </w:r>
      <w:r>
        <w:rPr>
          <w:rStyle w:val="FootnoteReference"/>
        </w:rPr>
        <w:footnoteReference w:id="639"/>
      </w:r>
    </w:p>
    <w:bookmarkEnd w:id="640"/>
    <w:bookmarkStart w:id="641" w:name="综述-11"/>
    <w:p>
      <w:pPr>
        <w:pStyle w:val="Heading6"/>
      </w:pPr>
      <w:r>
        <w:t xml:space="preserve">综述</w:t>
      </w:r>
    </w:p>
    <w:p>
      <w:pPr>
        <w:pStyle w:val="FirstParagraph"/>
      </w:pPr>
      <w:r>
        <w:t xml:space="preserve">「神并没有造死亡，也不喜悦活人的灭亡……是因魔鬼的嫉妒，死亡才进入了世界。」（智 1:13；2:24）</w:t>
      </w:r>
    </w:p>
    <w:p>
      <w:pPr>
        <w:pStyle w:val="BodyText"/>
      </w:pPr>
      <w:r>
        <w:t xml:space="preserve">撒但或魔鬼以及其他邪灵都是堕落的天使，他们自由地拒绝事奉神和他的计划。他们反对神的选择是最终的。他们试图使人与他们一同反叛神。</w:t>
      </w:r>
    </w:p>
    <w:p>
      <w:pPr>
        <w:pStyle w:val="BodyText"/>
      </w:pPr>
      <w:r>
        <w:t xml:space="preserve">「虽然神将人安置于正直的状态，但人在历史的开端就受到那恶者的诱惑，滥用了自己的自由。他高抬自己反对神，企图脱离神而达到自己的目标」（GS 13 § 1）。</w:t>
      </w:r>
    </w:p>
    <w:p>
      <w:pPr>
        <w:pStyle w:val="BodyText"/>
      </w:pPr>
      <w:r>
        <w:t xml:space="preserve">亚当作为第一个人，因他的罪失去了从神那里领受的原初圣洁和公义，这不仅是为他自己，也是为所有的人类。</w:t>
      </w:r>
    </w:p>
    <w:p>
      <w:pPr>
        <w:pStyle w:val="BodyText"/>
      </w:pPr>
      <w:r>
        <w:t xml:space="preserve">亚当和夏娃将被他们自己的第一次罪行所伤害的人性传给了他们的后代，因此失去了原初的圣洁和公义；这种失去被称为「原罪」。</w:t>
      </w:r>
    </w:p>
    <w:p>
      <w:pPr>
        <w:pStyle w:val="BodyText"/>
      </w:pPr>
      <w:r>
        <w:t xml:space="preserve">原罪的结果是，人性在其能力上被削弱，受制于无知、痛苦和死亡的支配，并倾向于犯罪（这种倾向被称为「私欲」）。</w:t>
      </w:r>
    </w:p>
    <w:p>
      <w:pPr>
        <w:pStyle w:val="BodyText"/>
      </w:pPr>
      <w:r>
        <w:t xml:space="preserve">「因此，我们与特利腾大公会议一致认为，原罪是随着人性传递的，『通过延续，而非模仿』，并且它是……『每个人所固有的』」（保禄六世，《天主子民的信经》§ 16）。</w:t>
      </w:r>
    </w:p>
    <w:p>
      <w:pPr>
        <w:pStyle w:val="BodyText"/>
      </w:pPr>
      <w:r>
        <w:t xml:space="preserve">基督战胜罪恶所赢得的胜利给了我们比罪夺走的更大的祝福：「罪在哪里显多，恩典就更显多了」（罗 5:20）。</w:t>
      </w:r>
    </w:p>
    <w:p>
      <w:pPr>
        <w:pStyle w:val="BodyText"/>
      </w:pPr>
      <w:r>
        <w:t xml:space="preserve">基督徒相信「世界是由创造主的爱所建立和维系的；它曾陷入罪的奴役，但已被钉十字架并复活的基督所释放，打破了那恶者的权势……」（GS 2 § 2）。</w:t>
      </w:r>
    </w:p>
    <w:p>
      <w:r>
        <w:br w:type="page"/>
      </w:r>
    </w:p>
    <w:bookmarkEnd w:id="641"/>
    <w:bookmarkEnd w:id="642"/>
    <w:bookmarkEnd w:id="643"/>
    <w:bookmarkEnd w:id="644"/>
    <w:bookmarkStart w:id="1281" w:name="第二章我信耶稣基督神的独生子"/>
    <w:p>
      <w:pPr>
        <w:pStyle w:val="Heading3"/>
      </w:pPr>
      <w:r>
        <w:t xml:space="preserve">第二章：我信耶稣基督，神的独生子</w:t>
      </w:r>
    </w:p>
    <w:bookmarkStart w:id="654" w:name="好消息神差遣了他的儿子"/>
    <w:p>
      <w:pPr>
        <w:pStyle w:val="Heading4"/>
      </w:pPr>
      <w:r>
        <w:t xml:space="preserve">好消息：神差遣了他的儿子</w:t>
      </w:r>
    </w:p>
    <w:p>
      <w:pPr>
        <w:pStyle w:val="FirstParagraph"/>
      </w:pPr>
      <w:r>
        <w:t xml:space="preserve">「及至时候满足，神就差遣他的儿子，为女子所生，且生在律法以下，要把律法以下的人赎出来，叫我们得着儿子的名分。」</w:t>
      </w:r>
      <w:r>
        <w:rPr>
          <w:rStyle w:val="FootnoteReference"/>
        </w:rPr>
        <w:footnoteReference w:id="645"/>
      </w:r>
      <w:r>
        <w:t xml:space="preserve">这就是「神的儿子，耶稣基督的福音」：</w:t>
      </w:r>
      <w:r>
        <w:rPr>
          <w:rStyle w:val="FootnoteReference"/>
        </w:rPr>
        <w:footnoteReference w:id="646"/>
      </w:r>
      <w:r>
        <w:t xml:space="preserve">神眷顾了他的子民。他实现了对亚伯拉罕和他后裔的应许。他的作为远超所有的期待——他差遣了他自己的「爱子」。</w:t>
      </w:r>
      <w:r>
        <w:rPr>
          <w:rStyle w:val="FootnoteReference"/>
        </w:rPr>
        <w:footnoteReference w:id="647"/>
      </w:r>
    </w:p>
    <w:p>
      <w:pPr>
        <w:pStyle w:val="BodyText"/>
      </w:pPr>
      <w:r>
        <w:t xml:space="preserve">我们相信并宣认，拿撒勒人耶稣，在希律大王和凯撒·奥古斯都皇帝的时期，出生于伯利恒，以色列女子所生的犹太人，以木匠为业，在提比略皇帝统治期间，于巡抚本丢·彼拉多手下，在耶路撒冷被钉十字架而死，就是成为人、永恒的神的儿子。他「从神那里来」，</w:t>
      </w:r>
      <w:r>
        <w:rPr>
          <w:rStyle w:val="FootnoteReference"/>
        </w:rPr>
        <w:footnoteReference w:id="648"/>
      </w:r>
      <w:r>
        <w:t xml:space="preserve">「从天降下」，</w:t>
      </w:r>
      <w:r>
        <w:rPr>
          <w:rStyle w:val="FootnoteReference"/>
        </w:rPr>
        <w:footnoteReference w:id="649"/>
      </w:r>
      <w:r>
        <w:t xml:space="preserve">并「在肉身来」。</w:t>
      </w:r>
      <w:r>
        <w:rPr>
          <w:rStyle w:val="FootnoteReference"/>
        </w:rPr>
        <w:footnoteReference w:id="650"/>
      </w:r>
      <w:r>
        <w:t xml:space="preserve">因为「道成了肉身，住在我们中间，充充满满地有恩典有真理。我们也见过他的荣光，正是父独生子的荣光。……从他丰满的恩典里，我们都领受了，而且恩上加恩。」</w:t>
      </w:r>
      <w:r>
        <w:rPr>
          <w:rStyle w:val="FootnoteReference"/>
        </w:rPr>
        <w:footnoteReference w:id="651"/>
      </w:r>
    </w:p>
    <w:p>
      <w:pPr>
        <w:pStyle w:val="BodyText"/>
      </w:pPr>
      <w:r>
        <w:t xml:space="preserve">在圣灵恩典的感动和天父的吸引下，我们相信耶稣并宣认：「你是基督，是永生神的儿子。」</w:t>
      </w:r>
      <w:r>
        <w:rPr>
          <w:rStyle w:val="FootnoteReference"/>
        </w:rPr>
        <w:footnoteReference w:id="652"/>
      </w:r>
      <w:r>
        <w:t xml:space="preserve">基督在圣彼得所宣认的这信仰的磐石上建立了他的教会。</w:t>
      </w:r>
      <w:r>
        <w:rPr>
          <w:rStyle w:val="FootnoteReference"/>
        </w:rPr>
        <w:footnoteReference w:id="653"/>
      </w:r>
    </w:p>
    <w:bookmarkEnd w:id="654"/>
    <w:bookmarkStart w:id="657" w:name="传讲基督那测不透的丰富"/>
    <w:p>
      <w:pPr>
        <w:pStyle w:val="Heading4"/>
      </w:pPr>
      <w:r>
        <w:t xml:space="preserve">「传讲……基督那测不透的丰富」</w:t>
      </w:r>
    </w:p>
    <w:p>
      <w:pPr>
        <w:pStyle w:val="FirstParagraph"/>
      </w:pPr>
      <w:r>
        <w:t xml:space="preserve">基督信仰的传递主要在于宣讲耶稣基督，使他人信靠他。从一开始，最初的门徒就怀着宣讲基督的炽热渴望：「我们所看见所听见的，不能不说。」</w:t>
      </w:r>
      <w:r>
        <w:rPr>
          <w:rStyle w:val="FootnoteReference"/>
        </w:rPr>
        <w:footnoteReference w:id="655"/>
      </w:r>
      <w:r>
        <w:t xml:space="preserve">他们邀请每个时代的人进入与基督相交的喜乐：</w:t>
      </w:r>
    </w:p>
    <w:p>
      <w:pPr>
        <w:pStyle w:val="BodyText"/>
      </w:pPr>
      <w:r>
        <w:t xml:space="preserve">论到从起初原有的生命之道，就是我们所听见、所看见、亲眼看过、亲手摸过的。（这生命已经显现出来，我们也看见过，现在又作见证，将原与父同在、且显现与我们那永远的生命传给你们。）我们将所看见、所听见的传给你们，使你们与我们相交。我们乃是与父并他儿子耶稣基督相交的。我们将这些话写给你们，使你们的喜乐充足。</w:t>
      </w:r>
      <w:r>
        <w:rPr>
          <w:rStyle w:val="FootnoteReference"/>
        </w:rPr>
        <w:footnoteReference w:id="656"/>
      </w:r>
    </w:p>
    <w:bookmarkEnd w:id="657"/>
    <w:bookmarkStart w:id="663" w:name="教理讲授的核心基督"/>
    <w:p>
      <w:pPr>
        <w:pStyle w:val="Heading4"/>
      </w:pPr>
      <w:r>
        <w:t xml:space="preserve">教理讲授的核心：基督</w:t>
      </w:r>
    </w:p>
    <w:p>
      <w:pPr>
        <w:pStyle w:val="FirstParagraph"/>
      </w:pPr>
      <w:r>
        <w:t xml:space="preserve">「在教理讲授的核心，我们本质上发现的是一个位格，拿撒勒人耶稣的位格，父的独生子……他为我们受苦受死，现在复活后永远与我们同在。」</w:t>
      </w:r>
      <w:r>
        <w:rPr>
          <w:rStyle w:val="FootnoteReference"/>
        </w:rPr>
        <w:footnoteReference w:id="658"/>
      </w:r>
      <w:r>
        <w:t xml:space="preserve">教理讲授就是「在基督的位格中揭示神永恒计划的全貌，这计划在基督身上得到实现。它是要寻求理解基督的行为和言语，以及他所行的神迹的意义。」</w:t>
      </w:r>
      <w:r>
        <w:rPr>
          <w:rStyle w:val="FootnoteReference"/>
        </w:rPr>
        <w:footnoteReference w:id="659"/>
      </w:r>
      <w:r>
        <w:t xml:space="preserve">教理讲授的目的是使「人们……与耶稣基督相交：只有他能引导我们在圣灵里爱父，并使我们分享圣三一的生命。」</w:t>
      </w:r>
      <w:r>
        <w:rPr>
          <w:rStyle w:val="FootnoteReference"/>
        </w:rPr>
        <w:footnoteReference w:id="660"/>
      </w:r>
    </w:p>
    <w:p>
      <w:pPr>
        <w:pStyle w:val="BodyText"/>
      </w:pPr>
      <w:r>
        <w:t xml:space="preserve">在教理讲授中，「所教导的是基督，成为了肉身的道，神的儿子……其他一切都是参照他而教导的——而且只有基督在教导——其他人教导的程度，只在于他是基督的代言人，使基督能用他的嘴唇教导……每个教理讲授者都应当能将耶稣的这句奥秘的话应用于自己身上：『我的教训不是我自己的，乃是那差我来者的。』」</w:t>
      </w:r>
      <w:r>
        <w:rPr>
          <w:rStyle w:val="FootnoteReference"/>
        </w:rPr>
        <w:footnoteReference w:id="661"/>
      </w:r>
    </w:p>
    <w:p>
      <w:pPr>
        <w:pStyle w:val="BodyText"/>
      </w:pPr>
      <w:r>
        <w:t xml:space="preserve">凡蒙召「教导基督」的人，必须首先寻求「认识我主基督耶稣为至宝」；他必须「丢弃万事」……为要「得着基督，并且得以在他里面」，并且「认识基督，晓得他复活的大能，并且晓得和他一同受苦，效法他的死，或者我也得以从死里复活。」</w:t>
      </w:r>
      <w:r>
        <w:rPr>
          <w:rStyle w:val="FootnoteReference"/>
        </w:rPr>
        <w:footnoteReference w:id="662"/>
      </w:r>
    </w:p>
    <w:p>
      <w:pPr>
        <w:pStyle w:val="BodyText"/>
      </w:pPr>
      <w:r>
        <w:t xml:space="preserve">从这对基督充满爱的认识中，涌现出宣讲他的渴望，去「传福音」，并引导他人对耶稣基督说出信仰的「是」。但同时，也感到需要更好地认识这信仰。为此，按照信经的顺序，耶稣的主要称号——「基督」、「神的儿子」和「主」（第 2 条）——将被呈现。信经接着宣认他生平的主要奥秘——他的道成肉身（第 3 条）、逾越奥秘（第 4 和 5 条）和得荣耀（第 6 和 7 条）。</w:t>
      </w:r>
    </w:p>
    <w:p>
      <w:r>
        <w:br w:type="page"/>
      </w:r>
    </w:p>
    <w:bookmarkEnd w:id="663"/>
    <w:bookmarkStart w:id="721" w:name="第二条我信我主耶稣基督上帝独生的子"/>
    <w:p>
      <w:pPr>
        <w:pStyle w:val="Heading4"/>
      </w:pPr>
      <w:r>
        <w:t xml:space="preserve">第二条：「我信我主耶稣基督，上帝独生的子」</w:t>
      </w:r>
    </w:p>
    <w:bookmarkStart w:id="675" w:name="一耶稣"/>
    <w:p>
      <w:pPr>
        <w:pStyle w:val="Heading5"/>
      </w:pPr>
      <w:r>
        <w:t xml:space="preserve">一、耶稣</w:t>
      </w:r>
    </w:p>
    <w:p>
      <w:pPr>
        <w:pStyle w:val="FirstParagraph"/>
      </w:pPr>
      <w:r>
        <w:t xml:space="preserve">耶稣这个名字在希伯来语中的意思是：「神拯救」。在天使报喜时，天使加百列给他起名叫耶稣，作为他的本名，这名字既表达了他的身份，也表达了他的使命。</w:t>
      </w:r>
      <w:r>
        <w:rPr>
          <w:rStyle w:val="FootnoteReference"/>
        </w:rPr>
        <w:footnoteReference w:id="664"/>
      </w:r>
      <w:r>
        <w:t xml:space="preserve">因为唯有神能赦罪，所以是神在他永恒的儿子耶稣成为人的身上，「要将自己的百姓从罪恶里救出来。」</w:t>
      </w:r>
      <w:r>
        <w:rPr>
          <w:rStyle w:val="FootnoteReference"/>
        </w:rPr>
        <w:footnoteReference w:id="665"/>
      </w:r>
      <w:r>
        <w:t xml:space="preserve">在耶稣身上，神概括了他为人类所施行的整个救恩历史。</w:t>
      </w:r>
    </w:p>
    <w:p>
      <w:pPr>
        <w:pStyle w:val="BodyText"/>
      </w:pPr>
      <w:r>
        <w:t xml:space="preserve">在救恩历史中，神并不满足于仅仅将以色列人从「为奴之家」</w:t>
      </w:r>
      <w:r>
        <w:rPr>
          <w:rStyle w:val="FootnoteReference"/>
        </w:rPr>
        <w:footnoteReference w:id="666"/>
      </w:r>
      <w:r>
        <w:t xml:space="preserve">领出埃及。他还要拯救他们脱离罪恶。因为罪总是冒犯神，只有他能赦免。</w:t>
      </w:r>
      <w:r>
        <w:rPr>
          <w:rStyle w:val="FootnoteReference"/>
        </w:rPr>
        <w:footnoteReference w:id="667"/>
      </w:r>
      <w:r>
        <w:t xml:space="preserve">因此，随着以色列人越来越意识到罪的普遍性，他们将不能再寻求救恩，除非呼求救赎主神的名。</w:t>
      </w:r>
      <w:r>
        <w:rPr>
          <w:rStyle w:val="FootnoteReference"/>
        </w:rPr>
        <w:footnoteReference w:id="668"/>
      </w:r>
    </w:p>
    <w:p>
      <w:pPr>
        <w:pStyle w:val="BodyText"/>
      </w:pPr>
      <w:r>
        <w:t xml:space="preserve">「耶稣」这个名字表明，神的名本身就在他成为人的儿子身上，为了普世、最终地救赎人脱离罪恶。这是唯一带来救恩的神的名，从此所有人都可以呼求他的名，因为耶稣通过道成肉身与所有人联合，</w:t>
      </w:r>
      <w:r>
        <w:rPr>
          <w:rStyle w:val="FootnoteReference"/>
        </w:rPr>
        <w:footnoteReference w:id="669"/>
      </w:r>
      <w:r>
        <w:t xml:space="preserve">所以「除他以外，别无拯救；因为在天下人间，没有赐下别的名，我们可以靠着得救。」</w:t>
      </w:r>
      <w:r>
        <w:rPr>
          <w:rStyle w:val="FootnoteReference"/>
        </w:rPr>
        <w:footnoteReference w:id="670"/>
      </w:r>
    </w:p>
    <w:p>
      <w:pPr>
        <w:pStyle w:val="BodyText"/>
      </w:pPr>
      <w:r>
        <w:t xml:space="preserve">救主神的名每年只有一次被大祭司在至圣所中呼求，就是在他用祭牲的血洒在施恩座上为以色列的罪赎罪之后。施恩座是神同在之处。</w:t>
      </w:r>
      <w:r>
        <w:rPr>
          <w:rStyle w:val="FootnoteReference"/>
        </w:rPr>
        <w:footnoteReference w:id="671"/>
      </w:r>
      <w:r>
        <w:t xml:space="preserve">当圣保罗提到耶稣，就是「神设立为凭着他的血，作挽回祭」时，他的意思是在基督的人性中，「神在基督里，叫世人与自己和好」。</w:t>
      </w:r>
      <w:r>
        <w:rPr>
          <w:rStyle w:val="FootnoteReference"/>
        </w:rPr>
        <w:footnoteReference w:id="672"/>
      </w:r>
    </w:p>
    <w:p>
      <w:pPr>
        <w:pStyle w:val="BodyText"/>
      </w:pPr>
      <w:r>
        <w:t xml:space="preserve">耶稣的复活荣耀了救主神的名，因为从那时起，耶稣的名完全彰显了「那超乎万名之上的名」的至高权能。</w:t>
      </w:r>
      <w:r>
        <w:rPr>
          <w:rStyle w:val="FootnoteReference"/>
        </w:rPr>
        <w:footnoteReference w:id="673"/>
      </w:r>
      <w:r>
        <w:t xml:space="preserve">邪灵惧怕他的名；他的门徒奉他的名行神迹，因为父将他们奉这名所求的一切赐给他们。</w:t>
      </w:r>
      <w:r>
        <w:rPr>
          <w:rStyle w:val="FootnoteReference"/>
        </w:rPr>
        <w:footnoteReference w:id="674"/>
      </w:r>
    </w:p>
    <w:p>
      <w:pPr>
        <w:pStyle w:val="BodyText"/>
      </w:pPr>
      <w:r>
        <w:t xml:space="preserve">耶稣的名字在基督徒的祷告中处于核心地位。所有礼仪祷告都以「靠我们的主耶稣基督」结束。</w:t>
      </w:r>
      <w:r>
        <w:rPr>
          <w:i/>
          <w:iCs/>
        </w:rPr>
        <w:t xml:space="preserve">圣母祷文</w:t>
      </w:r>
      <w:r>
        <w:t xml:space="preserve">在「你所怀的胎耶稣是应当称颂的」达到高潮。东方的心祷，即</w:t>
      </w:r>
      <w:r>
        <w:rPr>
          <w:i/>
          <w:iCs/>
        </w:rPr>
        <w:t xml:space="preserve">耶稣祷文</w:t>
      </w:r>
      <w:r>
        <w:t xml:space="preserve">，这样说：「主耶稣基督，神的儿子，怜悯我这个罪人。」许多基督徒，如圣女贞德，临终时口中只有一个字：「耶稣」。</w:t>
      </w:r>
    </w:p>
    <w:bookmarkEnd w:id="675"/>
    <w:bookmarkStart w:id="691" w:name="二基督"/>
    <w:p>
      <w:pPr>
        <w:pStyle w:val="Heading5"/>
      </w:pPr>
      <w:r>
        <w:t xml:space="preserve">二、基督</w:t>
      </w:r>
    </w:p>
    <w:p>
      <w:pPr>
        <w:pStyle w:val="FirstParagraph"/>
      </w:pPr>
      <w:r>
        <w:t xml:space="preserve">「基督」这个词源自希腊文对希伯来文</w:t>
      </w:r>
      <w:r>
        <w:rPr>
          <w:i/>
          <w:iCs/>
        </w:rPr>
        <w:t xml:space="preserve">弥赛亚</w:t>
      </w:r>
      <w:r>
        <w:t xml:space="preserve">的翻译，意思是「受膏者」。它成为耶稣的专有名称，正是因为他完美地完成了基督所代表的主的使命。事实上，在以色列，凡是奉主所赐使命被分别为圣的人，都奉他的名受膏，包括君王、祭司，偶尔也有先知。</w:t>
      </w:r>
      <w:r>
        <w:rPr>
          <w:rStyle w:val="FootnoteReference"/>
        </w:rPr>
        <w:footnoteReference w:id="676"/>
      </w:r>
      <w:r>
        <w:t xml:space="preserve">对于主所要差来，最终建立他国度的弥赛亚，更是如此。</w:t>
      </w:r>
      <w:r>
        <w:rPr>
          <w:rStyle w:val="FootnoteReference"/>
        </w:rPr>
        <w:footnoteReference w:id="677"/>
      </w:r>
      <w:r>
        <w:t xml:space="preserve">弥赛亚必须被主的灵膏立为君王、祭司，也为先知。</w:t>
      </w:r>
      <w:r>
        <w:rPr>
          <w:rStyle w:val="FootnoteReference"/>
        </w:rPr>
        <w:footnoteReference w:id="678"/>
      </w:r>
      <w:r>
        <w:t xml:space="preserve">耶稣以他祭司、先知、君王的三重职分，成就了以色列对弥赛亚的盼望。</w:t>
      </w:r>
    </w:p>
    <w:p>
      <w:pPr>
        <w:pStyle w:val="BodyText"/>
      </w:pPr>
      <w:r>
        <w:t xml:space="preserve">天使向牧羊人宣告耶稣的诞生，称他为应许给以色列的弥赛亚：「今天在大卫的城里，为你们生了救主，就是主基督。」</w:t>
      </w:r>
      <w:r>
        <w:rPr>
          <w:rStyle w:val="FootnoteReference"/>
        </w:rPr>
        <w:footnoteReference w:id="679"/>
      </w:r>
      <w:r>
        <w:t xml:space="preserve">从一开始，他就是「父所分别为圣、又差到世间来的」，在马利亚贞洁的胎中被孕育为「圣者」。</w:t>
      </w:r>
      <w:r>
        <w:rPr>
          <w:rStyle w:val="FootnoteReference"/>
        </w:rPr>
        <w:footnoteReference w:id="680"/>
      </w:r>
      <w:r>
        <w:t xml:space="preserve">神吩咐约瑟「只管娶过你的妻子马利亚来，因她所怀的孕是从圣灵来的」，为使那「称为基督的耶稣」能从约瑟的妻子所生，成为大卫家族的弥赛亚后裔。</w:t>
      </w:r>
      <w:r>
        <w:rPr>
          <w:rStyle w:val="FootnoteReference"/>
        </w:rPr>
        <w:footnoteReference w:id="681"/>
      </w:r>
    </w:p>
    <w:p>
      <w:pPr>
        <w:pStyle w:val="BodyText"/>
      </w:pPr>
      <w:r>
        <w:t xml:space="preserve">耶稣作为弥赛亚的受膏揭示了他来自神的使命，因为「基督」这个名字意味着「膏者」、「受膏者」以及「他所受的膏」。膏者是父，受膏者是子，他以膏油——也就是圣灵——受膏。</w:t>
      </w:r>
      <w:r>
        <w:rPr>
          <w:rStyle w:val="FootnoteReference"/>
        </w:rPr>
        <w:footnoteReference w:id="682"/>
      </w:r>
      <w:r>
        <w:t xml:space="preserve">他永恒的弥赛亚受膏在他地上的生命期间显明出来，就是在约翰为他施洗的时候，那时「神以圣灵和能力膏拿撒勒人耶稣」，「使他显明给以色列人」</w:t>
      </w:r>
      <w:r>
        <w:rPr>
          <w:rStyle w:val="FootnoteReference"/>
        </w:rPr>
        <w:footnoteReference w:id="683"/>
      </w:r>
      <w:r>
        <w:t xml:space="preserve">作为他们的弥赛亚。他的言行将他显明为「神的圣者」。</w:t>
      </w:r>
      <w:r>
        <w:rPr>
          <w:rStyle w:val="FootnoteReference"/>
        </w:rPr>
        <w:footnoteReference w:id="684"/>
      </w:r>
    </w:p>
    <w:p>
      <w:pPr>
        <w:pStyle w:val="BodyText"/>
      </w:pPr>
      <w:r>
        <w:t xml:space="preserve">许多犹太人，甚至一些分享他们盼望的外邦人，都在耶稣身上认出了神应许给以色列的弥赛亚「大卫的子孙」的基本特征。</w:t>
      </w:r>
      <w:r>
        <w:rPr>
          <w:rStyle w:val="FootnoteReference"/>
        </w:rPr>
        <w:footnoteReference w:id="685"/>
      </w:r>
      <w:r>
        <w:t xml:space="preserve">耶稣接受了他作为弥赛亚的合法称号，尽管他对此有所保留，因为他的一些同时代人以过于人性化，在根本上政治化的方式理解这个称号</w:t>
      </w:r>
      <w:r>
        <w:rPr>
          <w:rStyle w:val="FootnoteReference"/>
        </w:rPr>
        <w:footnoteReference w:id="686"/>
      </w:r>
    </w:p>
    <w:p>
      <w:pPr>
        <w:pStyle w:val="BodyText"/>
      </w:pPr>
      <w:r>
        <w:t xml:space="preserve">耶稣接受了彼得对他身为弥赛亚的信仰告白，随即宣告人子即将受难。</w:t>
      </w:r>
      <w:r>
        <w:rPr>
          <w:rStyle w:val="FootnoteReference"/>
        </w:rPr>
        <w:footnoteReference w:id="687"/>
      </w:r>
      <w:r>
        <w:t xml:space="preserve">他揭示了他弥赛亚王权的真实内涵，既在「从天降下」的人子的超卓身份中，也在受苦仆人的救赎使命中：「人子来，不是要受人的服事，乃是要服事人，并且要舍命，作多人的赎价。」</w:t>
      </w:r>
      <w:r>
        <w:rPr>
          <w:rStyle w:val="FootnoteReference"/>
        </w:rPr>
        <w:footnoteReference w:id="688"/>
      </w:r>
      <w:r>
        <w:t xml:space="preserve">因此，他王权的真正意义只有当他被高举在十字架上时才得以显明。</w:t>
      </w:r>
      <w:r>
        <w:rPr>
          <w:rStyle w:val="FootnoteReference"/>
        </w:rPr>
        <w:footnoteReference w:id="689"/>
      </w:r>
      <w:r>
        <w:t xml:space="preserve">只有在他复活之后，彼得才能向神的子民宣告耶稣的弥赛亚王权：「故此，以色列全家当确实地知道，你们钉在十字架上的这位耶稣，神已经立他为主，为基督了。」</w:t>
      </w:r>
      <w:r>
        <w:rPr>
          <w:rStyle w:val="FootnoteReference"/>
        </w:rPr>
        <w:footnoteReference w:id="690"/>
      </w:r>
    </w:p>
    <w:bookmarkEnd w:id="691"/>
    <w:bookmarkStart w:id="707" w:name="三神的独生子"/>
    <w:p>
      <w:pPr>
        <w:pStyle w:val="Heading5"/>
      </w:pPr>
      <w:r>
        <w:t xml:space="preserve">三、神的独生子</w:t>
      </w:r>
    </w:p>
    <w:p>
      <w:pPr>
        <w:pStyle w:val="FirstParagraph"/>
      </w:pPr>
      <w:r>
        <w:t xml:space="preserve">在旧约中，「神的儿子」是给予天使、选民、以色列子民及其君王的称号。</w:t>
      </w:r>
      <w:r>
        <w:rPr>
          <w:rStyle w:val="FootnoteReference"/>
        </w:rPr>
        <w:footnoteReference w:id="692"/>
      </w:r>
      <w:r>
        <w:t xml:space="preserve">它表示一种养子的名分，建立了神与他的受造物之间特别亲密的关系。当应许的弥赛亚君王被称为「神的儿子」时，按这些经文的字面意思，并不一定意味着他超越人性。那些称耶稣为「神的儿子」的人，如以色列的弥赛亚，也许并不意味着比这更多的含义。</w:t>
      </w:r>
      <w:r>
        <w:rPr>
          <w:rStyle w:val="FootnoteReference"/>
        </w:rPr>
        <w:footnoteReference w:id="693"/>
      </w:r>
    </w:p>
    <w:p>
      <w:pPr>
        <w:pStyle w:val="BodyText"/>
      </w:pPr>
      <w:r>
        <w:t xml:space="preserve">西门彼得承认耶稣是「基督，永生神的儿子」时，情况并非如此，因为耶稣郑重地回答：「这不是属血肉的</w:t>
      </w:r>
      <w:r>
        <w:rPr>
          <w:i/>
          <w:iCs/>
        </w:rPr>
        <w:t xml:space="preserve">指示</w:t>
      </w:r>
      <w:r>
        <w:t xml:space="preserve">你的，乃是我在天上的</w:t>
      </w:r>
      <w:r>
        <w:rPr>
          <w:i/>
          <w:iCs/>
        </w:rPr>
        <w:t xml:space="preserve">父</w:t>
      </w:r>
      <w:r>
        <w:t xml:space="preserve">启示的。」</w:t>
      </w:r>
      <w:r>
        <w:rPr>
          <w:rStyle w:val="FootnoteReference"/>
        </w:rPr>
        <w:footnoteReference w:id="694"/>
      </w:r>
      <w:r>
        <w:t xml:space="preserve">同样地，保罗在谈到他在往大马士革路上的归信时也写道：「然而，那把我从母腹里</w:t>
      </w:r>
      <w:r>
        <w:rPr>
          <w:i/>
          <w:iCs/>
        </w:rPr>
        <w:t xml:space="preserve">分别</w:t>
      </w:r>
      <w:r>
        <w:t xml:space="preserve">出来、又</w:t>
      </w:r>
      <w:r>
        <w:rPr>
          <w:i/>
          <w:iCs/>
        </w:rPr>
        <w:t xml:space="preserve">施恩召</w:t>
      </w:r>
      <w:r>
        <w:t xml:space="preserve">我的神，既然乐意</w:t>
      </w:r>
      <w:r>
        <w:rPr>
          <w:i/>
          <w:iCs/>
        </w:rPr>
        <w:t xml:space="preserve">将他儿子启示在我心里</w:t>
      </w:r>
      <w:r>
        <w:t xml:space="preserve">，叫我可以在外邦人中传扬他……」</w:t>
      </w:r>
      <w:r>
        <w:rPr>
          <w:rStyle w:val="FootnoteReference"/>
        </w:rPr>
        <w:footnoteReference w:id="695"/>
      </w:r>
      <w:r>
        <w:t xml:space="preserve">「保罗就在各会堂里立刻宣讲耶稣，说：『他是神的儿子。』」</w:t>
      </w:r>
      <w:r>
        <w:rPr>
          <w:rStyle w:val="FootnoteReference"/>
        </w:rPr>
        <w:footnoteReference w:id="696"/>
      </w:r>
      <w:r>
        <w:t xml:space="preserve">从一开始，对基督神子身份的承认就成为使徒信仰的中心，首先由彼得宣告，作为教会的根基。</w:t>
      </w:r>
      <w:r>
        <w:rPr>
          <w:rStyle w:val="FootnoteReference"/>
        </w:rPr>
        <w:footnoteReference w:id="697"/>
      </w:r>
    </w:p>
    <w:p>
      <w:pPr>
        <w:pStyle w:val="BodyText"/>
      </w:pPr>
      <w:r>
        <w:t xml:space="preserve">彼得能够认识到弥赛亚神子身份的超卓性，是因为耶稣明确地允许人们这样理解。面对公会质问「你是神的儿子吗？」时，耶稣回答说：「你们说我是。」</w:t>
      </w:r>
      <w:r>
        <w:rPr>
          <w:rStyle w:val="FootnoteReference"/>
        </w:rPr>
        <w:footnoteReference w:id="698"/>
      </w:r>
      <w:r>
        <w:t xml:space="preserve">早在这之前，耶稣就称自己为认识父的「儿子」，与神先前差遣给他子民的「仆人」有所区别；他甚至超越天使。</w:t>
      </w:r>
      <w:r>
        <w:rPr>
          <w:rStyle w:val="FootnoteReference"/>
        </w:rPr>
        <w:footnoteReference w:id="699"/>
      </w:r>
      <w:r>
        <w:t xml:space="preserve">他把自己的子身份与门徒的区分开来，从不说「我们的父」，只是吩咐他们：「所以你们祷告要这样说：『我们在天上的父』」，并强调这种区别，说「我的父，也是你们的父」。</w:t>
      </w:r>
      <w:r>
        <w:rPr>
          <w:rStyle w:val="FootnoteReference"/>
        </w:rPr>
        <w:footnoteReference w:id="700"/>
      </w:r>
    </w:p>
    <w:p>
      <w:pPr>
        <w:pStyle w:val="BodyText"/>
      </w:pPr>
      <w:r>
        <w:t xml:space="preserve">福音书记载，在基督受洗和登山变像这两个庄严时刻，父的声音称耶稣为他「所爱的儿子」。</w:t>
      </w:r>
      <w:r>
        <w:rPr>
          <w:rStyle w:val="FootnoteReference"/>
        </w:rPr>
        <w:footnoteReference w:id="701"/>
      </w:r>
      <w:r>
        <w:t xml:space="preserve">耶稣称自己为「神的独生子」，藉此肯定了他永恒的先存性。</w:t>
      </w:r>
      <w:r>
        <w:rPr>
          <w:rStyle w:val="FootnoteReference"/>
        </w:rPr>
        <w:footnoteReference w:id="702"/>
      </w:r>
      <w:r>
        <w:t xml:space="preserve">他要求人信「神独生子的名」。</w:t>
      </w:r>
      <w:r>
        <w:rPr>
          <w:rStyle w:val="FootnoteReference"/>
        </w:rPr>
        <w:footnoteReference w:id="703"/>
      </w:r>
      <w:r>
        <w:t xml:space="preserve">在百夫长面对被钉十字架的基督所发的感叹「这人真是神的儿子」中，</w:t>
      </w:r>
      <w:r>
        <w:rPr>
          <w:rStyle w:val="FootnoteReference"/>
        </w:rPr>
        <w:footnoteReference w:id="704"/>
      </w:r>
      <w:r>
        <w:t xml:space="preserve">已经听到了基督徒的信仰告白。只有在逾越奥秘中，信徒才能完全理解「神的儿子」这一称号的全部意义。</w:t>
      </w:r>
    </w:p>
    <w:p>
      <w:pPr>
        <w:pStyle w:val="BodyText"/>
      </w:pPr>
      <w:r>
        <w:t xml:space="preserve">在耶稣复活之后，他神子的身份在他得荣耀的人性的大能中显明出来。他「按圣善的灵说，因从死里复活，以大能显明是神的儿子」。</w:t>
      </w:r>
      <w:r>
        <w:rPr>
          <w:rStyle w:val="FootnoteReference"/>
        </w:rPr>
        <w:footnoteReference w:id="705"/>
      </w:r>
      <w:r>
        <w:t xml:space="preserve">使徒们能够宣告：「我们也见过他的荣光，正是父独生子的荣光，充充满满地有恩典有真理。」</w:t>
      </w:r>
      <w:r>
        <w:rPr>
          <w:rStyle w:val="FootnoteReference"/>
        </w:rPr>
        <w:footnoteReference w:id="706"/>
      </w:r>
    </w:p>
    <w:bookmarkEnd w:id="707"/>
    <w:bookmarkStart w:id="719" w:name="四主"/>
    <w:p>
      <w:pPr>
        <w:pStyle w:val="Heading5"/>
      </w:pPr>
      <w:r>
        <w:t xml:space="preserve">四、主</w:t>
      </w:r>
    </w:p>
    <w:p>
      <w:pPr>
        <w:pStyle w:val="FirstParagraph"/>
      </w:pPr>
      <w:r>
        <w:t xml:space="preserve">在旧约的希腊文译本中，神向摩西启示自己时所用那不可言喻的希伯来名字 YHWH，</w:t>
      </w:r>
      <w:r>
        <w:rPr>
          <w:rStyle w:val="FootnoteReference"/>
        </w:rPr>
        <w:footnoteReference w:id="708"/>
      </w:r>
      <w:r>
        <w:t xml:space="preserve">被译为</w:t>
      </w:r>
      <w:r>
        <w:t xml:space="preserve"> </w:t>
      </w:r>
      <w:r>
        <w:rPr>
          <w:i/>
          <w:iCs/>
        </w:rPr>
        <w:t xml:space="preserve">Kyrios</w:t>
      </w:r>
      <w:r>
        <w:t xml:space="preserve">，即「主」。从那时起，「主」就成为表示以色列神之神性的最常用名称。新约以这个称号「主」的完整含义既指父，又——这是新的用法——指耶稣，由此承认耶稣就是神自己。</w:t>
      </w:r>
      <w:r>
        <w:rPr>
          <w:rStyle w:val="FootnoteReference"/>
        </w:rPr>
        <w:footnoteReference w:id="709"/>
      </w:r>
    </w:p>
    <w:p>
      <w:pPr>
        <w:pStyle w:val="BodyText"/>
      </w:pPr>
      <w:r>
        <w:t xml:space="preserve">耶稣在与法利赛人辩论诗篇 110 的含义时，以隐晦的方式将这个称号归于自己，但在对使徒们讲话时，则明确地使用了这个称号。</w:t>
      </w:r>
      <w:r>
        <w:rPr>
          <w:rStyle w:val="FootnoteReference"/>
        </w:rPr>
        <w:footnoteReference w:id="710"/>
      </w:r>
      <w:r>
        <w:t xml:space="preserve">在他整个公开生活中，他通过对自然、疾病、邪灵、死亡和罪的权能作为，展示了他的神性主权。</w:t>
      </w:r>
    </w:p>
    <w:p>
      <w:pPr>
        <w:pStyle w:val="BodyText"/>
      </w:pPr>
      <w:r>
        <w:t xml:space="preserve">在福音书中，人们常常称呼耶稣为「主」。这个称呼表明那些前来寻求他帮助和医治之人的尊敬和信赖。</w:t>
      </w:r>
      <w:r>
        <w:rPr>
          <w:rStyle w:val="FootnoteReference"/>
        </w:rPr>
        <w:footnoteReference w:id="711"/>
      </w:r>
      <w:r>
        <w:t xml:space="preserve">在圣灵的感动下，「主」这个称呼表达了对耶稣神性奥秘的认识。</w:t>
      </w:r>
      <w:r>
        <w:rPr>
          <w:rStyle w:val="FootnoteReference"/>
        </w:rPr>
        <w:footnoteReference w:id="712"/>
      </w:r>
      <w:r>
        <w:t xml:space="preserve">在与复活的耶稣相遇时，这个称呼成为了敬拜：「我的主，我的神！」因此，它带有了爱和情感的含义，仍然是基督教传统所特有的：「是主！」</w:t>
      </w:r>
      <w:r>
        <w:rPr>
          <w:rStyle w:val="FootnoteReference"/>
        </w:rPr>
        <w:footnoteReference w:id="713"/>
      </w:r>
    </w:p>
    <w:p>
      <w:pPr>
        <w:pStyle w:val="BodyText"/>
      </w:pPr>
      <w:r>
        <w:t xml:space="preserve">通过将神的称号「主」归于耶稣，教会最初的信仰告白从一开始就确认，那本应归于父神的权能、尊崇和荣耀也同样归于耶稣，因为「他本有神的形像」，</w:t>
      </w:r>
      <w:r>
        <w:rPr>
          <w:rStyle w:val="FootnoteReference"/>
        </w:rPr>
        <w:footnoteReference w:id="714"/>
      </w:r>
      <w:r>
        <w:t xml:space="preserve">父通过使耶稣从死里复活并将他高举到自己的荣耀中，显明了耶稣的主权。</w:t>
      </w:r>
      <w:r>
        <w:rPr>
          <w:rStyle w:val="FootnoteReference"/>
        </w:rPr>
        <w:footnoteReference w:id="715"/>
      </w:r>
    </w:p>
    <w:p>
      <w:pPr>
        <w:pStyle w:val="BodyText"/>
      </w:pPr>
      <w:r>
        <w:t xml:space="preserve">从基督教历史的开始，宣告基督对世界和历史的主权就隐含地承认，人不应将个人自由绝对地臣服于任何世俗权力，而只应臣服于父神和主耶稣基督：凯撒不是「主」。</w:t>
      </w:r>
      <w:r>
        <w:rPr>
          <w:rStyle w:val="FootnoteReference"/>
        </w:rPr>
        <w:footnoteReference w:id="716"/>
      </w:r>
      <w:r>
        <w:t xml:space="preserve">「教会……相信整个人类历史的关键、中心和目的都在于它的主宰。」</w:t>
      </w:r>
      <w:r>
        <w:rPr>
          <w:rStyle w:val="FootnoteReference"/>
        </w:rPr>
        <w:footnoteReference w:id="717"/>
      </w:r>
    </w:p>
    <w:p>
      <w:pPr>
        <w:pStyle w:val="BodyText"/>
      </w:pPr>
      <w:r>
        <w:t xml:space="preserve">基督徒的祷告以「主」这个称号为特征，无论是在祷告的邀请（「愿主与你们同在」），还是在结束语（「奉我们的主基督」），或是充满信任和希望的呼求：</w:t>
      </w:r>
      <w:r>
        <w:rPr>
          <w:i/>
          <w:iCs/>
        </w:rPr>
        <w:t xml:space="preserve">Maran atha</w:t>
      </w:r>
      <w:r>
        <w:t xml:space="preserve">（「我们的主，来吧！」）或</w:t>
      </w:r>
      <w:r>
        <w:rPr>
          <w:i/>
          <w:iCs/>
        </w:rPr>
        <w:t xml:space="preserve">Marana tha</w:t>
      </w:r>
      <w:r>
        <w:t xml:space="preserve">（「主啊，来吧！」）——「阿们！主耶稣啊，我愿你来！」</w:t>
      </w:r>
      <w:r>
        <w:rPr>
          <w:rStyle w:val="FootnoteReference"/>
        </w:rPr>
        <w:footnoteReference w:id="718"/>
      </w:r>
    </w:p>
    <w:bookmarkEnd w:id="719"/>
    <w:bookmarkStart w:id="720" w:name="综述-12"/>
    <w:p>
      <w:pPr>
        <w:pStyle w:val="Heading5"/>
      </w:pPr>
      <w:r>
        <w:t xml:space="preserve">综述</w:t>
      </w:r>
    </w:p>
    <w:p>
      <w:pPr>
        <w:pStyle w:val="FirstParagraph"/>
      </w:pPr>
      <w:r>
        <w:t xml:space="preserve">耶稣这个名字的意思是「神拯救」。从童贞女马利亚所生的孩子被称为耶稣，「因他要将自己的百姓从罪恶里救出来」（太 1:21）：「除他以外，别无拯救；因为在天下人间，没有赐下别的名，我们可以靠着得救」（徒 4:12）。</w:t>
      </w:r>
    </w:p>
    <w:p>
      <w:pPr>
        <w:pStyle w:val="BodyText"/>
      </w:pPr>
      <w:r>
        <w:t xml:space="preserve">「基督」这个称号的意思是「受膏者」（弥赛亚）。耶稣是基督，因为「神用圣灵和能力膏拿撒勒人耶稣」（徒 10:38）。他是那位「将要来的」（路 7:19），是「以色列所盼望的」（徒 28:20）。</w:t>
      </w:r>
    </w:p>
    <w:p>
      <w:pPr>
        <w:pStyle w:val="BodyText"/>
      </w:pPr>
      <w:r>
        <w:t xml:space="preserve">「神的儿子」这个称号表示耶稣基督与神他的父之间独特而永恒的关系：他是父的独生子（参约 1:14,18；3:16,18）；他就是神自己（参约 1:1）。要成为基督徒，就必须相信耶稣基督是神的儿子（参徒 8:37；约一 2:23）。</w:t>
      </w:r>
    </w:p>
    <w:p>
      <w:pPr>
        <w:pStyle w:val="BodyText"/>
      </w:pPr>
      <w:r>
        <w:t xml:space="preserve">「主」这个称号表示神的主权。承认或呼求耶稣为主，就是相信他的神性。「若不是被圣灵感动的，也没有人能说『耶稣是主』」（林前 12:3）。</w:t>
      </w:r>
    </w:p>
    <w:bookmarkEnd w:id="720"/>
    <w:bookmarkEnd w:id="721"/>
    <w:bookmarkStart w:id="980" w:name="第三条因圣灵感孕由童贞马利亚所生"/>
    <w:p>
      <w:pPr>
        <w:pStyle w:val="Heading4"/>
      </w:pPr>
      <w:r>
        <w:t xml:space="preserve">第三条：「因圣灵感孕，由童贞马利亚所生」</w:t>
      </w:r>
    </w:p>
    <w:p>
      <w:r>
        <w:br w:type="page"/>
      </w:r>
    </w:p>
    <w:bookmarkStart w:id="776" w:name="第一段神的儿子成为人"/>
    <w:p>
      <w:pPr>
        <w:pStyle w:val="Heading5"/>
      </w:pPr>
      <w:r>
        <w:t xml:space="preserve">第一段：神的儿子成为人</w:t>
      </w:r>
    </w:p>
    <w:bookmarkStart w:id="734" w:name="一为何道成了肉身"/>
    <w:p>
      <w:pPr>
        <w:pStyle w:val="Heading6"/>
      </w:pPr>
      <w:r>
        <w:t xml:space="preserve">一、为何道成了肉身？</w:t>
      </w:r>
    </w:p>
    <w:p>
      <w:pPr>
        <w:pStyle w:val="FirstParagraph"/>
      </w:pPr>
      <w:r>
        <w:t xml:space="preserve">我们以尼西亚信经回答，宣认：「为要拯救我们世人，从天降临，因圣灵感孕，由童贞马利亚所生，成为人身。」</w:t>
      </w:r>
    </w:p>
    <w:p>
      <w:pPr>
        <w:pStyle w:val="BodyText"/>
      </w:pPr>
      <w:r>
        <w:t xml:space="preserve">道成肉身是为了</w:t>
      </w:r>
      <w:r>
        <w:rPr>
          <w:i/>
          <w:iCs/>
        </w:rPr>
        <w:t xml:space="preserve">藉着使我们与神和好来拯救我们</w:t>
      </w:r>
      <w:r>
        <w:t xml:space="preserve">，这位神「爱我们，差他的儿子为我们的罪作了挽回祭」：「父差子作世人的救主」，并且「他显现是要除掉人的罪」：</w:t>
      </w:r>
      <w:r>
        <w:rPr>
          <w:rStyle w:val="FootnoteReference"/>
        </w:rPr>
        <w:footnoteReference w:id="722"/>
      </w:r>
    </w:p>
    <w:p>
      <w:pPr>
        <w:pStyle w:val="BodyText"/>
      </w:pPr>
      <w:r>
        <w:t xml:space="preserve">我们的本性生病了，需要医治；堕落了，需要被提升；死了，需要复活。我们失去了美善，需要重新得回。我们被困在黑暗中，需要光明；我们被掳，等待救主；我们被囚，需要帮助；我们为奴，需要解放者。这些事情难道微不足道吗？难道这些不足以感动神降卑成为人性并来访问我们吗？因为人类处于如此悲惨和不幸的境地。</w:t>
      </w:r>
      <w:r>
        <w:rPr>
          <w:rStyle w:val="FootnoteReference"/>
        </w:rPr>
        <w:footnoteReference w:id="723"/>
      </w:r>
    </w:p>
    <w:p>
      <w:pPr>
        <w:pStyle w:val="BodyText"/>
      </w:pPr>
      <w:r>
        <w:t xml:space="preserve">道成肉身是为了</w:t>
      </w:r>
      <w:r>
        <w:rPr>
          <w:i/>
          <w:iCs/>
        </w:rPr>
        <w:t xml:space="preserve">让我们认识神的爱</w:t>
      </w:r>
      <w:r>
        <w:t xml:space="preserve">：「神差他独生子到世间来，使我们藉着他得生，神爱我们的心在此就显明了。」</w:t>
      </w:r>
      <w:r>
        <w:rPr>
          <w:rStyle w:val="FootnoteReference"/>
        </w:rPr>
        <w:footnoteReference w:id="724"/>
      </w:r>
      <w:r>
        <w:t xml:space="preserve">「神爱世人，甚至将他的独生子赐给他们，叫一切信他的，不至灭亡，反得永生。」</w:t>
      </w:r>
      <w:r>
        <w:rPr>
          <w:rStyle w:val="FootnoteReference"/>
        </w:rPr>
        <w:footnoteReference w:id="725"/>
      </w:r>
    </w:p>
    <w:p>
      <w:pPr>
        <w:pStyle w:val="BodyText"/>
      </w:pPr>
      <w:r>
        <w:t xml:space="preserve">道成肉身是为了</w:t>
      </w:r>
      <w:r>
        <w:rPr>
          <w:i/>
          <w:iCs/>
        </w:rPr>
        <w:t xml:space="preserve">成为我们圣洁的榜样</w:t>
      </w:r>
      <w:r>
        <w:t xml:space="preserve">：「你们当负我的轭，学我的样式。」「我就是道路、真理、生命；若不藉着我，没有人能到父那里去。」</w:t>
      </w:r>
      <w:r>
        <w:rPr>
          <w:rStyle w:val="FootnoteReference"/>
        </w:rPr>
        <w:footnoteReference w:id="726"/>
      </w:r>
      <w:r>
        <w:t xml:space="preserve">在变像山上，父命令说：「你们要听他！」</w:t>
      </w:r>
      <w:r>
        <w:rPr>
          <w:rStyle w:val="FootnoteReference"/>
        </w:rPr>
        <w:footnoteReference w:id="727"/>
      </w:r>
      <w:r>
        <w:t xml:space="preserve">耶稣是八福的典范和新律法的准则：「你们要彼此相爱，像我爱你们一样。」</w:t>
      </w:r>
      <w:r>
        <w:rPr>
          <w:rStyle w:val="FootnoteReference"/>
        </w:rPr>
        <w:footnoteReference w:id="728"/>
      </w:r>
      <w:r>
        <w:t xml:space="preserve">这爱意味着效法他的榜样，有效地献上自己。</w:t>
      </w:r>
      <w:r>
        <w:rPr>
          <w:rStyle w:val="FootnoteReference"/>
        </w:rPr>
        <w:footnoteReference w:id="729"/>
      </w:r>
    </w:p>
    <w:p>
      <w:pPr>
        <w:pStyle w:val="BodyText"/>
      </w:pPr>
      <w:r>
        <w:t xml:space="preserve">道成肉身是为了使我们「</w:t>
      </w:r>
      <w:r>
        <w:rPr>
          <w:i/>
          <w:iCs/>
        </w:rPr>
        <w:t xml:space="preserve">与神的本性有分</w:t>
      </w:r>
      <w:r>
        <w:t xml:space="preserve">」：</w:t>
      </w:r>
      <w:r>
        <w:rPr>
          <w:rStyle w:val="FootnoteReference"/>
        </w:rPr>
        <w:footnoteReference w:id="730"/>
      </w:r>
      <w:r>
        <w:t xml:space="preserve">「因为道成为人，神的儿子成为人子，为的是人与道相交，从而领受神的儿子名分，成为神的儿子。」</w:t>
      </w:r>
      <w:r>
        <w:rPr>
          <w:rStyle w:val="FootnoteReference"/>
        </w:rPr>
        <w:footnoteReference w:id="731"/>
      </w:r>
      <w:r>
        <w:t xml:space="preserve">「因为神的儿子成为人，为要使我们成为神。」</w:t>
      </w:r>
      <w:r>
        <w:rPr>
          <w:rStyle w:val="FootnoteReference"/>
        </w:rPr>
        <w:footnoteReference w:id="732"/>
      </w:r>
      <w:r>
        <w:t xml:space="preserve">「神的独生子想要使我们分享他的神性，就取了我们的人性，好叫他成为人，使人成为神。」</w:t>
      </w:r>
      <w:r>
        <w:rPr>
          <w:rStyle w:val="FootnoteReference"/>
        </w:rPr>
        <w:footnoteReference w:id="733"/>
      </w:r>
    </w:p>
    <w:bookmarkEnd w:id="734"/>
    <w:bookmarkStart w:id="740" w:name="二道成肉身"/>
    <w:p>
      <w:pPr>
        <w:pStyle w:val="Heading6"/>
      </w:pPr>
      <w:r>
        <w:t xml:space="preserve">二、道成肉身</w:t>
      </w:r>
    </w:p>
    <w:p>
      <w:pPr>
        <w:pStyle w:val="FirstParagraph"/>
      </w:pPr>
      <w:r>
        <w:t xml:space="preserve">教会采用圣约翰的表述「道成了肉身」，</w:t>
      </w:r>
      <w:r>
        <w:rPr>
          <w:rStyle w:val="FootnoteReference"/>
        </w:rPr>
        <w:footnoteReference w:id="735"/>
      </w:r>
      <w:r>
        <w:t xml:space="preserve">称神的儿子取了人性以成就我们的救恩这一事实为「道成肉身」。在圣保罗引用的一首诗歌中，教会如此颂唱道成肉身的奥秘：</w:t>
      </w:r>
    </w:p>
    <w:p>
      <w:pPr>
        <w:pStyle w:val="BodyText"/>
      </w:pPr>
      <w:r>
        <w:t xml:space="preserve">你们当以基督耶稣的心为心。他本有神的形像，不以自己与神同等为强夺的，反倒虚己，取了奴仆的形像，成为人的样式。既有人的样子，就自己卑微，存心顺服，以至于死，且死在十字架上。</w:t>
      </w:r>
      <w:r>
        <w:rPr>
          <w:rStyle w:val="FootnoteReference"/>
        </w:rPr>
        <w:footnoteReference w:id="736"/>
      </w:r>
    </w:p>
    <w:p>
      <w:pPr>
        <w:pStyle w:val="BodyText"/>
      </w:pPr>
      <w:r>
        <w:t xml:space="preserve">希伯来书也提到同样的奥秘：</w:t>
      </w:r>
    </w:p>
    <w:p>
      <w:pPr>
        <w:pStyle w:val="BodyText"/>
      </w:pPr>
      <w:r>
        <w:t xml:space="preserve">所以基督到世上来的时候，就说：「祭物和礼物是你不愿意的，你曾给我预备了身体。燔祭和赎罪祭是你不喜欢的。那时我说：神啊，我来了，为要照你的旨意行。」</w:t>
      </w:r>
      <w:r>
        <w:rPr>
          <w:rStyle w:val="FootnoteReference"/>
        </w:rPr>
        <w:footnoteReference w:id="737"/>
      </w:r>
    </w:p>
    <w:p>
      <w:pPr>
        <w:pStyle w:val="BodyText"/>
      </w:pPr>
      <w:r>
        <w:t xml:space="preserve">相信神的儿子真实道成肉身是基督信仰的独特标志：「凡灵认耶稣基督是成了肉身来的，就是出于神的。」</w:t>
      </w:r>
      <w:r>
        <w:rPr>
          <w:rStyle w:val="FootnoteReference"/>
        </w:rPr>
        <w:footnoteReference w:id="738"/>
      </w:r>
      <w:r>
        <w:t xml:space="preserve">这就是教会从一开始就欢欣鼓舞地确信的，每当她颂唱「敬虔的奥秘」时：「他在肉身显现。」</w:t>
      </w:r>
      <w:r>
        <w:rPr>
          <w:rStyle w:val="FootnoteReference"/>
        </w:rPr>
        <w:footnoteReference w:id="739"/>
      </w:r>
    </w:p>
    <w:bookmarkEnd w:id="740"/>
    <w:bookmarkStart w:id="751" w:name="三真神真人"/>
    <w:p>
      <w:pPr>
        <w:pStyle w:val="Heading6"/>
      </w:pPr>
      <w:r>
        <w:t xml:space="preserve">三、真神真人</w:t>
      </w:r>
    </w:p>
    <w:p>
      <w:pPr>
        <w:pStyle w:val="FirstParagraph"/>
      </w:pPr>
      <w:r>
        <w:t xml:space="preserve">神的儿子道成肉身这一独特而非凡的事件并不意味着耶稣基督是部分神部分人，也不意味着他是神性和人性混合的结果。他成为真正的人，同时仍然是真正的神。耶稣基督是真神真人。</w:t>
      </w:r>
    </w:p>
    <w:p>
      <w:pPr>
        <w:pStyle w:val="BodyText"/>
      </w:pPr>
      <w:r>
        <w:t xml:space="preserve">在最初的几个世纪里，教会不得不针对歪曲这一信仰真理的异端来捍卫和阐明它。</w:t>
      </w:r>
    </w:p>
    <w:p>
      <w:pPr>
        <w:pStyle w:val="BodyText"/>
      </w:pPr>
      <w:r>
        <w:t xml:space="preserve">最早的异端并非否认基督的神性，而是否认他真实的人性（诺斯底幻影说）。从使徒时代起，基督信仰就坚持神的儿子「成了肉身」的真实道成肉身。</w:t>
      </w:r>
      <w:r>
        <w:rPr>
          <w:rStyle w:val="FootnoteReference"/>
        </w:rPr>
        <w:footnoteReference w:id="741"/>
      </w:r>
      <w:r>
        <w:t xml:space="preserve">但在三世纪，教会在安提阿的一次会议上就不得不针对撒摩撒他的保罗申明耶稣基督本质上是神的儿子，而非因收养而成为神的儿子。325 年的第一次尼西亚大公会议在其信经中宣认神的儿子是「受生的，不是被造的，与父同质（</w:t>
      </w:r>
      <w:r>
        <w:rPr>
          <w:i/>
          <w:iCs/>
        </w:rPr>
        <w:t xml:space="preserve">homoousios</w:t>
      </w:r>
      <w:r>
        <w:t xml:space="preserve">）」，并谴责了亚略，他曾宣称神的儿子「是从无中产生的」，并且他「与父不同质」。</w:t>
      </w:r>
      <w:r>
        <w:rPr>
          <w:rStyle w:val="FootnoteReference"/>
        </w:rPr>
        <w:footnoteReference w:id="742"/>
      </w:r>
    </w:p>
    <w:p>
      <w:pPr>
        <w:pStyle w:val="BodyText"/>
      </w:pPr>
      <w:r>
        <w:t xml:space="preserve">聂斯托留异端将基督视为一个与神儿子的神性位格结合的人性位格。为反对这一异端，亚历山大的圣区利罗和 431 年在以弗所召开的第三次大公会议宣认「道在自己的位格中与有理性灵魂的肉身结合，成为人」。</w:t>
      </w:r>
      <w:r>
        <w:rPr>
          <w:rStyle w:val="FootnoteReference"/>
        </w:rPr>
        <w:footnoteReference w:id="743"/>
      </w:r>
      <w:r>
        <w:t xml:space="preserve">基督的人性除了神儿子的神性位格外没有其他主体，神的儿子从受孕时就取了人性并使之成为自己的。因此，以弗所会议在 431 年宣告马利亚因在她腹中孕育神的儿子而真正成为神的母亲：「神的母亲，不是说道的本性或他的神性是从圣母开始存在的，而是说，既然圣体由有理性的灵魂所赋予生命，而神的道按照位格与之结合，是从她而生的，所以道被称为按肉身而生。」</w:t>
      </w:r>
      <w:r>
        <w:rPr>
          <w:rStyle w:val="FootnoteReference"/>
        </w:rPr>
        <w:footnoteReference w:id="744"/>
      </w:r>
    </w:p>
    <w:p>
      <w:pPr>
        <w:pStyle w:val="BodyText"/>
      </w:pPr>
      <w:r>
        <w:t xml:space="preserve">单性论者宣称，当神儿子的神性位格取了人性时，人性就不再以其本来面目存在于基督里。面对这一异端，451 年在迦克墩召开的第四次大公会议宣认：</w:t>
      </w:r>
    </w:p>
    <w:p>
      <w:pPr>
        <w:pStyle w:val="BodyText"/>
      </w:pPr>
      <w:r>
        <w:t xml:space="preserve">我们遵循圣教父们，一致教导并宣认同一位子，我们的主耶稣基督：他在神性上是完全的，在人性上也是完全的，他是真正的神，也是真正的人，有理性的灵魂和身体；按神性与父同体，按人性与我们同体；「在各方面与我们一样，只是没有罪」。按神性，他在万世之先为父所生；按人性，在这末后的日子，为了我们和我们的救恩，由神的母亲童贞马利亚所生。</w:t>
      </w:r>
      <w:r>
        <w:rPr>
          <w:rStyle w:val="FootnoteReference"/>
        </w:rPr>
        <w:footnoteReference w:id="745"/>
      </w:r>
    </w:p>
    <w:p>
      <w:pPr>
        <w:pStyle w:val="BodyText"/>
      </w:pPr>
      <w:r>
        <w:t xml:space="preserve">我们宣认同一位基督、主、独生子应在两性中被承认，这两性不相混淆、不改变、不分割、不分离。两性的区别并未因联合而消除，反而各自的特性得以保存，并在一个位格（</w:t>
      </w:r>
      <w:r>
        <w:rPr>
          <w:i/>
          <w:iCs/>
        </w:rPr>
        <w:t xml:space="preserve">prosopon</w:t>
      </w:r>
      <w:r>
        <w:t xml:space="preserve">）和一个位体中结合。</w:t>
      </w:r>
      <w:r>
        <w:rPr>
          <w:rStyle w:val="FootnoteReference"/>
        </w:rPr>
        <w:footnoteReference w:id="746"/>
      </w:r>
    </w:p>
    <w:p>
      <w:pPr>
        <w:pStyle w:val="BodyText"/>
      </w:pPr>
      <w:r>
        <w:t xml:space="preserve">迦克墩会议之后，有人将基督的人性视为某种个人主体。针对他们，553 年在君士坦丁堡召开的第五次大公会议宣认「只有一个</w:t>
      </w:r>
      <w:r>
        <w:rPr>
          <w:i/>
          <w:iCs/>
        </w:rPr>
        <w:t xml:space="preserve">位体</w:t>
      </w:r>
      <w:r>
        <w:t xml:space="preserve">［或位格］，就是我们的主耶稣基督，三位一体中的一位」。</w:t>
      </w:r>
      <w:r>
        <w:rPr>
          <w:rStyle w:val="FootnoteReference"/>
        </w:rPr>
        <w:footnoteReference w:id="747"/>
      </w:r>
      <w:r>
        <w:t xml:space="preserve">因此，基督人性中的一切都应归于他的神性位格作为其本体，不仅包括他的神迹，还包括他的苦难，甚至他的死亡：「那位在肉身中被钉十字架的，我们的主耶稣基督，是真神，荣耀的主，</w:t>
      </w:r>
      <w:r>
        <w:rPr>
          <w:i/>
          <w:iCs/>
        </w:rPr>
        <w:t xml:space="preserve">三位一体中的一位</w:t>
      </w:r>
      <w:r>
        <w:t xml:space="preserve">。」</w:t>
      </w:r>
      <w:r>
        <w:rPr>
          <w:rStyle w:val="FootnoteReference"/>
        </w:rPr>
        <w:footnoteReference w:id="748"/>
      </w:r>
    </w:p>
    <w:p>
      <w:pPr>
        <w:pStyle w:val="BodyText"/>
      </w:pPr>
      <w:r>
        <w:t xml:space="preserve">因此，教会宣认耶稣是不可分割的真神真人。他确实是神的儿子，在不停止作为神和主的同时，成为人和我们的兄弟：</w:t>
      </w:r>
    </w:p>
    <w:p>
      <w:pPr>
        <w:pStyle w:val="BodyText"/>
      </w:pPr>
      <w:r>
        <w:t xml:space="preserve">「他原有的，他仍保持；他原没有的，他取了」，罗马礼仪如此歌颂。</w:t>
      </w:r>
      <w:r>
        <w:rPr>
          <w:rStyle w:val="FootnoteReference"/>
        </w:rPr>
        <w:footnoteReference w:id="749"/>
      </w:r>
      <w:r>
        <w:t xml:space="preserve">而圣约翰·屈梭多模的礼仪宣告并歌唱：「神的独生子和道，不朽的存在，你为我们的救恩甘愿从至圣神母和永贞童女马利亚取了肉身，你不改变地成为人并被钉十字架，基督我们的神，你以你的死亡击碎了死亡，你是三位一体中的一位，与父和圣灵同受荣耀，拯救我们！」</w:t>
      </w:r>
      <w:r>
        <w:rPr>
          <w:rStyle w:val="FootnoteReference"/>
        </w:rPr>
        <w:footnoteReference w:id="750"/>
      </w:r>
    </w:p>
    <w:bookmarkEnd w:id="751"/>
    <w:bookmarkStart w:id="774" w:name="四神的儿子如何成为人"/>
    <w:p>
      <w:pPr>
        <w:pStyle w:val="Heading6"/>
      </w:pPr>
      <w:r>
        <w:t xml:space="preserve">四、神的儿子如何成为人？</w:t>
      </w:r>
    </w:p>
    <w:p>
      <w:pPr>
        <w:pStyle w:val="FirstParagraph"/>
      </w:pPr>
      <w:r>
        <w:t xml:space="preserve">因为「人性被取了，并非被吸收」，</w:t>
      </w:r>
      <w:r>
        <w:rPr>
          <w:rStyle w:val="FootnoteReference"/>
        </w:rPr>
        <w:footnoteReference w:id="752"/>
      </w:r>
      <w:r>
        <w:t xml:space="preserve">在道成肉身的奥秘结合中，教会在几个世纪中被引导，承认基督人灵魂的全部真实，包括他的理智和意志的运作，以及他的人体。同样，她必须在每次都提醒，基督的人性属于他自己，归于取了人性的神之子的位格。基督在此人性中所是、所做的一切，都源自「三位一体中的一位」。因此，神的儿子将他在三位一体中的个人存在方式，传达给他的人性。基督在他的灵魂和身体中，以人性的方式表达了三位一体的神性：</w:t>
      </w:r>
      <w:r>
        <w:rPr>
          <w:rStyle w:val="FootnoteReference"/>
        </w:rPr>
        <w:footnoteReference w:id="753"/>
      </w:r>
    </w:p>
    <w:p>
      <w:pPr>
        <w:pStyle w:val="BodyText"/>
      </w:pPr>
      <w:r>
        <w:t xml:space="preserve">神的儿子……用人的手工作；他以人的心思思想。他以人的意志行动，以人的心爱着。生于童贞女马利亚，他确实成为我们的一员，除了罪以外，在一切事上与我们相同。</w:t>
      </w:r>
      <w:r>
        <w:rPr>
          <w:rStyle w:val="FootnoteReference"/>
        </w:rPr>
        <w:footnoteReference w:id="754"/>
      </w:r>
    </w:p>
    <w:p>
      <w:pPr>
        <w:pStyle w:val="BodyText"/>
      </w:pPr>
      <w:r>
        <w:rPr>
          <w:i/>
          <w:iCs/>
        </w:rPr>
        <w:t xml:space="preserve">基督的灵魂和他的人性知识</w:t>
      </w:r>
    </w:p>
    <w:p>
      <w:pPr>
        <w:pStyle w:val="BodyText"/>
      </w:pPr>
      <w:r>
        <w:t xml:space="preserve">老底嘉的亚波里拿流主张，在基督里，神的道取代了灵魂或灵。针对这个错误，教会宣认永恒的圣子也具有理性的人类灵魂。</w:t>
      </w:r>
      <w:r>
        <w:rPr>
          <w:rStyle w:val="FootnoteReference"/>
        </w:rPr>
        <w:footnoteReference w:id="755"/>
      </w:r>
    </w:p>
    <w:p>
      <w:pPr>
        <w:pStyle w:val="BodyText"/>
      </w:pPr>
      <w:r>
        <w:t xml:space="preserve">神的儿子所取的人性灵魂真实地具有人性知识。因此，这种知识本身不可能是无限的：它是在他在时空中存在的历史条件下运作的。这就是为什么神的儿子成为人时，能够「在智慧和身量上，并神和人喜爱他的心，都一齐增长」，</w:t>
      </w:r>
      <w:r>
        <w:rPr>
          <w:rStyle w:val="FootnoteReference"/>
        </w:rPr>
        <w:footnoteReference w:id="756"/>
      </w:r>
      <w:r>
        <w:t xml:space="preserve">甚至需要通过自己的询问来了解那些在人的条件下只能从经验中学习的事。</w:t>
      </w:r>
      <w:r>
        <w:rPr>
          <w:rStyle w:val="FootnoteReference"/>
        </w:rPr>
        <w:footnoteReference w:id="757"/>
      </w:r>
      <w:r>
        <w:t xml:space="preserve">这符合他自愿倒空自己，取了「奴仆的形象」的现实。</w:t>
      </w:r>
      <w:r>
        <w:rPr>
          <w:rStyle w:val="FootnoteReference"/>
        </w:rPr>
        <w:footnoteReference w:id="758"/>
      </w:r>
    </w:p>
    <w:p>
      <w:pPr>
        <w:pStyle w:val="BodyText"/>
      </w:pPr>
      <w:r>
        <w:t xml:space="preserve">但是与此同时，神的儿子这真正的人类知识，表达了他位格的神性生命。</w:t>
      </w:r>
      <w:r>
        <w:rPr>
          <w:rStyle w:val="FootnoteReference"/>
        </w:rPr>
        <w:footnoteReference w:id="759"/>
      </w:r>
      <w:r>
        <w:t xml:space="preserve">神儿子的人性，不是凭自身，而是通过与道的结合，在其自身中认识并显明了关于神的一切事物。</w:t>
      </w:r>
      <w:r>
        <w:rPr>
          <w:rStyle w:val="FootnoteReference"/>
        </w:rPr>
        <w:footnoteReference w:id="760"/>
      </w:r>
      <w:r>
        <w:t xml:space="preserve">首先，这体现在神子成为人后对父的亲密而直接的认识中。</w:t>
      </w:r>
      <w:r>
        <w:rPr>
          <w:rStyle w:val="FootnoteReference"/>
        </w:rPr>
        <w:footnoteReference w:id="761"/>
      </w:r>
      <w:r>
        <w:t xml:space="preserve">神子在他的人性知识中，也展现了他对人心隐秘思想的神性洞察力。</w:t>
      </w:r>
      <w:r>
        <w:rPr>
          <w:rStyle w:val="FootnoteReference"/>
        </w:rPr>
        <w:footnoteReference w:id="762"/>
      </w:r>
    </w:p>
    <w:p>
      <w:pPr>
        <w:pStyle w:val="BodyText"/>
      </w:pPr>
      <w:r>
        <w:t xml:space="preserve">因着与神的智慧在道成肉身之位格中的结合，基督在他的人类知识中，享有对他所要启示的永恒计划完整的理解。</w:t>
      </w:r>
      <w:r>
        <w:rPr>
          <w:rStyle w:val="FootnoteReference"/>
        </w:rPr>
        <w:footnoteReference w:id="763"/>
      </w:r>
      <w:r>
        <w:t xml:space="preserve">对于他承认自己不知的事，他在别处宣告自己并非被差来启示。</w:t>
      </w:r>
      <w:r>
        <w:rPr>
          <w:rStyle w:val="FootnoteReference"/>
        </w:rPr>
        <w:footnoteReference w:id="764"/>
      </w:r>
    </w:p>
    <w:p>
      <w:pPr>
        <w:pStyle w:val="BodyText"/>
      </w:pPr>
      <w:r>
        <w:rPr>
          <w:i/>
          <w:iCs/>
        </w:rPr>
        <w:t xml:space="preserve">基督的人性意志</w:t>
      </w:r>
    </w:p>
    <w:p>
      <w:pPr>
        <w:pStyle w:val="BodyText"/>
      </w:pPr>
      <w:r>
        <w:t xml:space="preserve">同样，在 681 年召开的第六次大公会议（君士坦丁堡第三次会议）上，教会宣认基督拥有两个意志和两种本性的运作，即神性的和人性的。这两者并不相互对立，而是以这样的方式合作：为了我们的救恩，成为肉身的道以人性的意志顺服于他的父，他在人性中意愿所有他在神性中与父和圣灵一同决定的事。</w:t>
      </w:r>
      <w:r>
        <w:rPr>
          <w:rStyle w:val="FootnoteReference"/>
        </w:rPr>
        <w:footnoteReference w:id="765"/>
      </w:r>
      <w:r>
        <w:t xml:space="preserve">基督的人性意志「不抗拒也不违背，而顺服于他神性全能的意志」。</w:t>
      </w:r>
      <w:r>
        <w:rPr>
          <w:rStyle w:val="FootnoteReference"/>
        </w:rPr>
        <w:footnoteReference w:id="766"/>
      </w:r>
    </w:p>
    <w:p>
      <w:pPr>
        <w:pStyle w:val="BodyText"/>
      </w:pPr>
      <w:r>
        <w:rPr>
          <w:i/>
          <w:iCs/>
        </w:rPr>
        <w:t xml:space="preserve">基督的真实身体</w:t>
      </w:r>
    </w:p>
    <w:p>
      <w:pPr>
        <w:pStyle w:val="BodyText"/>
      </w:pPr>
      <w:r>
        <w:t xml:space="preserve">既然道成为肉身是取了真实的人性，基督的身体就是有限的。</w:t>
      </w:r>
      <w:r>
        <w:rPr>
          <w:rStyle w:val="FootnoteReference"/>
        </w:rPr>
        <w:footnoteReference w:id="767"/>
      </w:r>
      <w:r>
        <w:t xml:space="preserve">因此，耶稣的人性面貌是可以被描绘的；在第七次大公会议（787 年的尼西亚第二次会议）上，教会承认在圣像中表现耶稣的形象是合法的。</w:t>
      </w:r>
      <w:r>
        <w:rPr>
          <w:rStyle w:val="FootnoteReference"/>
        </w:rPr>
        <w:footnoteReference w:id="768"/>
      </w:r>
    </w:p>
    <w:p>
      <w:pPr>
        <w:pStyle w:val="BodyText"/>
      </w:pPr>
      <w:r>
        <w:t xml:space="preserve">同时，教会一直承认在耶稣的身体中，「我们看见我们的神成为可见的，因此我们被吸引去爱那我们无法看见的神。」</w:t>
      </w:r>
      <w:r>
        <w:rPr>
          <w:rStyle w:val="FootnoteReference"/>
        </w:rPr>
        <w:footnoteReference w:id="769"/>
      </w:r>
      <w:r>
        <w:t xml:space="preserve">基督身体的个体特征表达了神儿子的神性位格。他使自己人性身体的特征成为他自己的，以至于当这些特征在圣像中被描绘时，可以受到敬奉，因为信徒「敬奉圣像就是在圣像中敬奉所描绘的那一位」。</w:t>
      </w:r>
      <w:r>
        <w:rPr>
          <w:rStyle w:val="FootnoteReference"/>
        </w:rPr>
        <w:footnoteReference w:id="770"/>
      </w:r>
    </w:p>
    <w:p>
      <w:pPr>
        <w:pStyle w:val="BodyText"/>
      </w:pPr>
      <w:r>
        <w:rPr>
          <w:i/>
          <w:iCs/>
        </w:rPr>
        <w:t xml:space="preserve">道成肉身者的心</w:t>
      </w:r>
    </w:p>
    <w:p>
      <w:pPr>
        <w:pStyle w:val="BodyText"/>
      </w:pPr>
      <w:r>
        <w:t xml:space="preserve">耶稣在他的一生、痛苦和受难中，认识并爱着我们每一个人，为我们每个人舍了自己：「神的儿子……爱我，为我舍己。」</w:t>
      </w:r>
      <w:r>
        <w:rPr>
          <w:rStyle w:val="FootnoteReference"/>
        </w:rPr>
        <w:footnoteReference w:id="771"/>
      </w:r>
      <w:r>
        <w:t xml:space="preserve">他以人的心爱着我们所有人。因此，耶稣的圣心，为了我们的救赎，被我们的罪所刺透，</w:t>
      </w:r>
      <w:r>
        <w:rPr>
          <w:rStyle w:val="FootnoteReference"/>
        </w:rPr>
        <w:footnoteReference w:id="772"/>
      </w:r>
      <w:r>
        <w:t xml:space="preserve">「被认为是那位救赎主不间断地爱永恒的父和所有人类的……爱的主要标志和象征，这是完全恰当的。」</w:t>
      </w:r>
      <w:r>
        <w:rPr>
          <w:rStyle w:val="FootnoteReference"/>
        </w:rPr>
        <w:footnoteReference w:id="773"/>
      </w:r>
    </w:p>
    <w:bookmarkEnd w:id="774"/>
    <w:bookmarkStart w:id="775" w:name="综述-13"/>
    <w:p>
      <w:pPr>
        <w:pStyle w:val="Heading6"/>
      </w:pPr>
      <w:r>
        <w:t xml:space="preserve">综述</w:t>
      </w:r>
    </w:p>
    <w:p>
      <w:pPr>
        <w:pStyle w:val="FirstParagraph"/>
      </w:pPr>
      <w:r>
        <w:t xml:space="preserve">在神所定的时候，父的独生子，永恒的道，即父的道和实质的形象，成为肉身；他没有失去神性，而是取了人性。</w:t>
      </w:r>
    </w:p>
    <w:p>
      <w:pPr>
        <w:pStyle w:val="BodyText"/>
      </w:pPr>
      <w:r>
        <w:t xml:space="preserve">耶稣基督是真神又是真人，在他神性位格的合一中；因此他是神与人之间独一的中保。</w:t>
      </w:r>
    </w:p>
    <w:p>
      <w:pPr>
        <w:pStyle w:val="BodyText"/>
      </w:pPr>
      <w:r>
        <w:t xml:space="preserve">耶稣基督拥有两性，一个是神性，另一个是人性，不相混淆，而是在神儿子的一个位格中联合。</w:t>
      </w:r>
    </w:p>
    <w:p>
      <w:pPr>
        <w:pStyle w:val="BodyText"/>
      </w:pPr>
      <w:r>
        <w:t xml:space="preserve">基督，作为真神又是真人，有人性的理智和意志，完全协调并服从于他的神性理智和神性意志，这神性意志是他与父和圣灵所共有的。</w:t>
      </w:r>
    </w:p>
    <w:p>
      <w:pPr>
        <w:pStyle w:val="BodyText"/>
      </w:pPr>
      <w:r>
        <w:t xml:space="preserve">因此，道成肉身是神性和人性在道的一个位格中奇妙联合的奥秘。</w:t>
      </w:r>
    </w:p>
    <w:p>
      <w:r>
        <w:br w:type="page"/>
      </w:r>
    </w:p>
    <w:bookmarkEnd w:id="775"/>
    <w:bookmarkEnd w:id="776"/>
    <w:bookmarkStart w:id="831" w:name="第二段因圣灵感孕由童贞马利亚所生"/>
    <w:p>
      <w:pPr>
        <w:pStyle w:val="Heading5"/>
      </w:pPr>
      <w:r>
        <w:t xml:space="preserve">第二段：「因圣灵感孕，由童贞马利亚所生」</w:t>
      </w:r>
    </w:p>
    <w:bookmarkStart w:id="783" w:name="一因圣灵感孕"/>
    <w:p>
      <w:pPr>
        <w:pStyle w:val="Heading6"/>
      </w:pPr>
      <w:r>
        <w:t xml:space="preserve">一、因圣灵感孕</w:t>
      </w:r>
    </w:p>
    <w:p>
      <w:pPr>
        <w:pStyle w:val="FirstParagraph"/>
      </w:pPr>
      <w:r>
        <w:t xml:space="preserve">天使向马利亚报喜，开启了「时候满足」的时刻，</w:t>
      </w:r>
      <w:r>
        <w:rPr>
          <w:rStyle w:val="FootnoteReference"/>
        </w:rPr>
        <w:footnoteReference w:id="777"/>
      </w:r>
      <w:r>
        <w:t xml:space="preserve">就是神的应许和预备成就的时间。马利亚受邀怀孕那位「神本性一切的丰盛，都有形有体地居住在基督里面」的主。</w:t>
      </w:r>
      <w:r>
        <w:rPr>
          <w:rStyle w:val="FootnoteReference"/>
        </w:rPr>
        <w:footnoteReference w:id="778"/>
      </w:r>
      <w:r>
        <w:t xml:space="preserve">对于她的问题：「我没有出嫁，怎么有这事呢？」神以圣灵的能力回应：「圣灵要降临在你身上，至高者的能力要荫庇你。」</w:t>
      </w:r>
      <w:r>
        <w:rPr>
          <w:rStyle w:val="FootnoteReference"/>
        </w:rPr>
        <w:footnoteReference w:id="779"/>
      </w:r>
    </w:p>
    <w:p>
      <w:pPr>
        <w:pStyle w:val="BodyText"/>
      </w:pPr>
      <w:r>
        <w:t xml:space="preserve">圣灵的使命总是与子的使命相结合，并按其排列。</w:t>
      </w:r>
      <w:r>
        <w:rPr>
          <w:rStyle w:val="FootnoteReference"/>
        </w:rPr>
        <w:footnoteReference w:id="780"/>
      </w:r>
      <w:r>
        <w:t xml:space="preserve">圣灵，就是「主，赐生命者」，被差遣来圣化童贞女马利亚的腹中，并以神性的方式使其受孕，使她以自身的人性怀孕父永恒的儿子。</w:t>
      </w:r>
    </w:p>
    <w:p>
      <w:pPr>
        <w:pStyle w:val="BodyText"/>
      </w:pPr>
      <w:r>
        <w:t xml:space="preserve">父的独生子在童贞马利亚腹中成为人，就是「基督」，也就是说，从他人性存在的开始就被圣灵所膏，虽然这一事实的显明是逐步进行的：向牧羊人、博士、施洗约翰和门徒们。</w:t>
      </w:r>
      <w:r>
        <w:rPr>
          <w:rStyle w:val="FootnoteReference"/>
        </w:rPr>
        <w:footnoteReference w:id="781"/>
      </w:r>
      <w:r>
        <w:t xml:space="preserve">因此，耶稣基督的整个生命将显明「神怎样以圣灵和能力膏拿撒勒人耶稣」。</w:t>
      </w:r>
      <w:r>
        <w:rPr>
          <w:rStyle w:val="FootnoteReference"/>
        </w:rPr>
        <w:footnoteReference w:id="782"/>
      </w:r>
    </w:p>
    <w:bookmarkEnd w:id="783"/>
    <w:bookmarkStart w:id="830" w:name="二由童贞马利亚所生"/>
    <w:p>
      <w:pPr>
        <w:pStyle w:val="Heading6"/>
      </w:pPr>
      <w:r>
        <w:t xml:space="preserve">二、由童贞马利亚所生</w:t>
      </w:r>
    </w:p>
    <w:p>
      <w:pPr>
        <w:pStyle w:val="FirstParagraph"/>
      </w:pPr>
      <w:r>
        <w:t xml:space="preserve">公教会信仰关于马利亚的信念是基于其对基督的信仰，而其关于马利亚的教导反过来又阐明了对基督的信仰。</w:t>
      </w:r>
    </w:p>
    <w:p>
      <w:pPr>
        <w:pStyle w:val="BodyText"/>
      </w:pPr>
      <w:r>
        <w:rPr>
          <w:i/>
          <w:iCs/>
        </w:rPr>
        <w:t xml:space="preserve">马利亚的预定</w:t>
      </w:r>
    </w:p>
    <w:p>
      <w:pPr>
        <w:pStyle w:val="BodyText"/>
      </w:pPr>
      <w:r>
        <w:t xml:space="preserve">「神差遣他的儿子」，但要为他预备一个身体，</w:t>
      </w:r>
      <w:r>
        <w:rPr>
          <w:rStyle w:val="FootnoteReference"/>
        </w:rPr>
        <w:footnoteReference w:id="784"/>
      </w:r>
      <w:r>
        <w:t xml:space="preserve">他愿意一个受造物的自由合作。为此，神从永恒中为他儿子的母亲选择了以色列的一个女儿——一位加利利拿撒勒的年轻犹太女子，「一个童女，已经许配给大卫家的一位名叫约瑟的男子；童女的名字叫马利亚」。</w:t>
      </w:r>
      <w:r>
        <w:rPr>
          <w:rStyle w:val="FootnoteReference"/>
        </w:rPr>
        <w:footnoteReference w:id="785"/>
      </w:r>
    </w:p>
    <w:p>
      <w:pPr>
        <w:pStyle w:val="BodyText"/>
      </w:pPr>
      <w:r>
        <w:t xml:space="preserve">仁慈的父愿意道成肉身之前有预定的母亲的应允，好使正如一个女人参与了死亡的来临，同样也有一个女人为生命的来临作出贡献。</w:t>
      </w:r>
      <w:r>
        <w:rPr>
          <w:rStyle w:val="FootnoteReference"/>
        </w:rPr>
        <w:footnoteReference w:id="786"/>
      </w:r>
    </w:p>
    <w:p>
      <w:pPr>
        <w:pStyle w:val="BodyText"/>
      </w:pPr>
      <w:r>
        <w:t xml:space="preserve">在整个旧约中，许多圣洁妇女的使命</w:t>
      </w:r>
      <w:r>
        <w:rPr>
          <w:i/>
          <w:iCs/>
        </w:rPr>
        <w:t xml:space="preserve">预备</w:t>
      </w:r>
      <w:r>
        <w:t xml:space="preserve">了马利亚的使命。从最初就有夏娃；尽管她不顺服，她还是得到了应许，她的后裔将战胜那恶者，并且她将成为众生者之母。</w:t>
      </w:r>
      <w:r>
        <w:rPr>
          <w:rStyle w:val="FootnoteReference"/>
        </w:rPr>
        <w:footnoteReference w:id="787"/>
      </w:r>
      <w:r>
        <w:t xml:space="preserve">凭着这应许，撒拉虽然年老还是怀了一个儿子。</w:t>
      </w:r>
      <w:r>
        <w:rPr>
          <w:rStyle w:val="FootnoteReference"/>
        </w:rPr>
        <w:footnoteReference w:id="788"/>
      </w:r>
      <w:r>
        <w:t xml:space="preserve">出乎人的意料，神选择那些被认为软弱无能的人来彰显他对应许的信实：撒母耳的母亲哈拿；底波拉；路得；友弟德和以斯帖；以及许多其他妇女。</w:t>
      </w:r>
      <w:r>
        <w:rPr>
          <w:rStyle w:val="FootnoteReference"/>
        </w:rPr>
        <w:footnoteReference w:id="789"/>
      </w:r>
      <w:r>
        <w:t xml:space="preserve">马利亚「在主的贫穷卑微者中脱颖而出，他们坚信地盼望并从他那里领受救恩。在她身上，经过长期的等待，时候终于满足了，她是被高举的锡安女儿，新的救恩计划得以确立。」</w:t>
      </w:r>
      <w:r>
        <w:rPr>
          <w:rStyle w:val="FootnoteReference"/>
        </w:rPr>
        <w:footnoteReference w:id="790"/>
      </w:r>
    </w:p>
    <w:p>
      <w:pPr>
        <w:pStyle w:val="BodyText"/>
      </w:pPr>
      <w:r>
        <w:rPr>
          <w:i/>
          <w:iCs/>
        </w:rPr>
        <w:t xml:space="preserve">马利亚的无原罪始胎</w:t>
      </w:r>
    </w:p>
    <w:p>
      <w:pPr>
        <w:pStyle w:val="BodyText"/>
      </w:pPr>
      <w:r>
        <w:t xml:space="preserve">为成为救主的母亲，马利亚「蒙神赐予与这样一个角色相称的恩典」。</w:t>
      </w:r>
      <w:r>
        <w:rPr>
          <w:rStyle w:val="FootnoteReference"/>
        </w:rPr>
        <w:footnoteReference w:id="791"/>
      </w:r>
      <w:r>
        <w:t xml:space="preserve">天使加百列在报喜时向她问安说她是「蒙大恩的」。</w:t>
      </w:r>
      <w:r>
        <w:rPr>
          <w:rStyle w:val="FootnoteReference"/>
        </w:rPr>
        <w:footnoteReference w:id="792"/>
      </w:r>
      <w:r>
        <w:t xml:space="preserve">事实上，为使马利亚能够以信心自由地同意接受她蒙召的宣告，她必须完全被神的恩典所扶持。</w:t>
      </w:r>
    </w:p>
    <w:p>
      <w:pPr>
        <w:pStyle w:val="BodyText"/>
      </w:pPr>
      <w:r>
        <w:t xml:space="preserve">纵观各个世纪，教会越来越意识到，马利亚因神而「蒙大恩」，</w:t>
      </w:r>
      <w:r>
        <w:rPr>
          <w:rStyle w:val="FootnoteReference"/>
        </w:rPr>
        <w:footnoteReference w:id="793"/>
      </w:r>
      <w:r>
        <w:t xml:space="preserve">从她受孕的那一刻起就被救赎了。正如 1854 年庇护九世教宗所宣告的，这就是无原罪始胎教义所承认的：</w:t>
      </w:r>
    </w:p>
    <w:p>
      <w:pPr>
        <w:pStyle w:val="BodyText"/>
      </w:pPr>
      <w:r>
        <w:t xml:space="preserve">荣圣童贞马利亚从她受孕的第一时刻起，因全能神特殊的恩典，并看在耶稣基督——人类救主的份上，被保护免受一切原罪的玷污。</w:t>
      </w:r>
      <w:r>
        <w:rPr>
          <w:rStyle w:val="FootnoteReference"/>
        </w:rPr>
        <w:footnoteReference w:id="794"/>
      </w:r>
    </w:p>
    <w:p>
      <w:pPr>
        <w:pStyle w:val="BodyText"/>
      </w:pPr>
      <w:r>
        <w:t xml:space="preserve">马利亚从「受孕的第一时刻起就被赋予」的「完全独特的圣洁光辉」，全然来自基督：她是「因她儿子的功德，以更卓越的方式被救赎」。</w:t>
      </w:r>
      <w:r>
        <w:rPr>
          <w:rStyle w:val="FootnoteReference"/>
        </w:rPr>
        <w:footnoteReference w:id="795"/>
      </w:r>
      <w:r>
        <w:t xml:space="preserve">父在基督里赐给马利亚的祝福超过任何其他受造物，「在基督里曾赐给（她）天上各样属灵的福气」，并且「在创立世界以前，在基督里拣选了（她），使（她）在他面前成为圣洁，无有瑕疵」。</w:t>
      </w:r>
      <w:r>
        <w:rPr>
          <w:rStyle w:val="FootnoteReference"/>
        </w:rPr>
        <w:footnoteReference w:id="796"/>
      </w:r>
    </w:p>
    <w:p>
      <w:pPr>
        <w:pStyle w:val="BodyText"/>
      </w:pPr>
      <w:r>
        <w:t xml:space="preserve">东方传统的教父们称神的母亲为「至圣者」（Panagia），并颂扬她「没有任何罪的玷污，仿佛是被圣灵塑造成为一个新的受造物」。</w:t>
      </w:r>
      <w:r>
        <w:rPr>
          <w:rStyle w:val="FootnoteReference"/>
        </w:rPr>
        <w:footnoteReference w:id="797"/>
      </w:r>
      <w:r>
        <w:t xml:space="preserve">因着神的恩典，马利亚终其一生都没有犯任何个人的罪。</w:t>
      </w:r>
    </w:p>
    <w:p>
      <w:pPr>
        <w:pStyle w:val="BodyText"/>
      </w:pPr>
      <w:r>
        <w:rPr>
          <w:i/>
          <w:iCs/>
        </w:rPr>
        <w:t xml:space="preserve">「愿照你的话成就在我身上……」</w:t>
      </w:r>
    </w:p>
    <w:p>
      <w:pPr>
        <w:pStyle w:val="BodyText"/>
      </w:pPr>
      <w:r>
        <w:t xml:space="preserve">在天使宣告她将借着圣灵的能力，在未与男子亲近的情况下生下「至高者的儿子」时，马利亚以信心的顺服回应，确信「在神没有难成的事」：「我是主的使女，情愿照你的话成就在我身上。」</w:t>
      </w:r>
      <w:r>
        <w:rPr>
          <w:rStyle w:val="FootnoteReference"/>
        </w:rPr>
        <w:footnoteReference w:id="798"/>
      </w:r>
      <w:r>
        <w:t xml:space="preserve">因此，通过同意神的话语，马利亚成为耶稣的母亲。她全心全意地拥抱神救赎的旨意，没有任何罪阻碍她，她完全将自己奉献给她儿子的位格和工作；她这样做是为了凭着神的恩典，与他一同并依靠他来服务救赎的奥秘：</w:t>
      </w:r>
      <w:r>
        <w:rPr>
          <w:rStyle w:val="FootnoteReference"/>
        </w:rPr>
        <w:footnoteReference w:id="799"/>
      </w:r>
    </w:p>
    <w:p>
      <w:pPr>
        <w:pStyle w:val="BodyText"/>
      </w:pPr>
      <w:r>
        <w:t xml:space="preserve">正如圣爱任纽所说：「因着顺服，她成为了她自己和全人类得救的原因。」</w:t>
      </w:r>
      <w:r>
        <w:rPr>
          <w:rStyle w:val="FootnoteReference"/>
        </w:rPr>
        <w:footnoteReference w:id="800"/>
      </w:r>
      <w:r>
        <w:t xml:space="preserve">因此，不少早期教父欣然宣称：「夏娃不顺服所结的结，因马利亚的顺服而解开；处女夏娃因不信所缠绕的，马利亚借着信解除了。」</w:t>
      </w:r>
      <w:r>
        <w:rPr>
          <w:rStyle w:val="FootnoteReference"/>
        </w:rPr>
        <w:footnoteReference w:id="801"/>
      </w:r>
      <w:r>
        <w:t xml:space="preserve">他们将她与夏娃相比，称马利亚为「生者之母」，并常常宣称：「死亡因夏娃而来，生命借马利亚而得。」</w:t>
      </w:r>
      <w:r>
        <w:rPr>
          <w:rStyle w:val="FootnoteReference"/>
        </w:rPr>
        <w:footnoteReference w:id="802"/>
      </w:r>
    </w:p>
    <w:p>
      <w:pPr>
        <w:pStyle w:val="BodyText"/>
      </w:pPr>
      <w:r>
        <w:rPr>
          <w:i/>
          <w:iCs/>
        </w:rPr>
        <w:t xml:space="preserve">神的母亲马利亚</w:t>
      </w:r>
    </w:p>
    <w:p>
      <w:pPr>
        <w:pStyle w:val="BodyText"/>
      </w:pPr>
      <w:r>
        <w:t xml:space="preserve">在福音书中被称为「耶稣的母亲」的马利亚，在圣灵的感动下，甚至在她儿子出生之前就被伊利沙伯称颂为「我主的母」。</w:t>
      </w:r>
      <w:r>
        <w:rPr>
          <w:rStyle w:val="FootnoteReference"/>
        </w:rPr>
        <w:footnoteReference w:id="803"/>
      </w:r>
      <w:r>
        <w:t xml:space="preserve">事实上，她因圣灵而怀孕所生的人，按肉体真正成为她的儿子的，正是父永恒的儿子，圣三一的第二位格。因此，教会承认马利亚确实是「神的母亲」（Theotokos）。</w:t>
      </w:r>
      <w:r>
        <w:rPr>
          <w:rStyle w:val="FootnoteReference"/>
        </w:rPr>
        <w:footnoteReference w:id="804"/>
      </w:r>
    </w:p>
    <w:p>
      <w:pPr>
        <w:pStyle w:val="BodyText"/>
      </w:pPr>
      <w:r>
        <w:rPr>
          <w:i/>
          <w:iCs/>
        </w:rPr>
        <w:t xml:space="preserve">马利亚的童贞</w:t>
      </w:r>
    </w:p>
    <w:p>
      <w:pPr>
        <w:pStyle w:val="BodyText"/>
      </w:pPr>
      <w:r>
        <w:t xml:space="preserve">从最初的信仰表述开始，教会就宣认耶稣完全是由圣灵的能力在童贞马利亚的腹中孕育的，同时也肯定了这一事件的肉体方面：耶稣是「因圣灵感孕，非人类精子」而成胎。</w:t>
      </w:r>
      <w:r>
        <w:rPr>
          <w:rStyle w:val="FootnoteReference"/>
        </w:rPr>
        <w:footnoteReference w:id="805"/>
      </w:r>
      <w:r>
        <w:t xml:space="preserve">教父们在童贞感孕中看到一个标记，表明确实是神的儿子降生成为与我们一样的人。因此，二世纪初的安提阿的圣依纳爵说：</w:t>
      </w:r>
    </w:p>
    <w:p>
      <w:pPr>
        <w:pStyle w:val="BodyText"/>
      </w:pPr>
      <w:r>
        <w:t xml:space="preserve">你们坚信我们的主，他按肉体确实属大卫的后裔，按神的旨意和能力是神的儿子，确实由童贞女所生，……他在本丢彼拉多手下确实为我们被钉在十字架上，……他确实受苦，正如他也确实复活了。</w:t>
      </w:r>
      <w:r>
        <w:rPr>
          <w:rStyle w:val="FootnoteReference"/>
        </w:rPr>
        <w:footnoteReference w:id="806"/>
      </w:r>
    </w:p>
    <w:p>
      <w:pPr>
        <w:pStyle w:val="BodyText"/>
      </w:pPr>
      <w:r>
        <w:t xml:space="preserve">福音书的记载将耶稣的童贞感孕理解为一项超越人类理解和可能性的神性工作：</w:t>
      </w:r>
      <w:r>
        <w:rPr>
          <w:rStyle w:val="FootnoteReference"/>
        </w:rPr>
        <w:footnoteReference w:id="807"/>
      </w:r>
      <w:r>
        <w:t xml:space="preserve">「她所怀的孕是从圣灵来的」，天使对约瑟如此说到他的未婚妻马利亚。</w:t>
      </w:r>
      <w:r>
        <w:rPr>
          <w:rStyle w:val="FootnoteReference"/>
        </w:rPr>
        <w:footnoteReference w:id="808"/>
      </w:r>
      <w:r>
        <w:t xml:space="preserve">教会在此看到了神借先知以赛亚所给予应许的应验：「必有童女怀孕生子。」</w:t>
      </w:r>
      <w:r>
        <w:rPr>
          <w:rStyle w:val="FootnoteReference"/>
        </w:rPr>
        <w:footnoteReference w:id="809"/>
      </w:r>
    </w:p>
    <w:p>
      <w:pPr>
        <w:pStyle w:val="BodyText"/>
      </w:pPr>
      <w:r>
        <w:t xml:space="preserve">有时人们会因马可福音和新约书信对耶稣童贞感孕的沉默而感到困扰。有些人可能会怀疑这是否仅仅是传说或神学构想，而非历史事实。对此我们必须回应：对耶稣童贞感孕的信仰遭到了非信徒、犹太人和异教徒的强烈反对、嘲笑或不理解；</w:t>
      </w:r>
      <w:r>
        <w:rPr>
          <w:rStyle w:val="FootnoteReference"/>
        </w:rPr>
        <w:footnoteReference w:id="810"/>
      </w:r>
      <w:r>
        <w:t xml:space="preserve">因此，这绝不可能是出于异教神话或对当时思想的某种适应。这一事件的意义只有通过信心才能理解，信心能在基督奥秘的整体中，从道成肉身到逾越节，理解「这些奥秘之间的联系」。</w:t>
      </w:r>
      <w:r>
        <w:rPr>
          <w:rStyle w:val="FootnoteReference"/>
        </w:rPr>
        <w:footnoteReference w:id="811"/>
      </w:r>
      <w:r>
        <w:t xml:space="preserve">安提阿的圣依纳爵已经见证了这种联系：「马利亚的童贞和生产，甚至主的死亡都逃过了这世界之王的注意：这三个值得宣扬的奥秘是在神的沉默中完成的。」</w:t>
      </w:r>
      <w:r>
        <w:rPr>
          <w:rStyle w:val="FootnoteReference"/>
        </w:rPr>
        <w:footnoteReference w:id="812"/>
      </w:r>
    </w:p>
    <w:p>
      <w:pPr>
        <w:pStyle w:val="BodyText"/>
      </w:pPr>
      <w:r>
        <w:rPr>
          <w:i/>
          <w:iCs/>
        </w:rPr>
        <w:t xml:space="preserve">马利亚——「永远童贞」</w:t>
      </w:r>
    </w:p>
    <w:p>
      <w:pPr>
        <w:pStyle w:val="BodyText"/>
      </w:pPr>
      <w:r>
        <w:t xml:space="preserve">对童贞母亲身份信仰的深化使教会宣认马利亚在生下道成肉身的神子时也保持了真实和永久的童贞。</w:t>
      </w:r>
      <w:r>
        <w:rPr>
          <w:rStyle w:val="FootnoteReference"/>
        </w:rPr>
        <w:footnoteReference w:id="813"/>
      </w:r>
      <w:r>
        <w:t xml:space="preserve">事实上，基督的诞生「并未减损他母亲的童贞完整性，反而使之成圣。」</w:t>
      </w:r>
      <w:r>
        <w:rPr>
          <w:rStyle w:val="FootnoteReference"/>
        </w:rPr>
        <w:footnoteReference w:id="814"/>
      </w:r>
      <w:r>
        <w:t xml:space="preserve">因此，教会的礼仪庆祝马利亚为 Aeiparthenos，即「永远童贞」。</w:t>
      </w:r>
      <w:r>
        <w:rPr>
          <w:rStyle w:val="FootnoteReference"/>
        </w:rPr>
        <w:footnoteReference w:id="815"/>
      </w:r>
    </w:p>
    <w:p>
      <w:pPr>
        <w:pStyle w:val="BodyText"/>
      </w:pPr>
      <w:r>
        <w:t xml:space="preserve">反对这一教义的人有时会提出异议，认为圣经提到了耶稣的兄弟姐妹。</w:t>
      </w:r>
      <w:r>
        <w:rPr>
          <w:rStyle w:val="FootnoteReference"/>
        </w:rPr>
        <w:footnoteReference w:id="816"/>
      </w:r>
      <w:r>
        <w:t xml:space="preserve">教会一直理解这些经文并非指童贞马利亚的其他子女。实际上，「耶稣的兄弟」雅各和约瑟是另一位马利亚的儿子，她是基督的门徒，马太福音意味深长地称她为「另外的马利亚」。</w:t>
      </w:r>
      <w:r>
        <w:rPr>
          <w:rStyle w:val="FootnoteReference"/>
        </w:rPr>
        <w:footnoteReference w:id="817"/>
      </w:r>
      <w:r>
        <w:t xml:space="preserve">按照旧约的表达方式，他们是耶稣的近亲。</w:t>
      </w:r>
      <w:r>
        <w:rPr>
          <w:rStyle w:val="FootnoteReference"/>
        </w:rPr>
        <w:footnoteReference w:id="818"/>
      </w:r>
    </w:p>
    <w:p>
      <w:pPr>
        <w:pStyle w:val="BodyText"/>
      </w:pPr>
      <w:r>
        <w:t xml:space="preserve">耶稣是马利亚唯一的儿子，但她属灵的母性延伸至他来拯救的所有人：「她所生的儿子，就是神立为长子的，在许多弟兄中作长子，这些弟兄就是信徒，她以母爱参与他们的生育和培育。」</w:t>
      </w:r>
      <w:r>
        <w:rPr>
          <w:rStyle w:val="FootnoteReference"/>
        </w:rPr>
        <w:footnoteReference w:id="819"/>
      </w:r>
    </w:p>
    <w:p>
      <w:pPr>
        <w:pStyle w:val="BodyText"/>
      </w:pPr>
      <w:r>
        <w:rPr>
          <w:i/>
          <w:iCs/>
        </w:rPr>
        <w:t xml:space="preserve">神计划中马利亚的童贞母性</w:t>
      </w:r>
    </w:p>
    <w:p>
      <w:pPr>
        <w:pStyle w:val="BodyText"/>
      </w:pPr>
      <w:r>
        <w:t xml:space="preserve">信心的眼睛能在整个启示的背景下发现神在他的救赎计划中为何要他的儿子由童贞女所生的奥秘原因。这些原因既涉及基督的位格和他的救赎使命，也涉及马利亚代表全人类对这使命的接纳。</w:t>
      </w:r>
    </w:p>
    <w:p>
      <w:pPr>
        <w:pStyle w:val="BodyText"/>
      </w:pPr>
      <w:r>
        <w:t xml:space="preserve">马利亚的童贞彰显了神在道成肉身中的绝对主动性。耶稣只有神作为父亲。「他因所取的人性从未与父疏远……他按神性自然是父的儿子，按人性自然是母亲的儿子，但在两性中都确实是父的儿子。」</w:t>
      </w:r>
      <w:r>
        <w:rPr>
          <w:rStyle w:val="FootnoteReference"/>
        </w:rPr>
        <w:footnoteReference w:id="820"/>
      </w:r>
    </w:p>
    <w:p>
      <w:pPr>
        <w:pStyle w:val="BodyText"/>
      </w:pPr>
      <w:r>
        <w:t xml:space="preserve">耶稣由圣灵感孕在童贞马利亚腹中，因为他是新亚当，开创新的创造：「头一个人是出于地，乃属土；第二个人是出于天。」</w:t>
      </w:r>
      <w:r>
        <w:rPr>
          <w:rStyle w:val="FootnoteReference"/>
        </w:rPr>
        <w:footnoteReference w:id="821"/>
      </w:r>
      <w:r>
        <w:t xml:space="preserve">从受孕之时起，基督的人性就充满了圣灵，因为神「赐圣灵给他是没有限量的。」</w:t>
      </w:r>
      <w:r>
        <w:rPr>
          <w:rStyle w:val="FootnoteReference"/>
        </w:rPr>
        <w:footnoteReference w:id="822"/>
      </w:r>
      <w:r>
        <w:t xml:space="preserve">作为得赎人类的元首，从他的「丰满里我们都领受了，而且恩上加恩。」</w:t>
      </w:r>
      <w:r>
        <w:rPr>
          <w:rStyle w:val="FootnoteReference"/>
        </w:rPr>
        <w:footnoteReference w:id="823"/>
      </w:r>
    </w:p>
    <w:p>
      <w:pPr>
        <w:pStyle w:val="BodyText"/>
      </w:pPr>
      <w:r>
        <w:t xml:space="preserve">通过他的童贞感孕，耶稣这位新亚当引入了藉着信心在圣灵里被收养的儿女的</w:t>
      </w:r>
      <w:r>
        <w:rPr>
          <w:i/>
          <w:iCs/>
        </w:rPr>
        <w:t xml:space="preserve">新生</w:t>
      </w:r>
      <w:r>
        <w:t xml:space="preserve">。「这事怎能成就呢？」</w:t>
      </w:r>
      <w:r>
        <w:rPr>
          <w:rStyle w:val="FootnoteReference"/>
        </w:rPr>
        <w:footnoteReference w:id="824"/>
      </w:r>
      <w:r>
        <w:t xml:space="preserve">分享神的生命「不是从血气生的，不是从情欲生的，也不是从人意生的，乃是从神生的」。</w:t>
      </w:r>
      <w:r>
        <w:rPr>
          <w:rStyle w:val="FootnoteReference"/>
        </w:rPr>
        <w:footnoteReference w:id="825"/>
      </w:r>
      <w:r>
        <w:t xml:space="preserve">对这生命的接纳是童贞的，因为它完全是圣灵赐给人的恩赐。人与神关系中婚姻的特性</w:t>
      </w:r>
      <w:r>
        <w:rPr>
          <w:rStyle w:val="FootnoteReference"/>
        </w:rPr>
        <w:footnoteReference w:id="826"/>
      </w:r>
      <w:r>
        <w:t xml:space="preserve">在马利亚的童贞母性中得到完美实现。</w:t>
      </w:r>
    </w:p>
    <w:p>
      <w:pPr>
        <w:pStyle w:val="BodyText"/>
      </w:pPr>
      <w:r>
        <w:t xml:space="preserve">马利亚是童贞女，因为她的童贞是她</w:t>
      </w:r>
      <w:r>
        <w:rPr>
          <w:i/>
          <w:iCs/>
        </w:rPr>
        <w:t xml:space="preserve">信心的标记</w:t>
      </w:r>
      <w:r>
        <w:t xml:space="preserve">，「毫无怀疑」，也是她将自己完全奉献给神旨意的标记。</w:t>
      </w:r>
      <w:r>
        <w:rPr>
          <w:rStyle w:val="FootnoteReference"/>
        </w:rPr>
        <w:footnoteReference w:id="827"/>
      </w:r>
      <w:r>
        <w:t xml:space="preserve">正是她的信心使她能成为救主的母亲：「马利亚之所以更有福，是因为她拥抱对基督的信心，而不是因为她怀了基督的肉身。」</w:t>
      </w:r>
      <w:r>
        <w:rPr>
          <w:rStyle w:val="FootnoteReference"/>
        </w:rPr>
        <w:footnoteReference w:id="828"/>
      </w:r>
    </w:p>
    <w:p>
      <w:pPr>
        <w:pStyle w:val="BodyText"/>
      </w:pPr>
      <w:r>
        <w:t xml:space="preserve">马利亚既是童贞女又是母亲，她是教会的象征和最完美的体现：「教会……因着以信心接受神的道而成为母亲。通过传道和施洗，她生育儿女，这些儿女是由圣灵感孕并从神而生，进入新的永恒生命。她自己是童贞女，完整纯洁地保守着她向配偶许下的信心。」</w:t>
      </w:r>
      <w:r>
        <w:rPr>
          <w:rStyle w:val="FootnoteReference"/>
        </w:rPr>
        <w:footnoteReference w:id="829"/>
      </w:r>
    </w:p>
    <w:p>
      <w:pPr>
        <w:pStyle w:val="BodyText"/>
      </w:pPr>
      <w:r>
        <w:rPr>
          <w:i/>
          <w:iCs/>
        </w:rPr>
        <w:t xml:space="preserve">综述</w:t>
      </w:r>
    </w:p>
    <w:p>
      <w:pPr>
        <w:pStyle w:val="BodyText"/>
      </w:pPr>
      <w:r>
        <w:t xml:space="preserve">在夏娃的后裔中，神拣选童贞女马利亚作他儿子的母亲。马利亚「蒙大恩」，是「救赎的最佳果实」（SC 103）：从她受孕的第一刻起，她就完全免于原罪的玷污，一生都远离一切个人罪。</w:t>
      </w:r>
    </w:p>
    <w:p>
      <w:pPr>
        <w:pStyle w:val="BodyText"/>
      </w:pPr>
      <w:r>
        <w:t xml:space="preserve">马利亚确实是「神的母亲」，因为她是成为人的永恒神子的母亲，而这位神子就是神自己。</w:t>
      </w:r>
    </w:p>
    <w:p>
      <w:pPr>
        <w:pStyle w:val="BodyText"/>
      </w:pPr>
      <w:r>
        <w:t xml:space="preserve">马利亚「在怀她儿子时是童贞女，生下他时是童贞女，怀抱他时是童贞女，哺乳他时是童贞女，始终是童贞女」（圣奥古斯丁，《讲道集》186，1：PL 38，999）：她整个人都是「主的使女」（路 1:38）。</w:t>
      </w:r>
    </w:p>
    <w:p>
      <w:pPr>
        <w:pStyle w:val="BodyText"/>
      </w:pPr>
      <w:r>
        <w:t xml:space="preserve">童贞女马利亚「以自由的信心和顺服参与了人类的救恩」（LG 56）。她的应允「代表了全人类」（圣托马斯·阿奎那，《神学大全》III，30，1）。通过她的顺服，她成为新夏娃，生者之母。</w:t>
      </w:r>
    </w:p>
    <w:p>
      <w:r>
        <w:br w:type="page"/>
      </w:r>
    </w:p>
    <w:bookmarkEnd w:id="830"/>
    <w:bookmarkEnd w:id="831"/>
    <w:bookmarkStart w:id="979" w:name="第三段基督生平的奥秘"/>
    <w:p>
      <w:pPr>
        <w:pStyle w:val="Heading5"/>
      </w:pPr>
      <w:r>
        <w:t xml:space="preserve">第三段：基督生平的奥秘</w:t>
      </w:r>
    </w:p>
    <w:p>
      <w:pPr>
        <w:pStyle w:val="FirstParagraph"/>
      </w:pPr>
      <w:r>
        <w:t xml:space="preserve">关于基督的生平，信经只讲述了道成肉身的奥秘，即受孕和诞生，以及逾越奥秘，即受难、钉十字架、死亡、埋葬、下到阴间、复活和升天。它并没有明确提到耶稣隐居或公开生活的奥秘，但关于他道成肉身和逾越奥秘的信条确实照亮了他整个地上的生命。「论到耶稣开头一切所行所教训的，直到他被接上升的日子」</w:t>
      </w:r>
      <w:r>
        <w:rPr>
          <w:rStyle w:val="FootnoteReference"/>
        </w:rPr>
        <w:footnoteReference w:id="832"/>
      </w:r>
      <w:r>
        <w:t xml:space="preserve">，都应当在圣诞和复活节的奥秘之光中被看待。</w:t>
      </w:r>
    </w:p>
    <w:p>
      <w:pPr>
        <w:pStyle w:val="BodyText"/>
      </w:pPr>
      <w:r>
        <w:t xml:space="preserve">根据具体情况，教理讲授会利用耶稣奥秘的全部丰富性。这里仅需指出基督生命所有奥秘共有的一些要素（一），然后概述耶稣隐居（二）和公开（三）生活的主要奥秘。</w:t>
      </w:r>
    </w:p>
    <w:bookmarkStart w:id="857" w:name="一基督的整个生平都是奥秘"/>
    <w:p>
      <w:pPr>
        <w:pStyle w:val="Heading6"/>
      </w:pPr>
      <w:r>
        <w:t xml:space="preserve">一、基督的整个生平都是奥秘</w:t>
      </w:r>
    </w:p>
    <w:p>
      <w:pPr>
        <w:pStyle w:val="FirstParagraph"/>
      </w:pPr>
      <w:r>
        <w:t xml:space="preserve">关于耶稣许多引人好奇的事在福音书中并未记载。关于他在拿撒勒隐藏的生活几乎只字未提，甚至他公开生活的大部分也未记述。</w:t>
      </w:r>
      <w:r>
        <w:rPr>
          <w:rStyle w:val="FootnoteReference"/>
        </w:rPr>
        <w:footnoteReference w:id="833"/>
      </w:r>
      <w:r>
        <w:t xml:space="preserve">福音书所记载的都是「要叫你们信耶稣是基督，是神的儿子，并且叫你们信了他，就可以因他的名得生命。」</w:t>
      </w:r>
      <w:r>
        <w:rPr>
          <w:rStyle w:val="FootnoteReference"/>
        </w:rPr>
        <w:footnoteReference w:id="834"/>
      </w:r>
    </w:p>
    <w:p>
      <w:pPr>
        <w:pStyle w:val="BodyText"/>
      </w:pPr>
      <w:r>
        <w:t xml:space="preserve">福音书是由那些首先有信心的人所写的，</w:t>
      </w:r>
      <w:r>
        <w:rPr>
          <w:rStyle w:val="FootnoteReference"/>
        </w:rPr>
        <w:footnoteReference w:id="835"/>
      </w:r>
      <w:r>
        <w:t xml:space="preserve">他们想要与他人分享这信心。他们因信认识了耶稣是谁，就能在他地上的一生中看到并使他人看到他奥秘的痕迹。从他出生时的襁褓，到他受难时的醋，直到他复活时的裹尸布，耶稣生命中的一切都是他奥秘的记号。</w:t>
      </w:r>
      <w:r>
        <w:rPr>
          <w:rStyle w:val="FootnoteReference"/>
        </w:rPr>
        <w:footnoteReference w:id="836"/>
      </w:r>
      <w:r>
        <w:t xml:space="preserve">他的行为、神迹和话语都揭示了「神本性一切的丰盛，都有形有体地居住在基督里面」。</w:t>
      </w:r>
      <w:r>
        <w:rPr>
          <w:rStyle w:val="FootnoteReference"/>
        </w:rPr>
        <w:footnoteReference w:id="837"/>
      </w:r>
      <w:r>
        <w:t xml:space="preserve">他的人性显为「圣事」，也就是他神性和他所带来救恩的记号和器具：他在地上生活中可见的事，引领我们进入他神子身份和救赎使命那看不可见的奥秘。</w:t>
      </w:r>
    </w:p>
    <w:p>
      <w:pPr>
        <w:pStyle w:val="BodyText"/>
      </w:pPr>
      <w:r>
        <w:rPr>
          <w:i/>
          <w:iCs/>
        </w:rPr>
        <w:t xml:space="preserve">耶稣奥秘的共同特征</w:t>
      </w:r>
    </w:p>
    <w:p>
      <w:pPr>
        <w:pStyle w:val="BodyText"/>
      </w:pPr>
      <w:r>
        <w:t xml:space="preserve">基督整个地上的生命——他的言行、沉默和受苦，甚至他的存在和说话方式——都是对父的</w:t>
      </w:r>
      <w:r>
        <w:rPr>
          <w:i/>
          <w:iCs/>
        </w:rPr>
        <w:t xml:space="preserve">启示</w:t>
      </w:r>
      <w:r>
        <w:t xml:space="preserve">。耶稣能说：「人看见了我，就是看见了父」，父也能说：「这是我的儿子，我所拣选的，你们要听他！」</w:t>
      </w:r>
      <w:r>
        <w:rPr>
          <w:rStyle w:val="FootnoteReference"/>
        </w:rPr>
        <w:footnoteReference w:id="838"/>
      </w:r>
      <w:r>
        <w:t xml:space="preserve">因为我们的主成为人是为履行父的旨意，所以即使他奥秘中最微小的特征也显明了「神的爱……在我们中间」。</w:t>
      </w:r>
      <w:r>
        <w:rPr>
          <w:rStyle w:val="FootnoteReference"/>
        </w:rPr>
        <w:footnoteReference w:id="839"/>
      </w:r>
    </w:p>
    <w:p>
      <w:pPr>
        <w:pStyle w:val="BodyText"/>
      </w:pPr>
      <w:r>
        <w:t xml:space="preserve">基督的整个生命是一个</w:t>
      </w:r>
      <w:r>
        <w:rPr>
          <w:i/>
          <w:iCs/>
        </w:rPr>
        <w:t xml:space="preserve">救赎</w:t>
      </w:r>
      <w:r>
        <w:t xml:space="preserve">的奥秘。救赎首先是通过他十字架上的血临到我们，</w:t>
      </w:r>
      <w:r>
        <w:rPr>
          <w:rStyle w:val="FootnoteReference"/>
        </w:rPr>
        <w:footnoteReference w:id="840"/>
      </w:r>
      <w:r>
        <w:t xml:space="preserve">但这个奥秘在基督整个生命中运行：</w:t>
      </w:r>
    </w:p>
    <w:p>
      <w:pPr>
        <w:pStyle w:val="BodyText"/>
      </w:pPr>
      <w:r>
        <w:t xml:space="preserve">基督的一生都是</w:t>
      </w:r>
      <w:r>
        <w:rPr>
          <w:i/>
          <w:iCs/>
        </w:rPr>
        <w:t xml:space="preserve">救赎</w:t>
      </w:r>
      <w:r>
        <w:t xml:space="preserve">的奥秘。救赎主要是借着他十字架的宝血临到我们，</w:t>
      </w:r>
      <w:r>
        <w:rPr>
          <w:rStyle w:val="FootnoteReference"/>
        </w:rPr>
        <w:footnoteReference w:id="841"/>
      </w:r>
      <w:r>
        <w:t xml:space="preserve">但这奥秘在基督的整个生命中运行： { }</w:t>
      </w:r>
    </w:p>
    <w:p>
      <w:pPr>
        <w:pStyle w:val="Compact"/>
        <w:numPr>
          <w:ilvl w:val="0"/>
          <w:numId w:val="1006"/>
        </w:numPr>
      </w:pPr>
      <w:r>
        <w:t xml:space="preserve">在他道成肉身时，他成为贫穷使我们因他的贫穷得富足；</w:t>
      </w:r>
      <w:r>
        <w:rPr>
          <w:rStyle w:val="FootnoteReference"/>
        </w:rPr>
        <w:footnoteReference w:id="842"/>
      </w:r>
    </w:p>
    <w:p>
      <w:pPr>
        <w:pStyle w:val="Compact"/>
        <w:numPr>
          <w:ilvl w:val="0"/>
          <w:numId w:val="1006"/>
        </w:numPr>
      </w:pPr>
      <w:r>
        <w:t xml:space="preserve">在他隐藏的生活中，他的顺服补偿我们的悖逆；</w:t>
      </w:r>
      <w:r>
        <w:rPr>
          <w:rStyle w:val="FootnoteReference"/>
        </w:rPr>
        <w:footnoteReference w:id="843"/>
      </w:r>
    </w:p>
    <w:p>
      <w:pPr>
        <w:pStyle w:val="Compact"/>
        <w:numPr>
          <w:ilvl w:val="0"/>
          <w:numId w:val="1006"/>
        </w:numPr>
      </w:pPr>
      <w:r>
        <w:t xml:space="preserve">在他的话语中洁净听见的人；</w:t>
      </w:r>
      <w:r>
        <w:rPr>
          <w:rStyle w:val="FootnoteReference"/>
        </w:rPr>
        <w:footnoteReference w:id="844"/>
      </w:r>
    </w:p>
    <w:p>
      <w:pPr>
        <w:pStyle w:val="Compact"/>
        <w:numPr>
          <w:ilvl w:val="0"/>
          <w:numId w:val="1006"/>
        </w:numPr>
      </w:pPr>
      <w:r>
        <w:t xml:space="preserve">在他医治和赶鬼时「他代替我们的软弱，担当我们的疾病」；</w:t>
      </w:r>
      <w:r>
        <w:rPr>
          <w:rStyle w:val="FootnoteReference"/>
        </w:rPr>
        <w:footnoteReference w:id="845"/>
      </w:r>
    </w:p>
    <w:p>
      <w:pPr>
        <w:pStyle w:val="Compact"/>
        <w:numPr>
          <w:ilvl w:val="0"/>
          <w:numId w:val="1006"/>
        </w:numPr>
      </w:pPr>
      <w:r>
        <w:t xml:space="preserve">在他复活中使我们称义。</w:t>
      </w:r>
      <w:r>
        <w:rPr>
          <w:rStyle w:val="FootnoteReference"/>
        </w:rPr>
        <w:footnoteReference w:id="846"/>
      </w:r>
    </w:p>
    <w:p>
      <w:pPr>
        <w:pStyle w:val="FirstParagraph"/>
      </w:pPr>
      <w:r>
        <w:t xml:space="preserve">基督的一生是一个总括的奥秘。耶稣所行、所说、所受的一切，都是为了将堕落的人恢复到他原初的使命：</w:t>
      </w:r>
    </w:p>
    <w:p>
      <w:pPr>
        <w:pStyle w:val="BodyText"/>
      </w:pPr>
      <w:r>
        <w:t xml:space="preserve">当基督道成肉身成为人时，他在自己身上总括了人类漫长的历史，为我们获得了通向救恩的「捷径」，使我们在亚当里失去的——即神的形象和样式——能在基督耶稣里恢复。</w:t>
      </w:r>
      <w:r>
        <w:rPr>
          <w:rStyle w:val="FootnoteReference"/>
        </w:rPr>
        <w:footnoteReference w:id="847"/>
      </w:r>
      <w:r>
        <w:t xml:space="preserve">因此，基督经历了生命的所有阶段，从而将与神的共融赐给所有人。</w:t>
      </w:r>
      <w:r>
        <w:rPr>
          <w:rStyle w:val="FootnoteReference"/>
        </w:rPr>
        <w:footnoteReference w:id="848"/>
      </w:r>
    </w:p>
    <w:p>
      <w:pPr>
        <w:pStyle w:val="BodyText"/>
      </w:pPr>
      <w:r>
        <w:rPr>
          <w:i/>
          <w:iCs/>
        </w:rPr>
        <w:t xml:space="preserve">我们在耶稣奥秘中的共融</w:t>
      </w:r>
    </w:p>
    <w:p>
      <w:pPr>
        <w:pStyle w:val="BodyText"/>
      </w:pPr>
      <w:r>
        <w:t xml:space="preserve">基督的一切丰富「都是为了每个人，属于每个人。」</w:t>
      </w:r>
      <w:r>
        <w:rPr>
          <w:rStyle w:val="FootnoteReference"/>
        </w:rPr>
        <w:footnoteReference w:id="849"/>
      </w:r>
      <w:r>
        <w:t xml:space="preserve">基督不是为自己而活，乃是为我们，从他「为我们人类并为我们的得救」的道成肉身，到他「为我们的罪」的死亡，与「为叫我们称义」的复活。</w:t>
      </w:r>
      <w:r>
        <w:rPr>
          <w:rStyle w:val="FootnoteReference"/>
        </w:rPr>
        <w:footnoteReference w:id="850"/>
      </w:r>
      <w:r>
        <w:t xml:space="preserve">他仍然是「我们在父那里的一位中保」，他「常活着为我们代求」。</w:t>
      </w:r>
      <w:r>
        <w:rPr>
          <w:rStyle w:val="FootnoteReference"/>
        </w:rPr>
        <w:footnoteReference w:id="851"/>
      </w:r>
      <w:r>
        <w:t xml:space="preserve">他一直「为我们显现在神面前」，将他为我们所经历和受苦的一切呈现在神面前。</w:t>
      </w:r>
      <w:r>
        <w:rPr>
          <w:rStyle w:val="FootnoteReference"/>
        </w:rPr>
        <w:footnoteReference w:id="852"/>
      </w:r>
    </w:p>
    <w:p>
      <w:pPr>
        <w:pStyle w:val="BodyText"/>
      </w:pPr>
      <w:r>
        <w:t xml:space="preserve">耶稣在他的一生中，以自己为</w:t>
      </w:r>
      <w:r>
        <w:rPr>
          <w:i/>
          <w:iCs/>
        </w:rPr>
        <w:t xml:space="preserve">我们的榜样</w:t>
      </w:r>
      <w:r>
        <w:t xml:space="preserve">。他是「完美的人」，</w:t>
      </w:r>
      <w:r>
        <w:rPr>
          <w:rStyle w:val="FootnoteReference"/>
        </w:rPr>
        <w:footnoteReference w:id="853"/>
      </w:r>
      <w:r>
        <w:t xml:space="preserve">邀请我们成为他的门徒，跟随他。他谦卑自己，给了我们可以效法的榜样；藉着他的祷告，他引导我们祷告；藉着他的贫穷，他呼召我们自由地接受可能临到我们的匮乏和逼迫。</w:t>
      </w:r>
      <w:r>
        <w:rPr>
          <w:rStyle w:val="FootnoteReference"/>
        </w:rPr>
        <w:footnoteReference w:id="854"/>
      </w:r>
    </w:p>
    <w:p>
      <w:pPr>
        <w:pStyle w:val="BodyText"/>
      </w:pPr>
      <w:r>
        <w:t xml:space="preserve">基督使我们能</w:t>
      </w:r>
      <w:r>
        <w:rPr>
          <w:i/>
          <w:iCs/>
        </w:rPr>
        <w:t xml:space="preserve">在他里面</w:t>
      </w:r>
      <w:r>
        <w:t xml:space="preserve">活出他自己所经历的一切，而</w:t>
      </w:r>
      <w:r>
        <w:rPr>
          <w:i/>
          <w:iCs/>
        </w:rPr>
        <w:t xml:space="preserve">他也在我们里面活出</w:t>
      </w:r>
      <w:r>
        <w:t xml:space="preserve">这些。「藉着道成肉身，神的儿子以某种方式与每个人联合。」</w:t>
      </w:r>
      <w:r>
        <w:rPr>
          <w:rStyle w:val="FootnoteReference"/>
        </w:rPr>
        <w:footnoteReference w:id="855"/>
      </w:r>
      <w:r>
        <w:t xml:space="preserve">我们蒙召只是要与他合一，因为他使我们作为他身体的肢体，能分享他在肉身中为我们作为榜样所活出的一切：</w:t>
      </w:r>
    </w:p>
    <w:p>
      <w:pPr>
        <w:pStyle w:val="BodyText"/>
      </w:pPr>
      <w:r>
        <w:t xml:space="preserve">我们必须在自己内完成耶稣生命的各个阶段和他的奥秘，常常祈求他在我们和他的整个教会内使之完美并实现……因为神子的计划是使我们和整个教会分享他的奥秘，并将之延续并持续在我们和他的整个教会内。这是他在我们内成全他奥秘的计划。</w:t>
      </w:r>
      <w:r>
        <w:rPr>
          <w:rStyle w:val="FootnoteReference"/>
        </w:rPr>
        <w:footnoteReference w:id="856"/>
      </w:r>
    </w:p>
    <w:bookmarkEnd w:id="857"/>
    <w:bookmarkStart w:id="891" w:name="二耶稣幼年和隐居生活的奥秘"/>
    <w:p>
      <w:pPr>
        <w:pStyle w:val="Heading6"/>
      </w:pPr>
      <w:r>
        <w:t xml:space="preserve">二、耶稣幼年和隐居生活的奥秘</w:t>
      </w:r>
    </w:p>
    <w:p>
      <w:pPr>
        <w:pStyle w:val="FirstParagraph"/>
      </w:pPr>
      <w:r>
        <w:rPr>
          <w:i/>
          <w:iCs/>
        </w:rPr>
        <w:t xml:space="preserve">预备</w:t>
      </w:r>
    </w:p>
    <w:p>
      <w:pPr>
        <w:pStyle w:val="BodyText"/>
      </w:pPr>
      <w:r>
        <w:t xml:space="preserve">「神的儿子降临世上，是一件如此重大的事件，以至于神愿意在数个世纪中为此预备。他使一切都汇聚于基督：所有的礼仪和祭祀、前约的预表和象征。</w:t>
      </w:r>
      <w:r>
        <w:rPr>
          <w:rStyle w:val="FootnoteReference"/>
        </w:rPr>
        <w:footnoteReference w:id="858"/>
      </w:r>
      <w:r>
        <w:t xml:space="preserve">他借着在以色列中相继的先知的口，宣告了他。此外，他也在外邦人心中唤醒了对这降临的模糊期盼。」</w:t>
      </w:r>
    </w:p>
    <w:p>
      <w:pPr>
        <w:pStyle w:val="BodyText"/>
      </w:pPr>
      <w:r>
        <w:t xml:space="preserve">施洗圣约翰是主的直接先驱或先锋，被差遣来预备他的道路。</w:t>
      </w:r>
      <w:r>
        <w:rPr>
          <w:rStyle w:val="FootnoteReference"/>
        </w:rPr>
        <w:footnoteReference w:id="859"/>
      </w:r>
      <w:r>
        <w:t xml:space="preserve">「至高者的先知」约翰超过了所有的先知，他是其中的最后一位。</w:t>
      </w:r>
      <w:r>
        <w:rPr>
          <w:rStyle w:val="FootnoteReference"/>
        </w:rPr>
        <w:footnoteReference w:id="860"/>
      </w:r>
      <w:r>
        <w:t xml:space="preserve">他开启了福音，从母腹中就欢迎基督的到来，并因自己是「新郎的朋友」而喜乐，指出他是「神的羔羊，除去世人罪孽的」。</w:t>
      </w:r>
      <w:r>
        <w:rPr>
          <w:rStyle w:val="FootnoteReference"/>
        </w:rPr>
        <w:footnoteReference w:id="861"/>
      </w:r>
      <w:r>
        <w:t xml:space="preserve">约翰以「以利亚的心志和能力」走在耶稣的前面，在他的宣讲中、借着他悔改的洗礼，并通过他的殉道，为基督作见证。</w:t>
      </w:r>
      <w:r>
        <w:rPr>
          <w:rStyle w:val="FootnoteReference"/>
        </w:rPr>
        <w:footnoteReference w:id="862"/>
      </w:r>
    </w:p>
    <w:p>
      <w:pPr>
        <w:pStyle w:val="BodyText"/>
      </w:pPr>
      <w:r>
        <w:t xml:space="preserve">当教会每年庆祝</w:t>
      </w:r>
      <w:r>
        <w:rPr>
          <w:i/>
          <w:iCs/>
        </w:rPr>
        <w:t xml:space="preserve">将临期的礼仪</w:t>
      </w:r>
      <w:r>
        <w:t xml:space="preserve">时，她使这古老的弥赛亚期盼现前。因为通过分享为救主第一次来临的长期预备，信徒们更新了他们对他再来的热切渴望。</w:t>
      </w:r>
      <w:r>
        <w:rPr>
          <w:rStyle w:val="FootnoteReference"/>
        </w:rPr>
        <w:footnoteReference w:id="863"/>
      </w:r>
      <w:r>
        <w:t xml:space="preserve">通过庆祝先驱的诞生和殉道，教会与他的心愿合一：「他必兴旺，我必衰微。」</w:t>
      </w:r>
      <w:r>
        <w:rPr>
          <w:rStyle w:val="FootnoteReference"/>
        </w:rPr>
        <w:footnoteReference w:id="864"/>
      </w:r>
    </w:p>
    <w:p>
      <w:pPr>
        <w:pStyle w:val="BodyText"/>
      </w:pPr>
      <w:r>
        <w:rPr>
          <w:i/>
          <w:iCs/>
        </w:rPr>
        <w:t xml:space="preserve">圣诞节的奥秘</w:t>
      </w:r>
    </w:p>
    <w:p>
      <w:pPr>
        <w:pStyle w:val="BodyText"/>
      </w:pPr>
      <w:r>
        <w:t xml:space="preserve">耶稣诞生在一个卑微的马槽中，出自一个贫穷的家庭。</w:t>
      </w:r>
      <w:r>
        <w:rPr>
          <w:rStyle w:val="FootnoteReference"/>
        </w:rPr>
        <w:footnoteReference w:id="865"/>
      </w:r>
      <w:r>
        <w:t xml:space="preserve">简朴的牧羊人是这事件的第一批见证人。在这贫穷中，天上的荣耀彰显出来。</w:t>
      </w:r>
      <w:r>
        <w:rPr>
          <w:rStyle w:val="FootnoteReference"/>
        </w:rPr>
        <w:footnoteReference w:id="866"/>
      </w:r>
      <w:r>
        <w:t xml:space="preserve">教会不倦地歌唱这夜的荣耀：</w:t>
      </w:r>
    </w:p>
    <w:p>
      <w:pPr>
        <w:pStyle w:val="BodyText"/>
      </w:pPr>
      <w:r>
        <w:t xml:space="preserve">「今日，童贞女将永恒者带入世界，</w:t>
      </w:r>
      <w:r>
        <w:br/>
      </w:r>
      <w:r>
        <w:t xml:space="preserve">大地为那不可接近者提供了一个洞穴。</w:t>
      </w:r>
      <w:r>
        <w:br/>
      </w:r>
      <w:r>
        <w:t xml:space="preserve">天使和牧羊人赞美他，</w:t>
      </w:r>
      <w:r>
        <w:br/>
      </w:r>
      <w:r>
        <w:t xml:space="preserve">博士们随着星星前来，</w:t>
      </w:r>
      <w:r>
        <w:br/>
      </w:r>
      <w:r>
        <w:t xml:space="preserve">因为你为我们而生，</w:t>
      </w:r>
      <w:r>
        <w:br/>
      </w:r>
      <w:r>
        <w:t xml:space="preserve">小小的孩子，永恒的神！」</w:t>
      </w:r>
      <w:r>
        <w:rPr>
          <w:rStyle w:val="FootnoteReference"/>
        </w:rPr>
        <w:footnoteReference w:id="867"/>
      </w:r>
    </w:p>
    <w:p>
      <w:pPr>
        <w:pStyle w:val="BodyText"/>
      </w:pPr>
      <w:r>
        <w:t xml:space="preserve">要成为神的孩子，才是进入国度的条件。</w:t>
      </w:r>
      <w:r>
        <w:rPr>
          <w:rStyle w:val="FootnoteReference"/>
        </w:rPr>
        <w:footnoteReference w:id="868"/>
      </w:r>
      <w:r>
        <w:t xml:space="preserve">为此，我们必须谦卑自己，变成小孩子。更进一步，要成为「神的儿女」，我们必须「从上头生」或「从神生」。</w:t>
      </w:r>
      <w:r>
        <w:rPr>
          <w:rStyle w:val="FootnoteReference"/>
        </w:rPr>
        <w:footnoteReference w:id="869"/>
      </w:r>
      <w:r>
        <w:t xml:space="preserve">只有当基督在我们里面成形，圣诞的奥秘才会在我们身上应验。</w:t>
      </w:r>
      <w:r>
        <w:rPr>
          <w:rStyle w:val="FootnoteReference"/>
        </w:rPr>
        <w:footnoteReference w:id="870"/>
      </w:r>
      <w:r>
        <w:t xml:space="preserve">圣诞节就是这「奇妙交换」的奥秘：</w:t>
      </w:r>
    </w:p>
    <w:p>
      <w:pPr>
        <w:pStyle w:val="BodyText"/>
      </w:pPr>
      <w:r>
        <w:t xml:space="preserve">噢，奇妙的交换！人的创造者成为了人，由童贞女所生。他谦卑自己，分享了我们的人性，使我们得以分享他的神性。</w:t>
      </w:r>
      <w:r>
        <w:rPr>
          <w:rStyle w:val="FootnoteReference"/>
        </w:rPr>
        <w:footnoteReference w:id="871"/>
      </w:r>
    </w:p>
    <w:p>
      <w:pPr>
        <w:pStyle w:val="BodyText"/>
      </w:pPr>
      <w:r>
        <w:rPr>
          <w:i/>
          <w:iCs/>
        </w:rPr>
        <w:t xml:space="preserve">耶稣幼年的奥秘</w:t>
      </w:r>
    </w:p>
    <w:p>
      <w:pPr>
        <w:pStyle w:val="BodyText"/>
      </w:pPr>
      <w:r>
        <w:t xml:space="preserve">耶稣在出生第八日所受的</w:t>
      </w:r>
      <w:r>
        <w:rPr>
          <w:i/>
          <w:iCs/>
        </w:rPr>
        <w:t xml:space="preserve">割礼</w:t>
      </w:r>
      <w:r>
        <w:t xml:space="preserve">，</w:t>
      </w:r>
      <w:r>
        <w:rPr>
          <w:rStyle w:val="FootnoteReference"/>
        </w:rPr>
        <w:footnoteReference w:id="872"/>
      </w:r>
      <w:r>
        <w:t xml:space="preserve">是他融入亚伯拉罕的后裔、进入约民的记号。这是他顺服律法</w:t>
      </w:r>
      <w:r>
        <w:rPr>
          <w:rStyle w:val="FootnoteReference"/>
        </w:rPr>
        <w:footnoteReference w:id="873"/>
      </w:r>
      <w:r>
        <w:t xml:space="preserve">、并受任参与以色列敬拜的标志，他将在一生中参与其中。这个记号预表了基督的「割礼」，就是洗礼。</w:t>
      </w:r>
      <w:r>
        <w:rPr>
          <w:rStyle w:val="FootnoteReference"/>
        </w:rPr>
        <w:footnoteReference w:id="874"/>
      </w:r>
    </w:p>
    <w:p>
      <w:pPr>
        <w:pStyle w:val="BodyText"/>
      </w:pPr>
      <w:r>
        <w:rPr>
          <w:i/>
          <w:iCs/>
        </w:rPr>
        <w:t xml:space="preserve">主显节</w:t>
      </w:r>
      <w:r>
        <w:t xml:space="preserve">是耶稣作为以色列的弥赛亚、神的儿子和世界的救主的显现。主显节这伟大的节日，庆祝来自东方的博士对耶稣的朝拜，连同他在约旦河的受洗和在加利利迦拿的婚宴。</w:t>
      </w:r>
      <w:r>
        <w:rPr>
          <w:rStyle w:val="FootnoteReference"/>
        </w:rPr>
        <w:footnoteReference w:id="875"/>
      </w:r>
      <w:r>
        <w:t xml:space="preserve">在博士们中，作为邻近异教宗教的代表，福音看到了列国的初熟果子，他们通过道成肉身欢迎了救恩的佳音。博士们来到耶路撒冷，敬拜犹太人的王，表明他们在以色列，借着大卫之星的弥赛亚之光，寻求那将作万国之王的那一位。</w:t>
      </w:r>
      <w:r>
        <w:rPr>
          <w:rStyle w:val="FootnoteReference"/>
        </w:rPr>
        <w:footnoteReference w:id="876"/>
      </w:r>
      <w:r>
        <w:t xml:space="preserve">他们的到来意味着外邦人只有转向犹太人，并从他们那里接受旧约中包含的弥赛亚应许，才能发现耶稣，敬拜他为神的儿子和世界的救主。</w:t>
      </w:r>
      <w:r>
        <w:rPr>
          <w:rStyle w:val="FootnoteReference"/>
        </w:rPr>
        <w:footnoteReference w:id="877"/>
      </w:r>
      <w:r>
        <w:t xml:space="preserve">主显节表明，「万国的丰盈」如今在「族长的家族中」占有一席之地，获得了</w:t>
      </w:r>
      <w:r>
        <w:rPr>
          <w:i/>
          <w:iCs/>
        </w:rPr>
        <w:t xml:space="preserve">以色列的尊荣</w:t>
      </w:r>
      <w:r>
        <w:rPr>
          <w:rStyle w:val="FootnoteReference"/>
        </w:rPr>
        <w:footnoteReference w:id="878"/>
      </w:r>
      <w:r>
        <w:t xml:space="preserve">（即「配得以色列的产业」）。</w:t>
      </w:r>
    </w:p>
    <w:p>
      <w:pPr>
        <w:pStyle w:val="BodyText"/>
      </w:pPr>
      <w:r>
        <w:rPr>
          <w:i/>
          <w:iCs/>
        </w:rPr>
        <w:t xml:space="preserve">耶稣在圣殿中的献礼</w:t>
      </w:r>
      <w:r>
        <w:t xml:space="preserve">，显示他是属于主的首生儿子。</w:t>
      </w:r>
      <w:r>
        <w:rPr>
          <w:rStyle w:val="FootnoteReference"/>
        </w:rPr>
        <w:footnoteReference w:id="879"/>
      </w:r>
      <w:r>
        <w:t xml:space="preserve">与西面和亚拿一起，全以色列等待着与救主的相遇——这是拜占庭传统中赋予此事件的名称。耶稣被认出是期待已久的弥赛亚，「照亮外邦人的光」，「以色列的荣耀」，但也是「被人反对的标记」。预言给马利亚的忧伤之剑，预示着基督在十字架上完美而独特的奉献，将赐予神「在万民面前所预备的」救恩。</w:t>
      </w:r>
    </w:p>
    <w:p>
      <w:pPr>
        <w:pStyle w:val="BodyText"/>
      </w:pPr>
      <w:r>
        <w:t xml:space="preserve">耶稣的</w:t>
      </w:r>
      <w:r>
        <w:rPr>
          <w:i/>
          <w:iCs/>
        </w:rPr>
        <w:t xml:space="preserve">逃往埃及</w:t>
      </w:r>
      <w:r>
        <w:t xml:space="preserve">和屠杀婴孩的事件，</w:t>
      </w:r>
      <w:r>
        <w:rPr>
          <w:rStyle w:val="FootnoteReference"/>
        </w:rPr>
        <w:footnoteReference w:id="880"/>
      </w:r>
      <w:r>
        <w:t xml:space="preserve">彰显了黑暗对光明的对立：「他到自己的地方来，自己的人倒不接待他。」</w:t>
      </w:r>
      <w:r>
        <w:rPr>
          <w:rStyle w:val="FootnoteReference"/>
        </w:rPr>
        <w:footnoteReference w:id="881"/>
      </w:r>
      <w:r>
        <w:t xml:space="preserve">基督的一生都在迫害的标记下度过。他的门徒也与他一同分担。</w:t>
      </w:r>
      <w:r>
        <w:rPr>
          <w:rStyle w:val="FootnoteReference"/>
        </w:rPr>
        <w:footnoteReference w:id="882"/>
      </w:r>
      <w:r>
        <w:t xml:space="preserve">耶稣从埃及归来，使人回想起出埃及，并显示他是神子民最终的解放者。</w:t>
      </w:r>
      <w:r>
        <w:rPr>
          <w:rStyle w:val="FootnoteReference"/>
        </w:rPr>
        <w:footnoteReference w:id="883"/>
      </w:r>
    </w:p>
    <w:p>
      <w:pPr>
        <w:pStyle w:val="BodyText"/>
      </w:pPr>
      <w:r>
        <w:rPr>
          <w:i/>
          <w:iCs/>
        </w:rPr>
        <w:t xml:space="preserve">耶稣隐居的奥秘</w:t>
      </w:r>
    </w:p>
    <w:p>
      <w:pPr>
        <w:pStyle w:val="BodyText"/>
      </w:pPr>
      <w:r>
        <w:t xml:space="preserve">在他生命的大部分时间里，耶稣分享了大多数人的境况：过着没有显著伟大的日常生活，过着体力劳动的生活。他的宗教生活是一个顺服神律法的犹太人，</w:t>
      </w:r>
      <w:r>
        <w:rPr>
          <w:rStyle w:val="FootnoteReference"/>
        </w:rPr>
        <w:footnoteReference w:id="884"/>
      </w:r>
      <w:r>
        <w:t xml:space="preserve">在社区中生活。从这一整个时期，我们得知耶稣对他的父母「顺从」，并且他「智慧和身量，并神和人喜爱他的心，都一齐增长」。</w:t>
      </w:r>
      <w:r>
        <w:rPr>
          <w:rStyle w:val="FootnoteReference"/>
        </w:rPr>
        <w:footnoteReference w:id="885"/>
      </w:r>
    </w:p>
    <w:p>
      <w:pPr>
        <w:pStyle w:val="BodyText"/>
      </w:pPr>
      <w:r>
        <w:t xml:space="preserve">耶稣对他母亲和法定父亲的顺服，完美地履行了第四条诫命，也是他对天父的顺服的属世图像。耶稣对约瑟和马利亚的日常顺服，既宣告也预示了圣周四的顺服：「不要成就我的意思……」。</w:t>
      </w:r>
      <w:r>
        <w:rPr>
          <w:rStyle w:val="FootnoteReference"/>
        </w:rPr>
        <w:footnoteReference w:id="886"/>
      </w:r>
      <w:r>
        <w:t xml:space="preserve">基督在他隐居生活的日常顺服中，已经开始了他恢复亚当的不顺服所毁坏之物的工作。</w:t>
      </w:r>
      <w:r>
        <w:rPr>
          <w:rStyle w:val="FootnoteReference"/>
        </w:rPr>
        <w:footnoteReference w:id="887"/>
      </w:r>
    </w:p>
    <w:p>
      <w:pPr>
        <w:pStyle w:val="BodyText"/>
      </w:pPr>
      <w:r>
        <w:t xml:space="preserve">拿撒勒的隐居生活使每个人都能通过日常生活中最平凡的事件与耶稣相交：</w:t>
      </w:r>
    </w:p>
    <w:p>
      <w:pPr>
        <w:pStyle w:val="BodyText"/>
      </w:pPr>
      <w:r>
        <w:t xml:space="preserve">拿撒勒的家是我们开始明白耶稣生命的学校——福音的学校。首先是关于</w:t>
      </w:r>
      <w:r>
        <w:rPr>
          <w:i/>
          <w:iCs/>
        </w:rPr>
        <w:t xml:space="preserve">寂静</w:t>
      </w:r>
      <w:r>
        <w:t xml:space="preserve">的一课。愿我们重新珍惜寂静，这种可敬且不可或缺的心灵状态……关于</w:t>
      </w:r>
      <w:r>
        <w:rPr>
          <w:i/>
          <w:iCs/>
        </w:rPr>
        <w:t xml:space="preserve">家庭生活</w:t>
      </w:r>
      <w:r>
        <w:t xml:space="preserve">的一课。愿拿撒勒教导我们何为家庭生活，其爱的相交，其朴素简约的美，及其神圣不可侵犯的特质……关于</w:t>
      </w:r>
      <w:r>
        <w:rPr>
          <w:i/>
          <w:iCs/>
        </w:rPr>
        <w:t xml:space="preserve">工作</w:t>
      </w:r>
      <w:r>
        <w:t xml:space="preserve">的一课。拿撒勒啊，「木匠之子」的家，我愿在你这里明白并宣告人类劳动严格而救赎性的律法……最后，我要向世界所有的工人致意，将他们伟大的榜样，他们那位为神的兄弟举荐给他们。</w:t>
      </w:r>
      <w:r>
        <w:rPr>
          <w:rStyle w:val="FootnoteReference"/>
        </w:rPr>
        <w:footnoteReference w:id="888"/>
      </w:r>
    </w:p>
    <w:p>
      <w:pPr>
        <w:pStyle w:val="BodyText"/>
      </w:pPr>
      <w:r>
        <w:rPr>
          <w:i/>
          <w:iCs/>
        </w:rPr>
        <w:t xml:space="preserve">在圣殿寻见耶稣</w:t>
      </w:r>
      <w:r>
        <w:t xml:space="preserve">是福音书中唯一打破耶稣隐藏年月沉寂的事件。</w:t>
      </w:r>
      <w:r>
        <w:rPr>
          <w:rStyle w:val="FootnoteReference"/>
        </w:rPr>
        <w:footnoteReference w:id="889"/>
      </w:r>
      <w:r>
        <w:t xml:space="preserve">在此耶稣让我们瞥见他完全献身于源自他神子身份使命的奥秘：「岂不知我应当以我父的事为念吗？」</w:t>
      </w:r>
      <w:r>
        <w:rPr>
          <w:rStyle w:val="FootnoteReference"/>
        </w:rPr>
        <w:footnoteReference w:id="890"/>
      </w:r>
      <w:r>
        <w:t xml:space="preserve">马利亚和约瑟虽不明白这话，却凭信心接受了。在耶稣隐藏于平凡生活的寂静岁月中，马利亚「把这一切的事都存在心里。」</w:t>
      </w:r>
    </w:p>
    <w:bookmarkEnd w:id="891"/>
    <w:bookmarkStart w:id="977" w:name="三耶稣公开生活的奥秘"/>
    <w:p>
      <w:pPr>
        <w:pStyle w:val="Heading6"/>
      </w:pPr>
      <w:r>
        <w:t xml:space="preserve">三、耶稣公开生活的奥秘</w:t>
      </w:r>
    </w:p>
    <w:p>
      <w:pPr>
        <w:pStyle w:val="FirstParagraph"/>
      </w:pPr>
      <w:r>
        <w:rPr>
          <w:i/>
          <w:iCs/>
        </w:rPr>
        <w:t xml:space="preserve">耶稣受洗</w:t>
      </w:r>
    </w:p>
    <w:p>
      <w:pPr>
        <w:pStyle w:val="BodyText"/>
      </w:pPr>
      <w:r>
        <w:t xml:space="preserve">耶稣的公开生活始于他在约旦河受约翰的洗。</w:t>
      </w:r>
      <w:r>
        <w:rPr>
          <w:rStyle w:val="FootnoteReference"/>
        </w:rPr>
        <w:footnoteReference w:id="892"/>
      </w:r>
      <w:r>
        <w:t xml:space="preserve">约翰宣讲「悔改的洗礼，使罪得赦」。</w:t>
      </w:r>
      <w:r>
        <w:rPr>
          <w:rStyle w:val="FootnoteReference"/>
        </w:rPr>
        <w:footnoteReference w:id="893"/>
      </w:r>
      <w:r>
        <w:t xml:space="preserve">一群罪人</w:t>
      </w:r>
      <w:r>
        <w:rPr>
          <w:rStyle w:val="FootnoteReference"/>
        </w:rPr>
        <w:footnoteReference w:id="894"/>
      </w:r>
      <w:r>
        <w:t xml:space="preserve">——税吏和兵丁，法利赛人和撒都该人，以及娼妓——来受他的洗。「那时，耶稣来了。」施洗约翰犹豫，但耶稣坚持并接受了洗礼。然后，圣灵仿佛鸽子降在耶稣身上，天上有声音说：「这是我的爱子。」</w:t>
      </w:r>
      <w:r>
        <w:rPr>
          <w:rStyle w:val="FootnoteReference"/>
        </w:rPr>
        <w:footnoteReference w:id="895"/>
      </w:r>
      <w:r>
        <w:t xml:space="preserve">这是耶稣作为以色列的弥赛亚和神的儿子的显现（「主显节」）。</w:t>
      </w:r>
    </w:p>
    <w:p>
      <w:pPr>
        <w:pStyle w:val="BodyText"/>
      </w:pPr>
      <w:r>
        <w:t xml:space="preserve">耶稣的受洗是他接受并开始作为神受苦仆人的使命。他让自己被列在罪人中，他已是「神的羔羊，除去世人罪孽的」。</w:t>
      </w:r>
      <w:r>
        <w:rPr>
          <w:rStyle w:val="FootnoteReference"/>
        </w:rPr>
        <w:footnoteReference w:id="896"/>
      </w:r>
      <w:r>
        <w:t xml:space="preserve">他已在预先经历他血腥死亡的「洗礼」。</w:t>
      </w:r>
      <w:r>
        <w:rPr>
          <w:rStyle w:val="FootnoteReference"/>
        </w:rPr>
        <w:footnoteReference w:id="897"/>
      </w:r>
      <w:r>
        <w:t xml:space="preserve">他已来要「尽诸般的义」，就是完全顺服他父的旨意：出于爱他甘愿接受这死亡的洗礼，使我们的罪得赦。</w:t>
      </w:r>
      <w:r>
        <w:rPr>
          <w:rStyle w:val="FootnoteReference"/>
        </w:rPr>
        <w:footnoteReference w:id="898"/>
      </w:r>
      <w:r>
        <w:t xml:space="preserve">父的声音回应子的接受，宣告他全然喜悦他的儿子。</w:t>
      </w:r>
      <w:r>
        <w:rPr>
          <w:rStyle w:val="FootnoteReference"/>
        </w:rPr>
        <w:footnoteReference w:id="899"/>
      </w:r>
      <w:r>
        <w:t xml:space="preserve">耶稣从受孕时就完全拥有的圣灵「住在他身上」。</w:t>
      </w:r>
      <w:r>
        <w:rPr>
          <w:rStyle w:val="FootnoteReference"/>
        </w:rPr>
        <w:footnoteReference w:id="900"/>
      </w:r>
      <w:r>
        <w:t xml:space="preserve">耶稣将成为全人类圣灵的源头。在他受洗时「天开了」</w:t>
      </w:r>
      <w:r>
        <w:rPr>
          <w:rStyle w:val="FootnoteReference"/>
        </w:rPr>
        <w:footnoteReference w:id="901"/>
      </w:r>
      <w:r>
        <w:t xml:space="preserve">——就是亚当的罪所关闭的诸天——众水因耶稣和圣灵的降临得以成圣，预示新创造。</w:t>
      </w:r>
    </w:p>
    <w:p>
      <w:pPr>
        <w:pStyle w:val="BodyText"/>
      </w:pPr>
      <w:r>
        <w:t xml:space="preserve">借着洗礼，基督徒在圣事上与耶稣同化，耶稣在自己的受洗中预示他的死亡与复活。基督徒必须进入这谦卑自卑和悔改的奥秘，与耶稣一同下到水中好与他一同复活，从水和圣灵重生，在圣子里成为父所爱的儿子，并且「在新生的样式中生活」：</w:t>
      </w:r>
      <w:r>
        <w:rPr>
          <w:rStyle w:val="FootnoteReference"/>
        </w:rPr>
        <w:footnoteReference w:id="902"/>
      </w:r>
    </w:p>
    <w:p>
      <w:pPr>
        <w:pStyle w:val="BodyText"/>
      </w:pPr>
      <w:r>
        <w:t xml:space="preserve">让我们借着洗礼与基督同葬，好与他一同复活；让我们与他一同下到死亡之处，为要与他一同被提升；让我们与他一同复活，好与他一同得荣耀。</w:t>
      </w:r>
      <w:r>
        <w:rPr>
          <w:rStyle w:val="FootnoteReference"/>
        </w:rPr>
        <w:footnoteReference w:id="903"/>
      </w:r>
    </w:p>
    <w:p>
      <w:pPr>
        <w:pStyle w:val="BodyText"/>
      </w:pPr>
      <w:r>
        <w:t xml:space="preserve">基督所经历的一切让我们明白，在经过水的洗礼后，圣灵从高天降临在我们身上，我们被父的声音收养，成为神的儿女。</w:t>
      </w:r>
      <w:r>
        <w:rPr>
          <w:rStyle w:val="FootnoteReference"/>
        </w:rPr>
        <w:footnoteReference w:id="904"/>
      </w:r>
    </w:p>
    <w:p>
      <w:pPr>
        <w:pStyle w:val="BodyText"/>
      </w:pPr>
      <w:r>
        <w:rPr>
          <w:i/>
          <w:iCs/>
        </w:rPr>
        <w:t xml:space="preserve">耶稣受试探</w:t>
      </w:r>
    </w:p>
    <w:p>
      <w:pPr>
        <w:pStyle w:val="BodyText"/>
      </w:pPr>
      <w:r>
        <w:t xml:space="preserve">福音书记载耶稣受约翰施洗后立即在旷野度过一段独处的时期。耶稣被圣灵催到旷野，在那里四十天不吃不喝，他住在野兽中间，且有天使来伺候他。</w:t>
      </w:r>
      <w:r>
        <w:rPr>
          <w:rStyle w:val="FootnoteReference"/>
        </w:rPr>
        <w:footnoteReference w:id="905"/>
      </w:r>
      <w:r>
        <w:t xml:space="preserve">在这期间结束时，撒但三次试探他，企图破坏他对神的儿子身份。耶稣击退了这些攻击，这些攻击重演了乐园中亚当的试探和以色列在旷野中的试探，魔鬼就「暂时离开了他」。</w:t>
      </w:r>
      <w:r>
        <w:rPr>
          <w:rStyle w:val="FootnoteReference"/>
        </w:rPr>
        <w:footnoteReference w:id="906"/>
      </w:r>
    </w:p>
    <w:p>
      <w:pPr>
        <w:pStyle w:val="BodyText"/>
      </w:pPr>
      <w:r>
        <w:t xml:space="preserve">福音书作者指出这奥秘事件的救恩意义：耶稣是新亚当，在第一个亚当向试探屈服的地方保持忠心。耶稣完美地实现以色列的使命：与那些曾在旷野四十年惹动神怒的人相比，基督显明自己是神的仆人，完全顺服神的旨意。在此，耶稣是魔鬼的得胜者：他「捆绑壮士」来夺回掠物。</w:t>
      </w:r>
      <w:r>
        <w:rPr>
          <w:rStyle w:val="FootnoteReference"/>
        </w:rPr>
        <w:footnoteReference w:id="907"/>
      </w:r>
      <w:r>
        <w:t xml:space="preserve">耶稣在旷野战胜试探者，预示他在受难时的得胜，这是他以儿子的身份对父之爱的顺服的最高体现。</w:t>
      </w:r>
    </w:p>
    <w:p>
      <w:pPr>
        <w:pStyle w:val="BodyText"/>
      </w:pPr>
      <w:r>
        <w:t xml:space="preserve">耶稣的试探显明神的儿子作为弥赛亚的道路，这与撒但向他提议的方式和世人期望归于他的方式相反。</w:t>
      </w:r>
      <w:r>
        <w:rPr>
          <w:rStyle w:val="FootnoteReference"/>
        </w:rPr>
        <w:footnoteReference w:id="908"/>
      </w:r>
      <w:r>
        <w:t xml:space="preserve">这就是为什么基督</w:t>
      </w:r>
      <w:r>
        <w:rPr>
          <w:i/>
          <w:iCs/>
        </w:rPr>
        <w:t xml:space="preserve">为我们</w:t>
      </w:r>
      <w:r>
        <w:t xml:space="preserve">战胜了那试探者：「因我们的大祭司并非不能体恤我们的软弱，他也曾凡事受过试探，与我们一样，只是他没有犯罪。」</w:t>
      </w:r>
      <w:r>
        <w:rPr>
          <w:rStyle w:val="FootnoteReference"/>
        </w:rPr>
        <w:footnoteReference w:id="909"/>
      </w:r>
      <w:r>
        <w:t xml:space="preserve">教会每年在庄严的</w:t>
      </w:r>
      <w:r>
        <w:rPr>
          <w:i/>
          <w:iCs/>
        </w:rPr>
        <w:t xml:space="preserve">大斋期</w:t>
      </w:r>
      <w:r>
        <w:t xml:space="preserve">四十天中与耶稣在旷野的奥秘联合。</w:t>
      </w:r>
    </w:p>
    <w:p>
      <w:pPr>
        <w:pStyle w:val="BodyText"/>
      </w:pPr>
      <w:r>
        <w:rPr>
          <w:i/>
          <w:iCs/>
        </w:rPr>
        <w:t xml:space="preserve">「神的国进了」</w:t>
      </w:r>
    </w:p>
    <w:p>
      <w:pPr>
        <w:pStyle w:val="BodyText"/>
      </w:pPr>
      <w:r>
        <w:t xml:space="preserve">「约翰下监以后，耶稣来到加利利，宣传神的福音，说『日期满了，神的国近了，你们当悔改，信福音。』」</w:t>
      </w:r>
      <w:r>
        <w:rPr>
          <w:rStyle w:val="FootnoteReference"/>
        </w:rPr>
        <w:footnoteReference w:id="910"/>
      </w:r>
      <w:r>
        <w:t xml:space="preserve">「基督为完成父的旨意，在地上开创了天国。」</w:t>
      </w:r>
      <w:r>
        <w:rPr>
          <w:rStyle w:val="FootnoteReference"/>
        </w:rPr>
        <w:footnoteReference w:id="911"/>
      </w:r>
      <w:r>
        <w:t xml:space="preserve">如今父的旨意是「叫人分享他的神性生命」。</w:t>
      </w:r>
      <w:r>
        <w:rPr>
          <w:rStyle w:val="FootnoteReference"/>
        </w:rPr>
        <w:footnoteReference w:id="912"/>
      </w:r>
      <w:r>
        <w:t xml:space="preserve">他借着招聚人们到他的儿子耶稣基督周围来成就这事。这聚集就是教会，「在地上是那国度的种子和开端」。</w:t>
      </w:r>
      <w:r>
        <w:rPr>
          <w:rStyle w:val="FootnoteReference"/>
        </w:rPr>
        <w:footnoteReference w:id="913"/>
      </w:r>
    </w:p>
    <w:p>
      <w:pPr>
        <w:pStyle w:val="BodyText"/>
      </w:pPr>
      <w:r>
        <w:t xml:space="preserve">基督站在这群聚集成「神的家」的人群中心。透过他的话语，藉着显明神国的神迹，并差遣他的门徒，耶稣呼召万民来到他周围聚集。但最重要的是在伟大的逾越奥秘中——他在十字架上的死和复活——他要成就他国度的降临。「我若从地上被举起来，就要吸引万人来归我。」所有的人都被召进入与基督的联合。</w:t>
      </w:r>
      <w:r>
        <w:rPr>
          <w:rStyle w:val="FootnoteReference"/>
        </w:rPr>
        <w:footnoteReference w:id="914"/>
      </w:r>
    </w:p>
    <w:p>
      <w:pPr>
        <w:pStyle w:val="BodyText"/>
      </w:pPr>
      <w:r>
        <w:rPr>
          <w:i/>
          <w:iCs/>
        </w:rPr>
        <w:t xml:space="preserve">神国的宣告</w:t>
      </w:r>
    </w:p>
    <w:p>
      <w:pPr>
        <w:pStyle w:val="BodyText"/>
      </w:pPr>
      <w:r>
        <w:rPr>
          <w:i/>
          <w:iCs/>
        </w:rPr>
        <w:t xml:space="preserve">人人</w:t>
      </w:r>
      <w:r>
        <w:t xml:space="preserve">都被召进入神的国。这弥赛亚的国度首先向以色列的子民宣告，目的是要接纳万国的人。</w:t>
      </w:r>
      <w:r>
        <w:rPr>
          <w:rStyle w:val="FootnoteReference"/>
        </w:rPr>
        <w:footnoteReference w:id="915"/>
      </w:r>
      <w:r>
        <w:t xml:space="preserve">要进入这国度，首先必须接受耶稣的话：</w:t>
      </w:r>
    </w:p>
    <w:p>
      <w:pPr>
        <w:pStyle w:val="BodyText"/>
      </w:pPr>
      <w:r>
        <w:t xml:space="preserve">主的道好比撒在田里的种子，那些凭信心听道并被算为基督小群的人就真正领受了天国。然后，这种子凭着自己的能力发芽生长，直到收获的时候。</w:t>
      </w:r>
      <w:r>
        <w:rPr>
          <w:rStyle w:val="FootnoteReference"/>
        </w:rPr>
        <w:footnoteReference w:id="916"/>
      </w:r>
    </w:p>
    <w:p>
      <w:pPr>
        <w:pStyle w:val="BodyText"/>
      </w:pPr>
      <w:r>
        <w:t xml:space="preserve">天国属于</w:t>
      </w:r>
      <w:r>
        <w:rPr>
          <w:i/>
          <w:iCs/>
        </w:rPr>
        <w:t xml:space="preserve">贫穷和卑微的人</w:t>
      </w:r>
      <w:r>
        <w:t xml:space="preserve">，就是那些以谦卑的心接受天国的人。耶稣被差遣「传福音给贫穷的人」；</w:t>
      </w:r>
      <w:r>
        <w:rPr>
          <w:rStyle w:val="FootnoteReference"/>
        </w:rPr>
        <w:footnoteReference w:id="917"/>
      </w:r>
      <w:r>
        <w:t xml:space="preserve">他称他们为有福的，因为「天国是他们的」。</w:t>
      </w:r>
      <w:r>
        <w:rPr>
          <w:rStyle w:val="FootnoteReference"/>
        </w:rPr>
        <w:footnoteReference w:id="918"/>
      </w:r>
      <w:r>
        <w:t xml:space="preserve">向这些「小子」，父乐意将向智慧通达人就藏起来的事显明出来。</w:t>
      </w:r>
      <w:r>
        <w:rPr>
          <w:rStyle w:val="FootnoteReference"/>
        </w:rPr>
        <w:footnoteReference w:id="919"/>
      </w:r>
      <w:r>
        <w:t xml:space="preserve">耶稣从摇篮到十字架都与贫穷人同甘共苦，他经历饥饿、干渴和缺乏。</w:t>
      </w:r>
      <w:r>
        <w:rPr>
          <w:rStyle w:val="FootnoteReference"/>
        </w:rPr>
        <w:footnoteReference w:id="920"/>
      </w:r>
      <w:r>
        <w:t xml:space="preserve">耶稣与各样的贫穷人认同，并以对他们积极的爱作为进入他国度的条件。</w:t>
      </w:r>
      <w:r>
        <w:rPr>
          <w:rStyle w:val="FootnoteReference"/>
        </w:rPr>
        <w:footnoteReference w:id="921"/>
      </w:r>
    </w:p>
    <w:p>
      <w:pPr>
        <w:pStyle w:val="BodyText"/>
      </w:pPr>
      <w:r>
        <w:t xml:space="preserve">耶稣邀请</w:t>
      </w:r>
      <w:r>
        <w:rPr>
          <w:i/>
          <w:iCs/>
        </w:rPr>
        <w:t xml:space="preserve">罪人</w:t>
      </w:r>
      <w:r>
        <w:t xml:space="preserve">来到天国的筵席：「我来本不是召义人，乃是召罪人。」</w:t>
      </w:r>
      <w:r>
        <w:rPr>
          <w:rStyle w:val="FootnoteReference"/>
        </w:rPr>
        <w:footnoteReference w:id="922"/>
      </w:r>
      <w:r>
        <w:t xml:space="preserve">他邀请他们悔改，因为若不悔改就不能进天国，他以言语和行为向他们显明父无尽的怜悯，以及「一个罪人悔改，在天上也要这样为他欢喜」。</w:t>
      </w:r>
      <w:r>
        <w:rPr>
          <w:rStyle w:val="FootnoteReference"/>
        </w:rPr>
        <w:footnoteReference w:id="923"/>
      </w:r>
      <w:r>
        <w:t xml:space="preserve">他爱的最高明证就是舍己的生命，「使罪得赦」。</w:t>
      </w:r>
      <w:r>
        <w:rPr>
          <w:rStyle w:val="FootnoteReference"/>
        </w:rPr>
        <w:footnoteReference w:id="924"/>
      </w:r>
    </w:p>
    <w:p>
      <w:pPr>
        <w:pStyle w:val="BodyText"/>
      </w:pPr>
      <w:r>
        <w:t xml:space="preserve">耶稣以</w:t>
      </w:r>
      <w:r>
        <w:rPr>
          <w:i/>
          <w:iCs/>
        </w:rPr>
        <w:t xml:space="preserve">比喻</w:t>
      </w:r>
      <w:r>
        <w:t xml:space="preserve">的形式发出进入他国度的邀请，这是他教导的特征。</w:t>
      </w:r>
      <w:r>
        <w:rPr>
          <w:rStyle w:val="FootnoteReference"/>
        </w:rPr>
        <w:footnoteReference w:id="925"/>
      </w:r>
      <w:r>
        <w:t xml:space="preserve">藉着这些比喻，他邀请人们来赴天国的筵席，但他也要求作出彻底的抉择：要得着天国，就必须撇下一切。</w:t>
      </w:r>
      <w:r>
        <w:rPr>
          <w:rStyle w:val="FootnoteReference"/>
        </w:rPr>
        <w:footnoteReference w:id="926"/>
      </w:r>
      <w:r>
        <w:t xml:space="preserve">光有言语是不够的，还需要行为。</w:t>
      </w:r>
      <w:r>
        <w:rPr>
          <w:rStyle w:val="FootnoteReference"/>
        </w:rPr>
        <w:footnoteReference w:id="927"/>
      </w:r>
      <w:r>
        <w:t xml:space="preserve">这些比喻如同人的镜子：他会是硬土还是好土来接受这道呢？</w:t>
      </w:r>
      <w:r>
        <w:rPr>
          <w:rStyle w:val="FootnoteReference"/>
        </w:rPr>
        <w:footnoteReference w:id="928"/>
      </w:r>
      <w:r>
        <w:t xml:space="preserve">他怎样运用所受的才干呢？</w:t>
      </w:r>
      <w:r>
        <w:rPr>
          <w:rStyle w:val="FootnoteReference"/>
        </w:rPr>
        <w:footnoteReference w:id="929"/>
      </w:r>
      <w:r>
        <w:t xml:space="preserve">耶稣和天国在这世上的同在奥秘地藏在这些比喻的核心。人必须进入这国度，也就是成为基督的门徒，才能「知道天国的奥秘」。</w:t>
      </w:r>
      <w:r>
        <w:rPr>
          <w:rStyle w:val="FootnoteReference"/>
        </w:rPr>
        <w:footnoteReference w:id="930"/>
      </w:r>
      <w:r>
        <w:t xml:space="preserve">对那些留在「外面」的人，一切都仍是谜。</w:t>
      </w:r>
      <w:r>
        <w:rPr>
          <w:rStyle w:val="FootnoteReference"/>
        </w:rPr>
        <w:footnoteReference w:id="931"/>
      </w:r>
    </w:p>
    <w:p>
      <w:pPr>
        <w:pStyle w:val="BodyText"/>
      </w:pPr>
      <w:r>
        <w:rPr>
          <w:i/>
          <w:iCs/>
        </w:rPr>
        <w:t xml:space="preserve">神国的记号</w:t>
      </w:r>
    </w:p>
    <w:p>
      <w:pPr>
        <w:pStyle w:val="BodyText"/>
      </w:pPr>
      <w:r>
        <w:t xml:space="preserve">耶稣的话语伴随着许多「异能奇事神迹」，显明天国在他里面，并证实他就是那所应许的弥赛亚。</w:t>
      </w:r>
      <w:r>
        <w:rPr>
          <w:rStyle w:val="FootnoteReference"/>
        </w:rPr>
        <w:footnoteReference w:id="932"/>
      </w:r>
    </w:p>
    <w:p>
      <w:pPr>
        <w:pStyle w:val="BodyText"/>
      </w:pPr>
      <w:r>
        <w:t xml:space="preserve">耶稣所行的神迹证实父差遣了他，邀请人信他。</w:t>
      </w:r>
      <w:r>
        <w:rPr>
          <w:rStyle w:val="FootnoteReference"/>
        </w:rPr>
        <w:footnoteReference w:id="933"/>
      </w:r>
      <w:r>
        <w:t xml:space="preserve">凡凭信心来到他面前的，他就应允他们所求的。</w:t>
      </w:r>
      <w:r>
        <w:rPr>
          <w:rStyle w:val="FootnoteReference"/>
        </w:rPr>
        <w:footnoteReference w:id="934"/>
      </w:r>
      <w:r>
        <w:t xml:space="preserve">这样，神迹坚固人对那行父旨意者的信心，见证他是神的儿子。</w:t>
      </w:r>
      <w:r>
        <w:rPr>
          <w:rStyle w:val="FootnoteReference"/>
        </w:rPr>
        <w:footnoteReference w:id="935"/>
      </w:r>
      <w:r>
        <w:t xml:space="preserve">但他的神迹也能成为「跌倒」的缘由；</w:t>
      </w:r>
      <w:r>
        <w:rPr>
          <w:rStyle w:val="FootnoteReference"/>
        </w:rPr>
        <w:footnoteReference w:id="936"/>
      </w:r>
      <w:r>
        <w:t xml:space="preserve">这些神迹不是为满足人的好奇或对法术的渴望。尽管他行了明显的神迹，有些人仍拒绝耶稣，甚至控告他是靠着鬼王的能力行事。</w:t>
      </w:r>
      <w:r>
        <w:rPr>
          <w:rStyle w:val="FootnoteReference"/>
        </w:rPr>
        <w:footnoteReference w:id="937"/>
      </w:r>
    </w:p>
    <w:p>
      <w:pPr>
        <w:pStyle w:val="BodyText"/>
      </w:pPr>
      <w:r>
        <w:t xml:space="preserve">耶稣藉着释放一些人脱离饥饿、不公义、疾病和死亡这些属世的邪恶，</w:t>
      </w:r>
      <w:r>
        <w:rPr>
          <w:rStyle w:val="FootnoteReference"/>
        </w:rPr>
        <w:footnoteReference w:id="938"/>
      </w:r>
      <w:r>
        <w:t xml:space="preserve">行了弥赛亚的神迹。然而，他并非来要废除世上一切的邪恶，</w:t>
      </w:r>
      <w:r>
        <w:rPr>
          <w:rStyle w:val="FootnoteReference"/>
        </w:rPr>
        <w:footnoteReference w:id="939"/>
      </w:r>
      <w:r>
        <w:t xml:space="preserve">而是要使人脱离最严重的奴役——罪，这罪阻碍了他们成为神儿子的使命，并导致人类中各种形式的束缚。</w:t>
      </w:r>
      <w:r>
        <w:rPr>
          <w:rStyle w:val="FootnoteReference"/>
        </w:rPr>
        <w:footnoteReference w:id="940"/>
      </w:r>
    </w:p>
    <w:p>
      <w:pPr>
        <w:pStyle w:val="BodyText"/>
      </w:pPr>
      <w:r>
        <w:t xml:space="preserve">神国的来临意味着撒但国度的败亡：「我若靠着神的灵赶鬼，这就是神的国临到你们了。」</w:t>
      </w:r>
      <w:r>
        <w:rPr>
          <w:rStyle w:val="FootnoteReference"/>
        </w:rPr>
        <w:footnoteReference w:id="941"/>
      </w:r>
      <w:r>
        <w:t xml:space="preserve">耶稣的</w:t>
      </w:r>
      <w:r>
        <w:rPr>
          <w:i/>
          <w:iCs/>
        </w:rPr>
        <w:t xml:space="preserve">赶鬼</w:t>
      </w:r>
      <w:r>
        <w:t xml:space="preserve">使一些人脱离了邪灵的掌控。这预示着耶稣对「这世界的王」的伟大胜利。</w:t>
      </w:r>
      <w:r>
        <w:rPr>
          <w:rStyle w:val="FootnoteReference"/>
        </w:rPr>
        <w:footnoteReference w:id="942"/>
      </w:r>
      <w:r>
        <w:t xml:space="preserve">神的国将通过基督的十字架最终建立：「神从木头上掌权。」</w:t>
      </w:r>
      <w:r>
        <w:rPr>
          <w:rStyle w:val="FootnoteReference"/>
        </w:rPr>
        <w:footnoteReference w:id="943"/>
      </w:r>
    </w:p>
    <w:p>
      <w:pPr>
        <w:pStyle w:val="BodyText"/>
      </w:pPr>
      <w:r>
        <w:rPr>
          <w:i/>
          <w:iCs/>
        </w:rPr>
        <w:t xml:space="preserve">「天国的钥匙」</w:t>
      </w:r>
    </w:p>
    <w:p>
      <w:pPr>
        <w:pStyle w:val="BodyText"/>
      </w:pPr>
      <w:r>
        <w:t xml:space="preserve">耶稣从他公开传道生涯开始就拣选了一些人，共十二个，与他同在并参与他的使命。</w:t>
      </w:r>
      <w:r>
        <w:rPr>
          <w:rStyle w:val="FootnoteReference"/>
        </w:rPr>
        <w:footnoteReference w:id="944"/>
      </w:r>
      <w:r>
        <w:t xml:space="preserve">他将自己的权柄分给十二使徒，「差遣他们去宣传神国，医治病人」。</w:t>
      </w:r>
      <w:r>
        <w:rPr>
          <w:rStyle w:val="FootnoteReference"/>
        </w:rPr>
        <w:footnoteReference w:id="945"/>
      </w:r>
      <w:r>
        <w:t xml:space="preserve">他们永远与基督的国度联系在一起，因为基督藉着他们引导教会：</w:t>
      </w:r>
    </w:p>
    <w:p>
      <w:pPr>
        <w:pStyle w:val="BodyText"/>
      </w:pPr>
      <w:r>
        <w:t xml:space="preserve">我父所赐给我的国，我也赐给你们，叫你们在我国里，坐在我的席上吃喝，并且坐在宝座上审判以色列十二个支派。</w:t>
      </w:r>
      <w:r>
        <w:rPr>
          <w:rStyle w:val="FootnoteReference"/>
        </w:rPr>
        <w:footnoteReference w:id="946"/>
      </w:r>
    </w:p>
    <w:p>
      <w:pPr>
        <w:pStyle w:val="BodyText"/>
      </w:pPr>
      <w:r>
        <w:t xml:space="preserve">西门彼得在十二使徒中居首位；</w:t>
      </w:r>
      <w:r>
        <w:rPr>
          <w:rStyle w:val="FootnoteReference"/>
        </w:rPr>
        <w:footnoteReference w:id="947"/>
      </w:r>
      <w:r>
        <w:t xml:space="preserve">耶稣托付给他独特的使命。彼得通过父的启示宣告说：「你是基督，是永生神的儿子。」我们的主就对他说：「你是彼得，我要把我的教会建造在这磐石上，阴间的权柄不能胜过他。」</w:t>
      </w:r>
      <w:r>
        <w:rPr>
          <w:rStyle w:val="FootnoteReference"/>
        </w:rPr>
        <w:footnoteReference w:id="948"/>
      </w:r>
      <w:r>
        <w:t xml:space="preserve">基督这「活石」</w:t>
      </w:r>
      <w:r>
        <w:rPr>
          <w:rStyle w:val="FootnoteReference"/>
        </w:rPr>
        <w:footnoteReference w:id="949"/>
      </w:r>
      <w:r>
        <w:t xml:space="preserve">由此确保他的教会，就是建造在彼得身上的教会，必胜过死亡的权势。因着他所认信的信仰，彼得将永远作教会坚固的磐石。他的使命就是要保守这信仰不致偏离，并要坚固他的弟兄。</w:t>
      </w:r>
      <w:r>
        <w:rPr>
          <w:rStyle w:val="FootnoteReference"/>
        </w:rPr>
        <w:footnoteReference w:id="950"/>
      </w:r>
    </w:p>
    <w:p>
      <w:pPr>
        <w:pStyle w:val="BodyText"/>
      </w:pPr>
      <w:r>
        <w:t xml:space="preserve">耶稣将特定的权柄托付给彼得：「我要把天国的钥匙给你，凡你在地上所捆绑的，在天上也要捆绑，凡你在地上所释放的，在天上也要释放。」</w:t>
      </w:r>
      <w:r>
        <w:rPr>
          <w:rStyle w:val="FootnoteReference"/>
        </w:rPr>
        <w:footnoteReference w:id="951"/>
      </w:r>
      <w:r>
        <w:t xml:space="preserve">「钥匙的权柄」表示管理神的家，也就是教会的权柄。耶稣这位好牧人在复活后确认了这托付：「你喂养我的羊。」</w:t>
      </w:r>
      <w:r>
        <w:rPr>
          <w:rStyle w:val="FootnoteReference"/>
        </w:rPr>
        <w:footnoteReference w:id="952"/>
      </w:r>
      <w:r>
        <w:t xml:space="preserve">「捆绑与释放」的权柄意味着赦罪的权柄、宣告教义判断和在教会中作出纪律决定的权柄。耶稣藉着使徒的职分将这权柄托付给教会，</w:t>
      </w:r>
      <w:r>
        <w:rPr>
          <w:rStyle w:val="FootnoteReference"/>
        </w:rPr>
        <w:footnoteReference w:id="953"/>
      </w:r>
      <w:r>
        <w:t xml:space="preserve">特别是藉着彼得的职分，因为只有他特别得到了天国的钥匙。</w:t>
      </w:r>
    </w:p>
    <w:p>
      <w:pPr>
        <w:pStyle w:val="BodyText"/>
      </w:pPr>
      <w:r>
        <w:rPr>
          <w:i/>
          <w:iCs/>
        </w:rPr>
        <w:t xml:space="preserve">国度的预尝：变像</w:t>
      </w:r>
    </w:p>
    <w:p>
      <w:pPr>
        <w:pStyle w:val="BodyText"/>
      </w:pPr>
      <w:r>
        <w:t xml:space="preserve">从彼得认信耶稣是基督、永生神的儿子那天起，夫子「就指示门徒，他必须上耶路撒冷去，受许多的苦，并且被杀，第三日复活」。</w:t>
      </w:r>
      <w:r>
        <w:rPr>
          <w:rStyle w:val="FootnoteReference"/>
        </w:rPr>
        <w:footnoteReference w:id="954"/>
      </w:r>
      <w:r>
        <w:t xml:space="preserve">彼得不接受这预言，其他人和他一样也不明白。</w:t>
      </w:r>
      <w:r>
        <w:rPr>
          <w:rStyle w:val="FootnoteReference"/>
        </w:rPr>
        <w:footnoteReference w:id="955"/>
      </w:r>
      <w:r>
        <w:t xml:space="preserve">就在这样的背景下，耶稣登上高山，在他所拣选的三个见证人面前发生了奥秘的变像事件，</w:t>
      </w:r>
      <w:r>
        <w:rPr>
          <w:rStyle w:val="FootnoteReference"/>
        </w:rPr>
        <w:footnoteReference w:id="956"/>
      </w:r>
      <w:r>
        <w:t xml:space="preserve">这三个人是彼得、雅各和约翰。耶稣的面貌和衣服发出耀眼的光，摩西和以利亚显现，谈论「耶稣去世的事，就是他在耶路撒冷将要成的事」。</w:t>
      </w:r>
      <w:r>
        <w:rPr>
          <w:rStyle w:val="FootnoteReference"/>
        </w:rPr>
        <w:footnoteReference w:id="957"/>
      </w:r>
      <w:r>
        <w:t xml:space="preserve">有云彩遮盖他们，从云彩里有声音说：「这是我的儿子，我所拣选的，你们要听他。」</w:t>
      </w:r>
      <w:r>
        <w:rPr>
          <w:rStyle w:val="FootnoteReference"/>
        </w:rPr>
        <w:footnoteReference w:id="958"/>
      </w:r>
    </w:p>
    <w:p>
      <w:pPr>
        <w:pStyle w:val="BodyText"/>
      </w:pPr>
      <w:r>
        <w:t xml:space="preserve">耶稣暂时显露他的神性荣耀，确认彼得的宣认。他也揭示他必须走十字架的道路，在耶路撒冷「进入他的荣耀」。</w:t>
      </w:r>
      <w:r>
        <w:rPr>
          <w:rStyle w:val="FootnoteReference"/>
        </w:rPr>
        <w:footnoteReference w:id="959"/>
      </w:r>
      <w:r>
        <w:t xml:space="preserve">摩西和以利亚曾在山上见过神的荣耀；律法和先知已预告弥赛亚的受苦。</w:t>
      </w:r>
      <w:r>
        <w:rPr>
          <w:rStyle w:val="FootnoteReference"/>
        </w:rPr>
        <w:footnoteReference w:id="960"/>
      </w:r>
      <w:r>
        <w:t xml:space="preserve">基督的受难是父的旨意：子以神仆人的身份行事；</w:t>
      </w:r>
      <w:r>
        <w:rPr>
          <w:rStyle w:val="FootnoteReference"/>
        </w:rPr>
        <w:footnoteReference w:id="961"/>
      </w:r>
      <w:r>
        <w:t xml:space="preserve">云彩表示圣灵的同在。「整个三位一体显现：父在声音中；子在人的形象中；灵在明亮的云中。」</w:t>
      </w:r>
      <w:r>
        <w:rPr>
          <w:rStyle w:val="FootnoteReference"/>
        </w:rPr>
        <w:footnoteReference w:id="962"/>
      </w:r>
    </w:p>
    <w:p>
      <w:pPr>
        <w:pStyle w:val="BodyText"/>
      </w:pPr>
      <w:r>
        <w:t xml:space="preserve">你在山上变像，你的门徒按他们所能的看见你的荣耀，基督我们的神，为使他们在见你被钉十字架时明白你的受难是出于自愿，并向世界宣告你确实是父的光辉。</w:t>
      </w:r>
      <w:r>
        <w:rPr>
          <w:rStyle w:val="FootnoteReference"/>
        </w:rPr>
        <w:footnoteReference w:id="963"/>
      </w:r>
    </w:p>
    <w:p>
      <w:pPr>
        <w:pStyle w:val="BodyText"/>
      </w:pPr>
      <w:r>
        <w:t xml:space="preserve">在公开生活的门槛上：受洗；在逾越节的门槛上：变像。耶稣的受洗宣告「第一次重生的奥秘」，即我们的洗礼；变像「是第二次重生的圣事」：我们的复活。</w:t>
      </w:r>
      <w:r>
        <w:rPr>
          <w:rStyle w:val="FootnoteReference"/>
        </w:rPr>
        <w:footnoteReference w:id="964"/>
      </w:r>
      <w:r>
        <w:t xml:space="preserve">从现在起，我们通过在基督身体的圣事中运行的圣灵分享主的复活。变像让我们预尝基督荣耀的再来，那时他「要按着他自己荣耀的身体改变我们这卑贱的身体」。</w:t>
      </w:r>
      <w:r>
        <w:rPr>
          <w:rStyle w:val="FootnoteReference"/>
        </w:rPr>
        <w:footnoteReference w:id="965"/>
      </w:r>
      <w:r>
        <w:t xml:space="preserve">但它也提醒我们「我们必须经历许多艰难进入神的国」：</w:t>
      </w:r>
      <w:r>
        <w:rPr>
          <w:rStyle w:val="FootnoteReference"/>
        </w:rPr>
        <w:footnoteReference w:id="966"/>
      </w:r>
    </w:p>
    <w:p>
      <w:pPr>
        <w:pStyle w:val="BodyText"/>
      </w:pPr>
      <w:r>
        <w:t xml:space="preserve">彼得在山上想要与基督同住时，还不明白这一点。这是为你预备的，彼得，但要在死后。现在，耶稣说：「下山去，在地上劳苦，在地上服事，在地上被藐视和钉十字架。生命下去被杀；粮下去受饥饿；道路下去在旅程中疲惫；泉源下去受渴；而你不愿意受苦吗？」</w:t>
      </w:r>
      <w:r>
        <w:rPr>
          <w:rStyle w:val="FootnoteReference"/>
        </w:rPr>
        <w:footnoteReference w:id="967"/>
      </w:r>
    </w:p>
    <w:p>
      <w:pPr>
        <w:pStyle w:val="BodyText"/>
      </w:pPr>
      <w:r>
        <w:rPr>
          <w:i/>
          <w:iCs/>
        </w:rPr>
        <w:t xml:space="preserve">耶稣上耶路撒冷</w:t>
      </w:r>
    </w:p>
    <w:p>
      <w:pPr>
        <w:pStyle w:val="BodyText"/>
      </w:pPr>
      <w:r>
        <w:t xml:space="preserve">「耶稣被接上升的日子将到，他就定意向耶路撒冷去。」</w:t>
      </w:r>
      <w:r>
        <w:rPr>
          <w:rStyle w:val="FootnoteReference"/>
        </w:rPr>
        <w:footnoteReference w:id="968"/>
      </w:r>
      <w:r>
        <w:t xml:space="preserve">通过这个决定，他表明自己准备好去耶路撒冷受死。他曾三次预言自己的受难和复活；现在，前往耶路撒冷时，耶稣说：「先知在耶路撒冷之外丧命是不能的。」</w:t>
      </w:r>
      <w:r>
        <w:rPr>
          <w:rStyle w:val="FootnoteReference"/>
        </w:rPr>
        <w:footnoteReference w:id="969"/>
      </w:r>
    </w:p>
    <w:p>
      <w:pPr>
        <w:pStyle w:val="BodyText"/>
      </w:pPr>
      <w:r>
        <w:t xml:space="preserve">耶稣回忆那些在耶路撒冷被杀害的先知的殉道。然而，他仍坚持呼唤耶路撒冷聚集在他周围：「我多次愿意聚集你的儿女，好像母鸡把小鸡聚集在翅膀底下，只是你们不愿意！」</w:t>
      </w:r>
      <w:r>
        <w:rPr>
          <w:rStyle w:val="FootnoteReference"/>
        </w:rPr>
        <w:footnoteReference w:id="970"/>
      </w:r>
      <w:r>
        <w:t xml:space="preserve">当耶路撒冷映入眼帘时，他为她哀哭，再次表达他心中的愿望：「巴不得你在这日子知道关系你平安的事！无奈这事现在是隐藏的，叫你的眼看不出来。」</w:t>
      </w:r>
      <w:r>
        <w:rPr>
          <w:rStyle w:val="FootnoteReference"/>
        </w:rPr>
        <w:footnoteReference w:id="971"/>
      </w:r>
    </w:p>
    <w:p>
      <w:pPr>
        <w:pStyle w:val="BodyText"/>
      </w:pPr>
      <w:r>
        <w:rPr>
          <w:i/>
          <w:iCs/>
        </w:rPr>
        <w:t xml:space="preserve">耶稣以弥赛亚身份进入耶路撒冷</w:t>
      </w:r>
    </w:p>
    <w:p>
      <w:pPr>
        <w:pStyle w:val="BodyText"/>
      </w:pPr>
      <w:r>
        <w:t xml:space="preserve">耶路撒冷将如何迎接她的弥赛亚呢？尽管耶稣一向拒绝民众想要立他为王的企图，他却选择了时机并准备了细节，安排自己以弥赛亚的身份进入「他父大卫」的城</w:t>
      </w:r>
      <w:r>
        <w:rPr>
          <w:rStyle w:val="FootnoteReference"/>
        </w:rPr>
        <w:footnoteReference w:id="972"/>
      </w:r>
      <w:r>
        <w:t xml:space="preserve">。他被称颂为大卫的子孙，作为带来救恩的那一位（</w:t>
      </w:r>
      <w:r>
        <w:rPr>
          <w:i/>
          <w:iCs/>
        </w:rPr>
        <w:t xml:space="preserve">和散那</w:t>
      </w:r>
      <w:r>
        <w:t xml:space="preserve">意为「救救我们！」或「赐下救恩！」），这位「荣耀的王」骑着驴进入他的城</w:t>
      </w:r>
      <w:r>
        <w:rPr>
          <w:rStyle w:val="FootnoteReference"/>
        </w:rPr>
        <w:footnoteReference w:id="973"/>
      </w:r>
      <w:r>
        <w:t xml:space="preserve">。耶稣征服锡安的女子——他教会的预表，不是用诡计或暴力，而是凭藉见证真理的谦卑</w:t>
      </w:r>
      <w:r>
        <w:rPr>
          <w:rStyle w:val="FootnoteReference"/>
        </w:rPr>
        <w:footnoteReference w:id="974"/>
      </w:r>
      <w:r>
        <w:t xml:space="preserve">。在那天，他国度的子民是孩童和神的贫穷人，他们像天使向牧羊人宣告时一样称颂他</w:t>
      </w:r>
      <w:r>
        <w:rPr>
          <w:rStyle w:val="FootnoteReference"/>
        </w:rPr>
        <w:footnoteReference w:id="975"/>
      </w:r>
      <w:r>
        <w:t xml:space="preserve">。他们的欢呼「奉主名来的是应当称颂的」，</w:t>
      </w:r>
      <w:r>
        <w:rPr>
          <w:rStyle w:val="FootnoteReference"/>
        </w:rPr>
        <w:footnoteReference w:id="976"/>
      </w:r>
      <w:r>
        <w:t xml:space="preserve">被教会在圣体圣事的</w:t>
      </w:r>
      <w:r>
        <w:rPr>
          <w:i/>
          <w:iCs/>
        </w:rPr>
        <w:t xml:space="preserve">三圣颂</w:t>
      </w:r>
      <w:r>
        <w:t xml:space="preserve">中采纳，引入主逾越节的纪念。</w:t>
      </w:r>
    </w:p>
    <w:p>
      <w:pPr>
        <w:pStyle w:val="BodyText"/>
      </w:pPr>
      <w:r>
        <w:rPr>
          <w:i/>
          <w:iCs/>
        </w:rPr>
        <w:t xml:space="preserve">耶稣进入耶路撒冷</w:t>
      </w:r>
      <w:r>
        <w:t xml:space="preserve">，显明了君王弥赛亚将要通过他的逾越受难和复活来成就的国度降临。教会在棕树主日庆祝这一进入，庄严地开启圣周的礼仪。</w:t>
      </w:r>
    </w:p>
    <w:bookmarkEnd w:id="977"/>
    <w:bookmarkStart w:id="978" w:name="综述-14"/>
    <w:p>
      <w:pPr>
        <w:pStyle w:val="Heading6"/>
      </w:pPr>
      <w:r>
        <w:t xml:space="preserve">综述</w:t>
      </w:r>
    </w:p>
    <w:p>
      <w:pPr>
        <w:pStyle w:val="FirstParagraph"/>
      </w:pPr>
      <w:r>
        <w:t xml:space="preserve">「基督的一生都是持续的教导：他的沉默、神迹、动作、祷告、对人的爱、对小者和穷人的特别关怀、他为救赎世界而在十字架上完全牺牲的接受，以及他的复活，都是他话语的实现和启示的成全。」（若望保禄二世，CT 9）</w:t>
      </w:r>
    </w:p>
    <w:p>
      <w:pPr>
        <w:pStyle w:val="BodyText"/>
      </w:pPr>
      <w:r>
        <w:t xml:space="preserve">基督的门徒要效法他，直到他在他们里面成形（参加 4:19）。「因此，我们这些与他相似的人，与他同死同复活的人，被纳入他生命的奥秘中，直到将来与他一同作王」（LG 7 § 4）。</w:t>
      </w:r>
    </w:p>
    <w:p>
      <w:pPr>
        <w:pStyle w:val="BodyText"/>
      </w:pPr>
      <w:r>
        <w:t xml:space="preserve">无论牧羊人还是智者，在世上都无法靠近神，除非在伯利恒的马槽前跪拜，敬拜那隐藏在婴孩软弱中的主。</w:t>
      </w:r>
    </w:p>
    <w:p>
      <w:pPr>
        <w:pStyle w:val="BodyText"/>
      </w:pPr>
      <w:r>
        <w:t xml:space="preserve">耶稣借着顺服马利亚和约瑟，以及在拿撒勒多年卑微工作的生活，给我们树立了家庭和工作日常生活中成圣的榜样。</w:t>
      </w:r>
    </w:p>
    <w:p>
      <w:pPr>
        <w:pStyle w:val="BodyText"/>
      </w:pPr>
      <w:r>
        <w:t xml:space="preserve">从他受洗开始的公开生活中，耶稣就是那位「仆人」，完全献身于将通过受难的「洗礼」来成就的救赎工作。</w:t>
      </w:r>
    </w:p>
    <w:p>
      <w:pPr>
        <w:pStyle w:val="BodyText"/>
      </w:pPr>
      <w:r>
        <w:t xml:space="preserve">旷野的试探显明了谦卑的弥赛亚耶稣，他凭着完全顺服父神的救赎计划而战胜了撒但。</w:t>
      </w:r>
    </w:p>
    <w:p>
      <w:pPr>
        <w:pStyle w:val="BodyText"/>
      </w:pPr>
      <w:r>
        <w:t xml:space="preserve">基督在地上开创了天国。「这国度在基督的话语、作为和临在中向人彰显」（LG 5）。教会是这国度的种子和起始，其钥匙交托给彼得。</w:t>
      </w:r>
    </w:p>
    <w:p>
      <w:pPr>
        <w:pStyle w:val="BodyText"/>
      </w:pPr>
      <w:r>
        <w:t xml:space="preserve">基督的变像旨在于预先坚固使徒们的信心，预备他们面对他的受难：登上「高山」为登上各各他作准备。基督作为教会的元首，显明了他的身体在圣事中所蕴含和散发的：「荣耀的盼望」（西 1:27；参大利欧，《讲道集》51, 3: PL 54, 310C）。</w:t>
      </w:r>
    </w:p>
    <w:p>
      <w:pPr>
        <w:pStyle w:val="BodyText"/>
      </w:pPr>
      <w:r>
        <w:t xml:space="preserve">耶稣自愿上耶路撒冷，深知在那里他将因罪人的敌对而遭受暴力的死（参来 12:3）。</w:t>
      </w:r>
    </w:p>
    <w:p>
      <w:pPr>
        <w:pStyle w:val="BodyText"/>
      </w:pPr>
      <w:r>
        <w:t xml:space="preserve">耶稣进入耶路撒冷显明了神国的来临，这位弥赛亚君王被小孩子和心里谦卑的人在他的城里欢迎，他将藉着他受死和复活的逾越完成这国度。</w:t>
      </w:r>
    </w:p>
    <w:p>
      <w:r>
        <w:br w:type="page"/>
      </w:r>
    </w:p>
    <w:bookmarkEnd w:id="978"/>
    <w:bookmarkEnd w:id="979"/>
    <w:bookmarkEnd w:id="980"/>
    <w:bookmarkStart w:id="1150" w:name="第四条在本丢彼拉多手下受难被钉在十字架上受死埋葬"/>
    <w:p>
      <w:pPr>
        <w:pStyle w:val="Heading4"/>
      </w:pPr>
      <w:r>
        <w:t xml:space="preserve">第四条：「在本丢彼拉多手下受难，被钉在十字架上，受死，埋葬」</w:t>
      </w:r>
    </w:p>
    <w:p>
      <w:pPr>
        <w:pStyle w:val="FirstParagraph"/>
      </w:pPr>
      <w:r>
        <w:t xml:space="preserve">基督十字架和复活的逾越奥秘，是使徒和随后教会向世界宣讲的福音的中心。神的救恩计划，藉着圣子耶稣基督的救赎之死，「一次而永远」地完成了。</w:t>
      </w:r>
      <w:r>
        <w:rPr>
          <w:rStyle w:val="FootnoteReference"/>
        </w:rPr>
        <w:footnoteReference w:id="981"/>
      </w:r>
    </w:p>
    <w:p>
      <w:pPr>
        <w:pStyle w:val="BodyText"/>
      </w:pPr>
      <w:r>
        <w:t xml:space="preserve">教会忠于耶稣在逾越节前后所给予的「全部圣经」的解释：「基督这样受害，而后进入他的荣耀，不是应当的吗？」</w:t>
      </w:r>
      <w:r>
        <w:rPr>
          <w:rStyle w:val="FootnoteReference"/>
        </w:rPr>
        <w:footnoteReference w:id="982"/>
      </w:r>
      <w:r>
        <w:t xml:space="preserve">耶稣的苦难从历史和具体的事实中呈现出来，就是他「被长老、祭司长和文士弃绝」，并被他们「交给外邦人，他们要戏弄他，鞭打他，钉他在十字架上」。</w:t>
      </w:r>
      <w:r>
        <w:rPr>
          <w:rStyle w:val="FootnoteReference"/>
        </w:rPr>
        <w:footnoteReference w:id="983"/>
      </w:r>
    </w:p>
    <w:p>
      <w:pPr>
        <w:pStyle w:val="BodyText"/>
      </w:pPr>
      <w:r>
        <w:t xml:space="preserve">因此，信仰可以尝试去审视福音忠实传递的</w:t>
      </w:r>
      <w:r>
        <w:rPr>
          <w:rStyle w:val="FootnoteReference"/>
        </w:rPr>
        <w:footnoteReference w:id="984"/>
      </w:r>
      <w:r>
        <w:t xml:space="preserve">耶稣受死的环境，并由其他历史资料来阐明，以便更好地理解救赎的意义。</w:t>
      </w:r>
    </w:p>
    <w:bookmarkStart w:id="1050" w:name="第一段耶稣和以色列"/>
    <w:p>
      <w:pPr>
        <w:pStyle w:val="Heading5"/>
      </w:pPr>
      <w:r>
        <w:t xml:space="preserve">第一段：耶稣和以色列</w:t>
      </w:r>
    </w:p>
    <w:p>
      <w:pPr>
        <w:pStyle w:val="FirstParagraph"/>
      </w:pPr>
      <w:r>
        <w:t xml:space="preserve">从耶稣公开传道的开始，有些法利赛人和希律的党羽，连同祭司长和文士，就一同商议要除灭他。</w:t>
      </w:r>
      <w:r>
        <w:rPr>
          <w:rStyle w:val="FootnoteReference"/>
        </w:rPr>
        <w:footnoteReference w:id="985"/>
      </w:r>
      <w:r>
        <w:t xml:space="preserve">因为他驱逐魔鬼、赦免罪过、在安息日治病、对律法中有关洁净的规条作新的解释，并且与税吏和罪人来往，</w:t>
      </w:r>
      <w:r>
        <w:rPr>
          <w:rStyle w:val="FootnoteReference"/>
        </w:rPr>
        <w:footnoteReference w:id="986"/>
      </w:r>
      <w:r>
        <w:t xml:space="preserve">一些心怀恶意的人就怀疑耶稣被魔鬼附体。</w:t>
      </w:r>
      <w:r>
        <w:rPr>
          <w:rStyle w:val="FootnoteReference"/>
        </w:rPr>
        <w:footnoteReference w:id="987"/>
      </w:r>
      <w:r>
        <w:t xml:space="preserve">他被控告亵渎神和假先知，这在律法上是可处以用石头砸死的宗教罪行。</w:t>
      </w:r>
      <w:r>
        <w:rPr>
          <w:rStyle w:val="FootnoteReference"/>
        </w:rPr>
        <w:footnoteReference w:id="988"/>
      </w:r>
    </w:p>
    <w:p>
      <w:pPr>
        <w:pStyle w:val="BodyText"/>
      </w:pPr>
      <w:r>
        <w:t xml:space="preserve">耶稣的许多行为和言语构成了一个「矛盾的记号」，</w:t>
      </w:r>
      <w:r>
        <w:rPr>
          <w:rStyle w:val="FootnoteReference"/>
        </w:rPr>
        <w:footnoteReference w:id="989"/>
      </w:r>
      <w:r>
        <w:t xml:space="preserve">但对耶路撒冷的宗教当局，即约翰福音常称之为「犹太人」的，</w:t>
      </w:r>
      <w:r>
        <w:rPr>
          <w:rStyle w:val="FootnoteReference"/>
        </w:rPr>
        <w:footnoteReference w:id="990"/>
      </w:r>
      <w:r>
        <w:t xml:space="preserve">比对一般神的子民</w:t>
      </w:r>
      <w:r>
        <w:rPr>
          <w:rStyle w:val="FootnoteReference"/>
        </w:rPr>
        <w:footnoteReference w:id="991"/>
      </w:r>
      <w:r>
        <w:t xml:space="preserve">更是如此。诚然，基督与法利赛人的关系并非完全是争论不休的。有些法利赛人提醒他，他所冒的危险；</w:t>
      </w:r>
      <w:r>
        <w:rPr>
          <w:rStyle w:val="FootnoteReference"/>
        </w:rPr>
        <w:footnoteReference w:id="992"/>
      </w:r>
      <w:r>
        <w:t xml:space="preserve">耶稣称赞他们中的一些人，如</w:t>
      </w:r>
      <w:r>
        <w:rPr>
          <w:i/>
          <w:iCs/>
        </w:rPr>
        <w:t xml:space="preserve">马可福音</w:t>
      </w:r>
      <w:r>
        <w:t xml:space="preserve">12:34 所记载的经师，并多次在他们家中进餐。</w:t>
      </w:r>
      <w:r>
        <w:rPr>
          <w:rStyle w:val="FootnoteReference"/>
        </w:rPr>
        <w:footnoteReference w:id="993"/>
      </w:r>
      <w:r>
        <w:t xml:space="preserve">耶稣赞同神的子民的这些宗教精英所传授的一些教导：死人复活、</w:t>
      </w:r>
      <w:r>
        <w:rPr>
          <w:rStyle w:val="FootnoteReference"/>
        </w:rPr>
        <w:footnoteReference w:id="994"/>
      </w:r>
      <w:r>
        <w:t xml:space="preserve">某些虔诚的方式（施舍、禁食和祈祷）、</w:t>
      </w:r>
      <w:r>
        <w:rPr>
          <w:rStyle w:val="FootnoteReference"/>
        </w:rPr>
        <w:footnoteReference w:id="995"/>
      </w:r>
      <w:r>
        <w:t xml:space="preserve">称呼神为父的习惯，以及爱神和爱近人的诫命的中心地位。</w:t>
      </w:r>
      <w:r>
        <w:rPr>
          <w:rStyle w:val="FootnoteReference"/>
        </w:rPr>
        <w:footnoteReference w:id="996"/>
      </w:r>
    </w:p>
    <w:p>
      <w:pPr>
        <w:pStyle w:val="BodyText"/>
      </w:pPr>
      <w:r>
        <w:t xml:space="preserve">在以色列许多人眼中，耶稣似乎是在反对选民的基本制度：</w:t>
      </w:r>
    </w:p>
    <w:p>
      <w:pPr>
        <w:numPr>
          <w:ilvl w:val="0"/>
          <w:numId w:val="1007"/>
        </w:numPr>
      </w:pPr>
      <w:r>
        <w:t xml:space="preserve">服从全部律法的书面诫命，以及法利赛人对口头传统的解释；</w:t>
      </w:r>
    </w:p>
    <w:p>
      <w:pPr>
        <w:numPr>
          <w:ilvl w:val="0"/>
          <w:numId w:val="1007"/>
        </w:numPr>
      </w:pPr>
      <w:r>
        <w:t xml:space="preserve">耶路撒冷圣殿作为神特别临在的圣所的中心地位；</w:t>
      </w:r>
    </w:p>
    <w:p>
      <w:pPr>
        <w:numPr>
          <w:ilvl w:val="0"/>
          <w:numId w:val="1007"/>
        </w:numPr>
      </w:pPr>
      <w:r>
        <w:t xml:space="preserve">对独一神的信仰，他的荣耀无人能分享。</w:t>
      </w:r>
    </w:p>
    <w:bookmarkStart w:id="1017" w:name="一耶稣和律法"/>
    <w:p>
      <w:pPr>
        <w:pStyle w:val="Heading6"/>
      </w:pPr>
      <w:r>
        <w:t xml:space="preserve">一、耶稣和律法</w:t>
      </w:r>
    </w:p>
    <w:p>
      <w:pPr>
        <w:pStyle w:val="FirstParagraph"/>
      </w:pPr>
      <w:r>
        <w:t xml:space="preserve">在登山宝训的开始，耶稣发出一个庄严的警告，他以新约的恩典来阐明在第一个盟约中，在西奈山上颁布的神的律法：</w:t>
      </w:r>
    </w:p>
    <w:p>
      <w:pPr>
        <w:pStyle w:val="BodyText"/>
      </w:pPr>
      <w:r>
        <w:t xml:space="preserve">「莫想我来是要废掉律法和先知；我来不是要废掉，乃是要成全。我实在告诉你们：就是到天地都废去了，律法的一点一画也不能废去，都要成全。所以，无论何人废掉这诫命中最小的一条，又教训人这样做，他在天国要称为最小的；但无论何人遵行这诫命，又教训人遵行，他在天国要称为大的。」</w:t>
      </w:r>
      <w:r>
        <w:rPr>
          <w:rStyle w:val="FootnoteReference"/>
        </w:rPr>
        <w:footnoteReference w:id="997"/>
      </w:r>
    </w:p>
    <w:p>
      <w:pPr>
        <w:pStyle w:val="BodyText"/>
      </w:pPr>
      <w:r>
        <w:t xml:space="preserve">耶稣，以色列的弥赛亚，也是天国里最大的，他要藉着全面详尽地遵守律法来成全律法——按照他自己的话，直到「这诫命中最小的一条」。</w:t>
      </w:r>
      <w:r>
        <w:rPr>
          <w:rStyle w:val="FootnoteReference"/>
        </w:rPr>
        <w:footnoteReference w:id="998"/>
      </w:r>
      <w:r>
        <w:t xml:space="preserve">事实上，只有他能完全遵守律法。</w:t>
      </w:r>
      <w:r>
        <w:rPr>
          <w:rStyle w:val="FootnoteReference"/>
        </w:rPr>
        <w:footnoteReference w:id="999"/>
      </w:r>
      <w:r>
        <w:t xml:space="preserve">犹太人自己也承认，他们从来不能完全遵守律法，总会违犯其中最小的一条。</w:t>
      </w:r>
      <w:r>
        <w:rPr>
          <w:rStyle w:val="FootnoteReference"/>
        </w:rPr>
        <w:footnoteReference w:id="1000"/>
      </w:r>
      <w:r>
        <w:t xml:space="preserve">这就是为什么以色列人每年在赎罪日都要为他们违犯律法的事向神求饶恕。律法确实是一个不可分割的整体，圣雅各使徒提醒说：「因为凡遵守全律法的，只在一条上跌倒，他就是犯了众条。」</w:t>
      </w:r>
      <w:r>
        <w:rPr>
          <w:rStyle w:val="FootnoteReference"/>
        </w:rPr>
        <w:footnoteReference w:id="1001"/>
      </w:r>
    </w:p>
    <w:p>
      <w:pPr>
        <w:pStyle w:val="BodyText"/>
      </w:pPr>
      <w:r>
        <w:t xml:space="preserve">这个不仅在字面上，而且在精神上完整遵守律法的原则，对法利赛人来说是很宝贵的。他们将这一原则传给以色列，使耶稣时代的许多犹太人达到了极度的宗教热忱。</w:t>
      </w:r>
      <w:r>
        <w:rPr>
          <w:rStyle w:val="FootnoteReference"/>
        </w:rPr>
        <w:footnoteReference w:id="1002"/>
      </w:r>
      <w:r>
        <w:t xml:space="preserve">这种热忱如果不堕入「伪善的」诡辩，</w:t>
      </w:r>
      <w:r>
        <w:rPr>
          <w:rStyle w:val="FootnoteReference"/>
        </w:rPr>
        <w:footnoteReference w:id="1003"/>
      </w:r>
      <w:r>
        <w:t xml:space="preserve">就只能预备百姓迎接神前所未有的介入，就是藉着唯一的义者来代替所有的罪人，完全履行律法。</w:t>
      </w:r>
      <w:r>
        <w:rPr>
          <w:rStyle w:val="FootnoteReference"/>
        </w:rPr>
        <w:footnoteReference w:id="1004"/>
      </w:r>
    </w:p>
    <w:p>
      <w:pPr>
        <w:pStyle w:val="BodyText"/>
      </w:pPr>
      <w:r>
        <w:t xml:space="preserve">律法的完全成全，只能是那位神的立法者的工作，他本是律法的制定者，却甘愿成为律法之下的人，就是成为子。</w:t>
      </w:r>
      <w:r>
        <w:rPr>
          <w:rStyle w:val="FootnoteReference"/>
        </w:rPr>
        <w:footnoteReference w:id="1005"/>
      </w:r>
      <w:r>
        <w:t xml:space="preserve">在耶稣身上，律法不再是刻在石版上，而是刻在那位成为「众人的约」的仆人的「心上」，因为他要「在万邦中施行公理」。</w:t>
      </w:r>
      <w:r>
        <w:rPr>
          <w:rStyle w:val="FootnoteReference"/>
        </w:rPr>
        <w:footnoteReference w:id="1006"/>
      </w:r>
      <w:r>
        <w:t xml:space="preserve">耶稣成全律法，甚至担当了那些不能「常常遵行律法书上所记一切之事」的人所招致的「律法的咒诅」，因为他的死是为要救赎他们脱离「在前约之下所犯的罪过」。</w:t>
      </w:r>
      <w:r>
        <w:rPr>
          <w:rStyle w:val="FootnoteReference"/>
        </w:rPr>
        <w:footnoteReference w:id="1007"/>
      </w:r>
    </w:p>
    <w:p>
      <w:pPr>
        <w:pStyle w:val="BodyText"/>
      </w:pPr>
      <w:r>
        <w:t xml:space="preserve">犹太人和他们的精神领袖都把耶稣看作一位拉比。</w:t>
      </w:r>
      <w:r>
        <w:rPr>
          <w:rStyle w:val="FootnoteReference"/>
        </w:rPr>
        <w:footnoteReference w:id="1008"/>
      </w:r>
      <w:r>
        <w:t xml:space="preserve">他经常在拉比解释律法的框架内进行辩论。</w:t>
      </w:r>
      <w:r>
        <w:rPr>
          <w:rStyle w:val="FootnoteReference"/>
        </w:rPr>
        <w:footnoteReference w:id="1009"/>
      </w:r>
      <w:r>
        <w:t xml:space="preserve">然而，耶稣不免得罪了律法教师，因为他不满足于将自己的解释与他们的解释并列，而是「用权柄教训众人，不像他们的文士」。</w:t>
      </w:r>
      <w:r>
        <w:rPr>
          <w:rStyle w:val="FootnoteReference"/>
        </w:rPr>
        <w:footnoteReference w:id="1010"/>
      </w:r>
      <w:r>
        <w:t xml:space="preserve">在耶稣身上，那曾在西奈山上向摩西颁布成文律法的神的道，如今又在真福山上被重新听到。</w:t>
      </w:r>
      <w:r>
        <w:rPr>
          <w:rStyle w:val="FootnoteReference"/>
        </w:rPr>
        <w:footnoteReference w:id="1011"/>
      </w:r>
      <w:r>
        <w:t xml:space="preserve">耶稣没有废除律法，而是以从神而来的方式给予律法最终的诠释，从而成全了律法：「你们听见有吩咐古人的话……只是我告诉你们……」</w:t>
      </w:r>
      <w:r>
        <w:rPr>
          <w:rStyle w:val="FootnoteReference"/>
        </w:rPr>
        <w:footnoteReference w:id="1012"/>
      </w:r>
      <w:r>
        <w:t xml:space="preserve">他以同样从神而来的权柄，否定了法利赛人的某些「废弃神的诫命」的人的传统。</w:t>
      </w:r>
      <w:r>
        <w:rPr>
          <w:rStyle w:val="FootnoteReference"/>
        </w:rPr>
        <w:footnoteReference w:id="1013"/>
      </w:r>
    </w:p>
    <w:p>
      <w:pPr>
        <w:pStyle w:val="BodyText"/>
      </w:pPr>
      <w:r>
        <w:t xml:space="preserve">耶稣更进一步，以从神而来的诠释完善了在犹太人日常生活中如此重要的饮食律法，揭示其教导意义：「从外面进去的，不能污秽人……（他这样说，就洁净了一切食物）……惟独从人里面出来的，那才能污秽人。因为从里面，就是从人心里，发出恶念……」</w:t>
      </w:r>
      <w:r>
        <w:rPr>
          <w:rStyle w:val="FootnoteReference"/>
        </w:rPr>
        <w:footnoteReference w:id="1014"/>
      </w:r>
      <w:r>
        <w:t xml:space="preserve">耶稣以从神而来的权柄阐释律法的最终诠释，却遭到某些律法教师的反对，他们不接受他对律法的解释，尽管这解释有随之而来的神迹为保证。</w:t>
      </w:r>
      <w:r>
        <w:rPr>
          <w:rStyle w:val="FootnoteReference"/>
        </w:rPr>
        <w:footnoteReference w:id="1015"/>
      </w:r>
      <w:r>
        <w:t xml:space="preserve">这种情况在安息日律法上尤其如此，因为他常常用拉比的论证，指出为事奉神和服事邻舍而做的事并不违反安息日的休息，</w:t>
      </w:r>
      <w:r>
        <w:rPr>
          <w:rStyle w:val="FootnoteReference"/>
        </w:rPr>
        <w:footnoteReference w:id="1016"/>
      </w:r>
      <w:r>
        <w:t xml:space="preserve">正如他自己所行的医治一样。</w:t>
      </w:r>
    </w:p>
    <w:bookmarkEnd w:id="1017"/>
    <w:bookmarkStart w:id="1032" w:name="二耶稣和圣殿"/>
    <w:p>
      <w:pPr>
        <w:pStyle w:val="Heading6"/>
      </w:pPr>
      <w:r>
        <w:t xml:space="preserve">二、耶稣和圣殿</w:t>
      </w:r>
    </w:p>
    <w:p>
      <w:pPr>
        <w:pStyle w:val="FirstParagraph"/>
      </w:pPr>
      <w:r>
        <w:t xml:space="preserve">耶稣像他之前的先知一样，对耶路撒冷的圣殿表示最深的敬意。他出生四十天后，约瑟和马利亚就在圣殿把他献给主。</w:t>
      </w:r>
      <w:r>
        <w:rPr>
          <w:rStyle w:val="FootnoteReference"/>
        </w:rPr>
        <w:footnoteReference w:id="1018"/>
      </w:r>
      <w:r>
        <w:t xml:space="preserve">他十二岁时，决定留在圣殿里，提醒父母他必须以天父的事为念。</w:t>
      </w:r>
      <w:r>
        <w:rPr>
          <w:rStyle w:val="FootnoteReference"/>
        </w:rPr>
        <w:footnoteReference w:id="1019"/>
      </w:r>
      <w:r>
        <w:t xml:space="preserve">在他隐居的岁月里，他每年至少在逾越节时上圣殿。</w:t>
      </w:r>
      <w:r>
        <w:rPr>
          <w:rStyle w:val="FootnoteReference"/>
        </w:rPr>
        <w:footnoteReference w:id="1020"/>
      </w:r>
      <w:r>
        <w:t xml:space="preserve">他的公开传道本身就是以朝圣的方式前往耶路撒冷参加犹太人的大节日。</w:t>
      </w:r>
      <w:r>
        <w:rPr>
          <w:rStyle w:val="FootnoteReference"/>
        </w:rPr>
        <w:footnoteReference w:id="1021"/>
      </w:r>
    </w:p>
    <w:p>
      <w:pPr>
        <w:pStyle w:val="BodyText"/>
      </w:pPr>
      <w:r>
        <w:t xml:space="preserve">耶稣上圣殿，因为那是与神相遇的特别场所。对他来说，圣殿是他父的住所，是祈祷的殿宇，他看到外院竟成了做买卖的地方，就怒不可遏。</w:t>
      </w:r>
      <w:r>
        <w:rPr>
          <w:rStyle w:val="FootnoteReference"/>
        </w:rPr>
        <w:footnoteReference w:id="1022"/>
      </w:r>
      <w:r>
        <w:t xml:space="preserve">他因热爱他父的缘故，就把做买卖的人都赶了出去，说：「不要将我父的殿当作买卖的地方。」他的门徒就想起经上记着说：「我为你的殿心里焦急，如同火烧。」</w:t>
      </w:r>
      <w:r>
        <w:rPr>
          <w:rStyle w:val="FootnoteReference"/>
        </w:rPr>
        <w:footnoteReference w:id="1023"/>
      </w:r>
      <w:r>
        <w:t xml:space="preserve">他复活后，使徒们仍然对圣殿保持敬意。</w:t>
      </w:r>
      <w:r>
        <w:rPr>
          <w:rStyle w:val="FootnoteReference"/>
        </w:rPr>
        <w:footnoteReference w:id="1024"/>
      </w:r>
    </w:p>
    <w:p>
      <w:pPr>
        <w:pStyle w:val="BodyText"/>
      </w:pPr>
      <w:r>
        <w:t xml:space="preserve">在他受难的门槛上，耶稣预言了这座宏伟建筑物即将被毁，「没有一块石头留在石头上不被拆毁的」。</w:t>
      </w:r>
      <w:r>
        <w:rPr>
          <w:rStyle w:val="FootnoteReference"/>
        </w:rPr>
        <w:footnoteReference w:id="1025"/>
      </w:r>
      <w:r>
        <w:t xml:space="preserve">他这样做，是在宣布末日的一个征兆，而末日要从他自己的逾越节开始。</w:t>
      </w:r>
      <w:r>
        <w:rPr>
          <w:rStyle w:val="FootnoteReference"/>
        </w:rPr>
        <w:footnoteReference w:id="1026"/>
      </w:r>
      <w:r>
        <w:t xml:space="preserve">但是这个预言在大祭司府审问他时，被假见证人歪曲；当他被钉在十字架上时，又被人当作侮辱他的话抛回给他。</w:t>
      </w:r>
      <w:r>
        <w:rPr>
          <w:rStyle w:val="FootnoteReference"/>
        </w:rPr>
        <w:footnoteReference w:id="1027"/>
      </w:r>
    </w:p>
    <w:p>
      <w:pPr>
        <w:pStyle w:val="BodyText"/>
      </w:pPr>
      <w:r>
        <w:t xml:space="preserve">耶稣并非敌视圣殿，他的主要教导就是在圣殿里进行的。他愿意缴纳圣殿税，并让他刚立为未来教会基石的彼得与他一同缴纳。</w:t>
      </w:r>
      <w:r>
        <w:rPr>
          <w:rStyle w:val="FootnoteReference"/>
        </w:rPr>
        <w:footnoteReference w:id="1028"/>
      </w:r>
      <w:r>
        <w:t xml:space="preserve">他甚至把自己比作圣殿，呈现为神在人间的最终居所。</w:t>
      </w:r>
      <w:r>
        <w:rPr>
          <w:rStyle w:val="FootnoteReference"/>
        </w:rPr>
        <w:footnoteReference w:id="1029"/>
      </w:r>
      <w:r>
        <w:t xml:space="preserve">因此，他肉身的死亡</w:t>
      </w:r>
      <w:r>
        <w:rPr>
          <w:rStyle w:val="FootnoteReference"/>
        </w:rPr>
        <w:footnoteReference w:id="1030"/>
      </w:r>
      <w:r>
        <w:t xml:space="preserve">预示着圣殿的毁灭，这将显示救恩历史新纪元的开始：「时候将到，你们拜父，也不在这山上，也不在耶路撒冷。」</w:t>
      </w:r>
      <w:r>
        <w:rPr>
          <w:rStyle w:val="FootnoteReference"/>
        </w:rPr>
        <w:footnoteReference w:id="1031"/>
      </w:r>
    </w:p>
    <w:bookmarkEnd w:id="1032"/>
    <w:bookmarkStart w:id="1048" w:name="三耶稣和以色列对独一的神和救主的信仰"/>
    <w:p>
      <w:pPr>
        <w:pStyle w:val="Heading6"/>
      </w:pPr>
      <w:r>
        <w:t xml:space="preserve">三、耶稣和以色列对独一的神和救主的信仰</w:t>
      </w:r>
    </w:p>
    <w:p>
      <w:pPr>
        <w:pStyle w:val="FirstParagraph"/>
      </w:pPr>
      <w:r>
        <w:t xml:space="preserve">如果说律法和耶路撒冷圣殿可能成为以色列宗教当局反对耶稣的理由，那么他在救赎罪过——这神的至高工作——上所扮演的角色，才是他们真正的绊脚石。</w:t>
      </w:r>
      <w:r>
        <w:rPr>
          <w:rStyle w:val="FootnoteReference"/>
        </w:rPr>
        <w:footnoteReference w:id="1033"/>
      </w:r>
    </w:p>
    <w:p>
      <w:pPr>
        <w:pStyle w:val="BodyText"/>
      </w:pPr>
      <w:r>
        <w:t xml:space="preserve">耶稣与税吏和罪人一起吃饭，如同与法利赛人一起吃饭一样亲切，这使法利赛人感到震惊。</w:t>
      </w:r>
      <w:r>
        <w:rPr>
          <w:rStyle w:val="FootnoteReference"/>
        </w:rPr>
        <w:footnoteReference w:id="1034"/>
      </w:r>
      <w:r>
        <w:t xml:space="preserve">针对那些「自恃为义，藐视别人」的法利赛人，耶稣断言：「我来本不是召义人，乃是召罪人悔改。」</w:t>
      </w:r>
      <w:r>
        <w:rPr>
          <w:rStyle w:val="FootnoteReference"/>
        </w:rPr>
        <w:footnoteReference w:id="1035"/>
      </w:r>
      <w:r>
        <w:t xml:space="preserve">他更进一步在法利赛人面前宣告，既然罪是普遍的，那些自命不需要救恩的人，是在欺骗自己。</w:t>
      </w:r>
      <w:r>
        <w:rPr>
          <w:rStyle w:val="FootnoteReference"/>
        </w:rPr>
        <w:footnoteReference w:id="1036"/>
      </w:r>
    </w:p>
    <w:p>
      <w:pPr>
        <w:pStyle w:val="BodyText"/>
      </w:pPr>
      <w:r>
        <w:t xml:space="preserve">耶稣最令人震惊的是，他把自己对罪人的怜悯行为等同于神对罪人的态度。</w:t>
      </w:r>
      <w:r>
        <w:rPr>
          <w:rStyle w:val="FootnoteReference"/>
        </w:rPr>
        <w:footnoteReference w:id="1037"/>
      </w:r>
      <w:r>
        <w:t xml:space="preserve">他甚至暗示，与罪人同席就是把他们接纳到弥赛亚的盛宴中。</w:t>
      </w:r>
      <w:r>
        <w:rPr>
          <w:rStyle w:val="FootnoteReference"/>
        </w:rPr>
        <w:footnoteReference w:id="1038"/>
      </w:r>
      <w:r>
        <w:t xml:space="preserve">但最令以色列宗教当局陷入两难境地的，是耶稣赦免罪过。他们岂不是有权惊愕地质问：「除了神一个人之外，谁能赦免罪呢？」</w:t>
      </w:r>
      <w:r>
        <w:rPr>
          <w:rStyle w:val="FootnoteReference"/>
        </w:rPr>
        <w:footnoteReference w:id="1039"/>
      </w:r>
      <w:r>
        <w:t xml:space="preserve">耶稣赦免罪过，要么是亵渎神，把自己等同于神，要么他所说的是实话，他的位格确实彰显和启示了神的名。</w:t>
      </w:r>
      <w:r>
        <w:rPr>
          <w:rStyle w:val="FootnoteReference"/>
        </w:rPr>
        <w:footnoteReference w:id="1040"/>
      </w:r>
    </w:p>
    <w:p>
      <w:pPr>
        <w:pStyle w:val="BodyText"/>
      </w:pPr>
      <w:r>
        <w:t xml:space="preserve">只有耶稣位格的神性身份，才能支撑他绝对性的宣称，如「不与我相合的，就是敌我的」；他说自己内有「比约拿更大的」，「比所罗门更大的」，「比圣殿更大的」；他提醒人们大卫曾称弥赛亚为主，</w:t>
      </w:r>
      <w:r>
        <w:rPr>
          <w:rStyle w:val="FootnoteReference"/>
        </w:rPr>
        <w:footnoteReference w:id="1041"/>
      </w:r>
      <w:r>
        <w:t xml:space="preserve">他断言：「还没有亚伯拉罕就有了我」，甚至「我与父原为一」。</w:t>
      </w:r>
      <w:r>
        <w:rPr>
          <w:rStyle w:val="FootnoteReference"/>
        </w:rPr>
        <w:footnoteReference w:id="1042"/>
      </w:r>
    </w:p>
    <w:p>
      <w:pPr>
        <w:pStyle w:val="BodyText"/>
      </w:pPr>
      <w:r>
        <w:t xml:space="preserve">耶稣要求耶路撒冷的宗教当局因他所行的父的工作而信从他。</w:t>
      </w:r>
      <w:r>
        <w:rPr>
          <w:rStyle w:val="FootnoteReference"/>
        </w:rPr>
        <w:footnoteReference w:id="1043"/>
      </w:r>
      <w:r>
        <w:t xml:space="preserve">但这种信心的行为必须经历一种奥秘的自我死亡，为获得在神恩影响下「由上而生」的新生命。</w:t>
      </w:r>
      <w:r>
        <w:rPr>
          <w:rStyle w:val="FootnoteReference"/>
        </w:rPr>
        <w:footnoteReference w:id="1044"/>
      </w:r>
      <w:r>
        <w:t xml:space="preserve">面对如此令人惊讶的应许实现，</w:t>
      </w:r>
      <w:r>
        <w:rPr>
          <w:rStyle w:val="FootnoteReference"/>
        </w:rPr>
        <w:footnoteReference w:id="1045"/>
      </w:r>
      <w:r>
        <w:t xml:space="preserve">这种皈依的要求使人能够理解公会对耶稣的悲惨误解：他们判定耶稣该受死刑，因为他亵渎了神。</w:t>
      </w:r>
      <w:r>
        <w:rPr>
          <w:rStyle w:val="FootnoteReference"/>
        </w:rPr>
        <w:footnoteReference w:id="1046"/>
      </w:r>
      <w:r>
        <w:t xml:space="preserve">公会的成员因此是出于「无知」和「不信」的「顽梗」而行事的。</w:t>
      </w:r>
      <w:r>
        <w:rPr>
          <w:rStyle w:val="FootnoteReference"/>
        </w:rPr>
        <w:footnoteReference w:id="1047"/>
      </w:r>
    </w:p>
    <w:bookmarkEnd w:id="1048"/>
    <w:bookmarkStart w:id="1049" w:name="综述-15"/>
    <w:p>
      <w:pPr>
        <w:pStyle w:val="Heading6"/>
      </w:pPr>
      <w:r>
        <w:t xml:space="preserve">综述</w:t>
      </w:r>
    </w:p>
    <w:p>
      <w:pPr>
        <w:pStyle w:val="FirstParagraph"/>
      </w:pPr>
      <w:r>
        <w:t xml:space="preserve">耶稣并没有废除西乃山的律法，而是以如此完美的方式（参太 5:17-19）来成全律法（参约 8:46），以致启示了律法的终极意义（参太 5:33），并救赎了违反律法的过犯（参来 9:15）。</w:t>
      </w:r>
    </w:p>
    <w:p>
      <w:pPr>
        <w:pStyle w:val="BodyText"/>
      </w:pPr>
      <w:r>
        <w:t xml:space="preserve">耶稣敬奉圣殿，在犹太人的朝圣节日上去圣殿，并以忌邪的爱来爱这神在人间的居所。圣殿预示了他自己的奥秘。当他预言圣殿被毁时，这就是显示他自己被处死，以及救恩历史进入一个新纪元，那时他的身体将成为最终的圣殿。</w:t>
      </w:r>
    </w:p>
    <w:p>
      <w:pPr>
        <w:pStyle w:val="BodyText"/>
      </w:pPr>
      <w:r>
        <w:t xml:space="preserve">耶稣所行的事，如赦免罪过，显示他就是救主神自己（参约 5:16-18）。某些犹太人不承认道成肉身的神（参约 1:14），只看到一个将自己当作神的人（约 10:33），就判定他为亵渎者。</w:t>
      </w:r>
    </w:p>
    <w:p>
      <w:r>
        <w:br w:type="page"/>
      </w:r>
    </w:p>
    <w:bookmarkEnd w:id="1049"/>
    <w:bookmarkEnd w:id="1050"/>
    <w:bookmarkStart w:id="1127" w:name="第二段耶稣被钉十字架而死"/>
    <w:p>
      <w:pPr>
        <w:pStyle w:val="Heading5"/>
      </w:pPr>
      <w:r>
        <w:t xml:space="preserve">第二段：耶稣被钉十字架而死</w:t>
      </w:r>
    </w:p>
    <w:bookmarkStart w:id="1066" w:name="一耶稣受审"/>
    <w:p>
      <w:pPr>
        <w:pStyle w:val="Heading6"/>
      </w:pPr>
      <w:r>
        <w:t xml:space="preserve">一、耶稣受审</w:t>
      </w:r>
    </w:p>
    <w:p>
      <w:pPr>
        <w:pStyle w:val="FirstParagraph"/>
      </w:pPr>
      <w:r>
        <w:rPr>
          <w:i/>
          <w:iCs/>
        </w:rPr>
        <w:t xml:space="preserve">犹太当局对耶稣的意见分歧</w:t>
      </w:r>
    </w:p>
    <w:p>
      <w:pPr>
        <w:pStyle w:val="BodyText"/>
      </w:pPr>
      <w:r>
        <w:t xml:space="preserve">在耶路撒冷的宗教领袖中，不仅有法利赛人尼哥底母和显要的亚利马太人约瑟都是耶稣的秘密门徒，而且长期以来对他也有分歧，甚至约翰说这些官长在基督受难前夕，「其中有好些信他的」，虽然信得很不完全。</w:t>
      </w:r>
      <w:r>
        <w:rPr>
          <w:rStyle w:val="FootnoteReference"/>
        </w:rPr>
        <w:footnoteReference w:id="1051"/>
      </w:r>
      <w:r>
        <w:t xml:space="preserve">这并不奇怪，如果回想到在五旬节后，「有许多祭司信从了这道」，「信的人中，也有好些是法利赛教门的人」，甚至雅各能对保罗说：「犹太人中信主的有多少万，并且都为律法热心。」</w:t>
      </w:r>
      <w:r>
        <w:rPr>
          <w:rStyle w:val="FootnoteReference"/>
        </w:rPr>
        <w:footnoteReference w:id="1052"/>
      </w:r>
    </w:p>
    <w:p>
      <w:pPr>
        <w:pStyle w:val="BodyText"/>
      </w:pPr>
      <w:r>
        <w:t xml:space="preserve">耶路撒冷的宗教领袖对待耶稣的立场并不一致。</w:t>
      </w:r>
      <w:r>
        <w:rPr>
          <w:rStyle w:val="FootnoteReference"/>
        </w:rPr>
        <w:footnoteReference w:id="1053"/>
      </w:r>
      <w:r>
        <w:t xml:space="preserve">法利赛人威胁要把跟从耶稣的人赶出会堂。</w:t>
      </w:r>
      <w:r>
        <w:rPr>
          <w:rStyle w:val="FootnoteReference"/>
        </w:rPr>
        <w:footnoteReference w:id="1054"/>
      </w:r>
      <w:r>
        <w:t xml:space="preserve">有人担心「众人都要信他，罗马人也要来夺我们的地土和我们的百姓」，大祭司该亚法就预言说：「你们不知道什么。独不想一个人替百姓死，免得通国灭亡，就是你们的益处。」</w:t>
      </w:r>
      <w:r>
        <w:rPr>
          <w:rStyle w:val="FootnoteReference"/>
        </w:rPr>
        <w:footnoteReference w:id="1055"/>
      </w:r>
      <w:r>
        <w:t xml:space="preserve">公会宣判耶稣说僭妄的话，该死，但已失去处死人的权柄，就把他交给罗马人，控告他煽动叛乱，这罪名使他和被控作乱的巴拉巴同列。</w:t>
      </w:r>
      <w:r>
        <w:rPr>
          <w:rStyle w:val="FootnoteReference"/>
        </w:rPr>
        <w:footnoteReference w:id="1056"/>
      </w:r>
      <w:r>
        <w:t xml:space="preserve">祭司长也用政治威胁彼拉多，逼他判耶稣死刑。</w:t>
      </w:r>
      <w:r>
        <w:rPr>
          <w:rStyle w:val="FootnoteReference"/>
        </w:rPr>
        <w:footnoteReference w:id="1057"/>
      </w:r>
    </w:p>
    <w:p>
      <w:pPr>
        <w:pStyle w:val="BodyText"/>
      </w:pPr>
      <w:r>
        <w:rPr>
          <w:i/>
          <w:iCs/>
        </w:rPr>
        <w:t xml:space="preserve">犹太人并非集体负有耶稣之死的责任</w:t>
      </w:r>
    </w:p>
    <w:p>
      <w:pPr>
        <w:pStyle w:val="BodyText"/>
      </w:pPr>
      <w:r>
        <w:t xml:space="preserve">从福音记载可见，耶稣受审的历史背景十分复杂。参与者（犹大、公会、彼拉多）的个人罪过只有神知道。因此，尽管有被操纵的群众的呼喊，以及使徒们在五旬节后呼吁悔改时的全面谴责，</w:t>
      </w:r>
      <w:r>
        <w:rPr>
          <w:rStyle w:val="FootnoteReference"/>
        </w:rPr>
        <w:footnoteReference w:id="1058"/>
      </w:r>
      <w:r>
        <w:t xml:space="preserve">我们仍不能将审判的责任归咎于整个耶路撒冷的犹太人。耶稣自己在十字架上宽恕他们，彼得也跟随效法，都接受耶路撒冷的犹太人甚至他们的领袖是出于「无知」。</w:t>
      </w:r>
      <w:r>
        <w:rPr>
          <w:rStyle w:val="FootnoteReference"/>
        </w:rPr>
        <w:footnoteReference w:id="1059"/>
      </w:r>
      <w:r>
        <w:t xml:space="preserve">我们更不能仅凭群众的呼喊：「愿他的血归到我们和我们的子孙身上！」（这是一个确认司法判决的惯用语），就将责任延伸到其他时代和地区的犹太人身上。</w:t>
      </w:r>
      <w:r>
        <w:rPr>
          <w:rStyle w:val="FootnoteReference"/>
        </w:rPr>
        <w:footnoteReference w:id="1060"/>
      </w:r>
      <w:r>
        <w:t xml:space="preserve">正如教会在梵蒂冈第二届大公会议上宣称的：</w:t>
      </w:r>
    </w:p>
    <w:p>
      <w:pPr>
        <w:pStyle w:val="BodyText"/>
      </w:pPr>
      <w:r>
        <w:t xml:space="preserve">「…无论当时所有的犹太人，或今日的犹太人，都不能一概指责为耶稣受难时所犯的罪行负责。…不可说犹太人遭神遗弃或诅咒，仿佛这是从圣经中推论出来的。」</w:t>
      </w:r>
      <w:r>
        <w:rPr>
          <w:rStyle w:val="FootnoteReference"/>
        </w:rPr>
        <w:footnoteReference w:id="1061"/>
      </w:r>
    </w:p>
    <w:p>
      <w:pPr>
        <w:pStyle w:val="BodyText"/>
      </w:pPr>
      <w:r>
        <w:rPr>
          <w:i/>
          <w:iCs/>
        </w:rPr>
        <w:t xml:space="preserve">众罪人都是基督苦难的始作俑者</w:t>
      </w:r>
    </w:p>
    <w:p>
      <w:pPr>
        <w:pStyle w:val="BodyText"/>
      </w:pPr>
      <w:r>
        <w:t xml:space="preserve">教会在其训导和圣人的见证中，从未忘记「罪人是救赎主所受一切苦难的始作俑者和执行者」。</w:t>
      </w:r>
      <w:r>
        <w:rPr>
          <w:rStyle w:val="FootnoteReference"/>
        </w:rPr>
        <w:footnoteReference w:id="1062"/>
      </w:r>
      <w:r>
        <w:t xml:space="preserve">考虑到我们的罪过影响基督自己，</w:t>
      </w:r>
      <w:r>
        <w:rPr>
          <w:rStyle w:val="FootnoteReference"/>
        </w:rPr>
        <w:footnoteReference w:id="1063"/>
      </w:r>
      <w:r>
        <w:t xml:space="preserve">教会毫不犹豫地将加诸耶稣的酷刑的最大责任归咎于基督徒，而这一责任却常常单单加在犹太人身上：</w:t>
      </w:r>
    </w:p>
    <w:p>
      <w:pPr>
        <w:pStyle w:val="BodyText"/>
      </w:pPr>
      <w:r>
        <w:t xml:space="preserve">「我们必须将所有那些继续陷于罪恶的人视为有罪。既然我们的罪使主基督遭受了十字架的酷刑，那些沉溺于罪恶与不法的人，就是在他们的心中（因为他在那里）重新钉死神的儿子，并将他示众。可见在这件事上，我们的罪行比犹太人更大。据使徒的见证，就犹太人而言，『这世上的君王一个也不知道，他们若知道，就不会把荣耀的主钉在十字架上了。』然而我们却宣称认识他。当我们以行为否认他时，我们在某种程度上似乎在对他施以暴力。」</w:t>
      </w:r>
      <w:r>
        <w:rPr>
          <w:rStyle w:val="FootnoteReference"/>
        </w:rPr>
        <w:footnoteReference w:id="1064"/>
      </w:r>
    </w:p>
    <w:p>
      <w:pPr>
        <w:pStyle w:val="BodyText"/>
      </w:pPr>
      <w:r>
        <w:t xml:space="preserve">「魔鬼没有把他钉在十字架上，而是你，当你在恶习和罪恶中自娱时，你仍在钉他十字架。」</w:t>
      </w:r>
      <w:r>
        <w:rPr>
          <w:rStyle w:val="FootnoteReference"/>
        </w:rPr>
        <w:footnoteReference w:id="1065"/>
      </w:r>
    </w:p>
    <w:bookmarkEnd w:id="1066"/>
    <w:bookmarkStart w:id="1087" w:name="二基督的救赎之死在神救恩计划中"/>
    <w:p>
      <w:pPr>
        <w:pStyle w:val="Heading6"/>
      </w:pPr>
      <w:r>
        <w:t xml:space="preserve">二、基督的救赎之死在神救恩计划中</w:t>
      </w:r>
    </w:p>
    <w:p>
      <w:pPr>
        <w:pStyle w:val="FirstParagraph"/>
      </w:pPr>
      <w:r>
        <w:rPr>
          <w:i/>
          <w:iCs/>
        </w:rPr>
        <w:t xml:space="preserve">「耶稣照神的旨意被交与人」</w:t>
      </w:r>
    </w:p>
    <w:p>
      <w:pPr>
        <w:pStyle w:val="BodyText"/>
      </w:pPr>
      <w:r>
        <w:t xml:space="preserve">耶稣的惨死并非偶然或不幸的巧合，而是神计划的奥秘的一部分，正如圣彼得在五旬节第一次向耶路撒冷的犹太人讲道时所解释的：「他既按着神的定旨先见被交与人，你们就藉着无法之人的手，把他钉在十字架上，杀了。」</w:t>
      </w:r>
      <w:r>
        <w:rPr>
          <w:rStyle w:val="FootnoteReference"/>
        </w:rPr>
        <w:footnoteReference w:id="1067"/>
      </w:r>
      <w:r>
        <w:t xml:space="preserve">这种圣经语言并不意味着那些将他交出的人只是神预先写好的剧本中被动的演员。</w:t>
      </w:r>
      <w:r>
        <w:rPr>
          <w:rStyle w:val="FootnoteReference"/>
        </w:rPr>
        <w:footnoteReference w:id="1068"/>
      </w:r>
    </w:p>
    <w:p>
      <w:pPr>
        <w:pStyle w:val="BodyText"/>
      </w:pPr>
      <w:r>
        <w:t xml:space="preserve">对神来说，所有时间的瞬间都是当下。因此，当他制定他永恒的「预定」计划时，其中包括每个人对他恩典的自由回应：「希律和本丢彼拉多，外邦人和以色列民，果然在这城里聚集，要攻打你所膏的圣仆耶稣，成就你手和你意旨所预定必有的事。」</w:t>
      </w:r>
      <w:r>
        <w:rPr>
          <w:rStyle w:val="FootnoteReference"/>
        </w:rPr>
        <w:footnoteReference w:id="1069"/>
      </w:r>
      <w:r>
        <w:t xml:space="preserve">为了成就他的救恩计划，神允许那些源于人的盲目的行为。</w:t>
      </w:r>
      <w:r>
        <w:rPr>
          <w:rStyle w:val="FootnoteReference"/>
        </w:rPr>
        <w:footnoteReference w:id="1070"/>
      </w:r>
    </w:p>
    <w:p>
      <w:pPr>
        <w:pStyle w:val="BodyText"/>
      </w:pPr>
      <w:r>
        <w:rPr>
          <w:i/>
          <w:iCs/>
        </w:rPr>
        <w:t xml:space="preserve">「他照圣经所说，为我们的罪死了」</w:t>
      </w:r>
    </w:p>
    <w:p>
      <w:pPr>
        <w:pStyle w:val="BodyText"/>
      </w:pPr>
      <w:r>
        <w:t xml:space="preserve">圣经曾预言这神的救恩计划，就是要将「我的仆人，那义者」置于死地，作为普世救赎的奥秘，即作为将人从罪的奴役中解放的赎价。</w:t>
      </w:r>
      <w:r>
        <w:rPr>
          <w:rStyle w:val="FootnoteReference"/>
        </w:rPr>
        <w:footnoteReference w:id="1071"/>
      </w:r>
      <w:r>
        <w:t xml:space="preserve">圣保罗引用他自己「领受」的信仰宣言，宣称「基督照圣经所说，为我们的罪死了」。</w:t>
      </w:r>
      <w:r>
        <w:rPr>
          <w:rStyle w:val="FootnoteReference"/>
        </w:rPr>
        <w:footnoteReference w:id="1072"/>
      </w:r>
      <w:r>
        <w:t xml:space="preserve">特别是耶稣的救赎之死应验了以赛亚有关受苦仆人的预言。</w:t>
      </w:r>
      <w:r>
        <w:rPr>
          <w:rStyle w:val="FootnoteReference"/>
        </w:rPr>
        <w:footnoteReference w:id="1073"/>
      </w:r>
      <w:r>
        <w:t xml:space="preserve">事实上，耶稣自己也曾根据神受苦的仆人来解释他生命和死亡的意义。</w:t>
      </w:r>
      <w:r>
        <w:rPr>
          <w:rStyle w:val="FootnoteReference"/>
        </w:rPr>
        <w:footnoteReference w:id="1074"/>
      </w:r>
      <w:r>
        <w:t xml:space="preserve">复活后，他将这种对圣经的解释传授给在以马忤斯的门徒，然后又传授给使徒们。</w:t>
      </w:r>
      <w:r>
        <w:rPr>
          <w:rStyle w:val="FootnoteReference"/>
        </w:rPr>
        <w:footnoteReference w:id="1075"/>
      </w:r>
    </w:p>
    <w:p>
      <w:pPr>
        <w:pStyle w:val="BodyText"/>
      </w:pPr>
      <w:r>
        <w:rPr>
          <w:i/>
          <w:iCs/>
        </w:rPr>
        <w:t xml:space="preserve">「神使那无罪的，替我们成为罪」</w:t>
      </w:r>
    </w:p>
    <w:p>
      <w:pPr>
        <w:pStyle w:val="BodyText"/>
      </w:pPr>
      <w:r>
        <w:t xml:space="preserve">因此，圣彼得可以用这种方式表达使徒们对神的救恩计划的信仰：「知道你们得赎，脱去你们祖宗所传流虚妄的行为，不是凭着能坏的金银等物，乃是凭着基督的宝血，如同无瑕疵、无玷污的羔羊之血。基督在创世以前是预先被神知道的，却在这末世才为你们显现。」</w:t>
      </w:r>
      <w:r>
        <w:rPr>
          <w:rStyle w:val="FootnoteReference"/>
        </w:rPr>
        <w:footnoteReference w:id="1076"/>
      </w:r>
      <w:r>
        <w:t xml:space="preserve">人的罪，承继自原罪，应当受死的惩罚。</w:t>
      </w:r>
      <w:r>
        <w:rPr>
          <w:rStyle w:val="FootnoteReference"/>
        </w:rPr>
        <w:footnoteReference w:id="1077"/>
      </w:r>
      <w:r>
        <w:t xml:space="preserve">神差遣自己的儿子，取了奴仆的形像，有了堕落人性的形状，为了罪的缘故，神「使那无罪的替我们成为罪，好叫我们在他里面成为神的义」。</w:t>
      </w:r>
      <w:r>
        <w:rPr>
          <w:rStyle w:val="FootnoteReference"/>
        </w:rPr>
        <w:footnoteReference w:id="1078"/>
      </w:r>
    </w:p>
    <w:p>
      <w:pPr>
        <w:pStyle w:val="BodyText"/>
      </w:pPr>
      <w:r>
        <w:t xml:space="preserve">耶稣并没有经历仿佛他自己犯了罪的弃绝。</w:t>
      </w:r>
      <w:r>
        <w:rPr>
          <w:rStyle w:val="FootnoteReference"/>
        </w:rPr>
        <w:footnoteReference w:id="1079"/>
      </w:r>
      <w:r>
        <w:t xml:space="preserve">但在那使他常与父联合的救赎之爱中，他担当了我们在罪中迷失的处境，以致他能以我们的名义从十字架上呼喊：「我的神，我的神，为什么离弃我？」</w:t>
      </w:r>
      <w:r>
        <w:rPr>
          <w:rStyle w:val="FootnoteReference"/>
        </w:rPr>
        <w:footnoteReference w:id="1080"/>
      </w:r>
      <w:r>
        <w:t xml:space="preserve">神既如此使他与我们罪人连结在一起，就「连自己的儿子也不爱惜，为我们众人舍了」，使我们「借着神儿子的死得与神和好」。</w:t>
      </w:r>
      <w:r>
        <w:rPr>
          <w:rStyle w:val="FootnoteReference"/>
        </w:rPr>
        <w:footnoteReference w:id="1081"/>
      </w:r>
    </w:p>
    <w:p>
      <w:pPr>
        <w:pStyle w:val="BodyText"/>
      </w:pPr>
      <w:r>
        <w:rPr>
          <w:i/>
          <w:iCs/>
        </w:rPr>
        <w:t xml:space="preserve">神主动施行普世救赎之爱</w:t>
      </w:r>
    </w:p>
    <w:p>
      <w:pPr>
        <w:pStyle w:val="BodyText"/>
      </w:pPr>
      <w:r>
        <w:t xml:space="preserve">神为我们的罪舍弃自己的儿子，显明他对我们的计划是出于慈爱，先于我们的任何功劳：「不是我们爱神，乃是神爱我们，差他的儿子为我们的罪作了挽回祭，这就是爱了。」</w:t>
      </w:r>
      <w:r>
        <w:rPr>
          <w:rStyle w:val="FootnoteReference"/>
        </w:rPr>
        <w:footnoteReference w:id="1082"/>
      </w:r>
      <w:r>
        <w:t xml:space="preserve">「惟有基督在我们还作罪人的时候为我们死，神的爱就在此向我们显明了。」</w:t>
      </w:r>
      <w:r>
        <w:rPr>
          <w:rStyle w:val="FootnoteReference"/>
        </w:rPr>
        <w:footnoteReference w:id="1083"/>
      </w:r>
    </w:p>
    <w:p>
      <w:pPr>
        <w:pStyle w:val="BodyText"/>
      </w:pPr>
      <w:r>
        <w:t xml:space="preserve">在迷羊的比喻结尾，耶稣重申神的爱不排除任何人：「你们在天上的父也是这样，不愿意这小子里失丧一个。」</w:t>
      </w:r>
      <w:r>
        <w:rPr>
          <w:rStyle w:val="FootnoteReference"/>
        </w:rPr>
        <w:footnoteReference w:id="1084"/>
      </w:r>
      <w:r>
        <w:t xml:space="preserve">他确认自己来是要「舍命作多人的赎价」；「多人」一词在此并非限制，而是将全人类与那为拯救我们而舍己的救赎者的位格对比。</w:t>
      </w:r>
      <w:r>
        <w:rPr>
          <w:rStyle w:val="FootnoteReference"/>
        </w:rPr>
        <w:footnoteReference w:id="1085"/>
      </w:r>
      <w:r>
        <w:t xml:space="preserve">教会跟随使徒的教导，宣讲基督毫无例外地为所有人死：「没有一个人，过去、现在和将来都没有一个人，是基督没有为他受苦的。」</w:t>
      </w:r>
      <w:r>
        <w:rPr>
          <w:rStyle w:val="FootnoteReference"/>
        </w:rPr>
        <w:footnoteReference w:id="1086"/>
      </w:r>
    </w:p>
    <w:bookmarkEnd w:id="1087"/>
    <w:bookmarkStart w:id="1125" w:name="三基督为我们的罪把自己奉献给父"/>
    <w:p>
      <w:pPr>
        <w:pStyle w:val="Heading6"/>
      </w:pPr>
      <w:r>
        <w:t xml:space="preserve">三、基督为我们的罪把自己奉献给父</w:t>
      </w:r>
    </w:p>
    <w:p>
      <w:pPr>
        <w:pStyle w:val="FirstParagraph"/>
      </w:pPr>
      <w:r>
        <w:rPr>
          <w:i/>
          <w:iCs/>
        </w:rPr>
        <w:t xml:space="preserve">基督的整个生命都是对父的奉献</w:t>
      </w:r>
    </w:p>
    <w:p>
      <w:pPr>
        <w:pStyle w:val="BodyText"/>
      </w:pPr>
      <w:r>
        <w:t xml:space="preserve">神的儿子「从天降下，不是要按自己的意思行，乃是要按那差他来者的意思行」，他来到世间时说：「神啊，我来了，是要照你的旨意行。」「我们凭这旨意，靠耶稣基督，只一次献上他的身体，就得以成圣。」从道成肉身的第一刻起，圣子就在他的救赎使命中接受了父的救恩计划：「我的食物就是遵行差我来者的旨意，做成他的工。」耶稣「为普世的罪」所作的牺牲表达了他与父的爱的契合。主说：「父的爱我，因为我将命舍去」，「我照父所吩咐的去行，叫世人知道我爱父。」</w:t>
      </w:r>
    </w:p>
    <w:p>
      <w:pPr>
        <w:pStyle w:val="BodyText"/>
      </w:pPr>
      <w:r>
        <w:t xml:space="preserve">渴望承行父救赎之爱的计划感动了耶稣的整个生命，因为他救赎的苦难正是他道成肉身的原因。因此他问道：「我说什么才好呢？父啊，救我脱离这时候，但我原是为这时候来的。」他又说：「父给我的那杯，我岂可不喝呢？」在十字架上，就在「成了」之前，他说：「我渴了。」</w:t>
      </w:r>
    </w:p>
    <w:p>
      <w:pPr>
        <w:pStyle w:val="BodyText"/>
      </w:pPr>
      <w:r>
        <w:rPr>
          <w:i/>
          <w:iCs/>
        </w:rPr>
        <w:t xml:space="preserve">「除去世人罪孽的羔羊」</w:t>
      </w:r>
    </w:p>
    <w:p>
      <w:pPr>
        <w:pStyle w:val="BodyText"/>
      </w:pPr>
      <w:r>
        <w:t xml:space="preserve">施洗约翰同意与罪人一同给他施洗之后，注视着耶稣，指着他说：「看哪，神的羔羊，除去世人罪孽的！」</w:t>
      </w:r>
      <w:r>
        <w:rPr>
          <w:rStyle w:val="FootnoteReference"/>
        </w:rPr>
        <w:footnoteReference w:id="1088"/>
      </w:r>
      <w:r>
        <w:t xml:space="preserve">这样，他揭示了耶稣就是那默默被牵去宰杀、担当众人罪孽的受苦仆人，也是逾越节的羔羊，以色列在第一次逾越节中得救赎的象征。</w:t>
      </w:r>
      <w:r>
        <w:rPr>
          <w:rStyle w:val="FootnoteReference"/>
        </w:rPr>
        <w:footnoteReference w:id="1089"/>
      </w:r>
      <w:r>
        <w:t xml:space="preserve">基督的一生表达了他的使命：「因为人子来，不是要受人的服事，乃是要服事人，并且要舍命，作多人的赎价。」</w:t>
      </w:r>
      <w:r>
        <w:rPr>
          <w:rStyle w:val="FootnoteReference"/>
        </w:rPr>
        <w:footnoteReference w:id="1090"/>
      </w:r>
    </w:p>
    <w:p>
      <w:pPr>
        <w:pStyle w:val="BodyText"/>
      </w:pPr>
      <w:r>
        <w:rPr>
          <w:i/>
          <w:iCs/>
        </w:rPr>
        <w:t xml:space="preserve">耶稣自由地接纳了父救赎的爱</w:t>
      </w:r>
    </w:p>
    <w:p>
      <w:pPr>
        <w:pStyle w:val="BodyText"/>
      </w:pPr>
      <w:r>
        <w:t xml:space="preserve">耶稣以他人性之心接纳了父对人的爱，「爱他们到底」，因为「人为朋友舍命，人的爱心没有比这个大的」。</w:t>
      </w:r>
      <w:r>
        <w:rPr>
          <w:rStyle w:val="FootnoteReference"/>
        </w:rPr>
        <w:footnoteReference w:id="1091"/>
      </w:r>
      <w:r>
        <w:t xml:space="preserve">在苦难和死亡中，他的人性成了他渴望拯救世人的神性之爱的自由而完美的工具。</w:t>
      </w:r>
      <w:r>
        <w:rPr>
          <w:rStyle w:val="FootnoteReference"/>
        </w:rPr>
        <w:footnoteReference w:id="1092"/>
      </w:r>
      <w:r>
        <w:t xml:space="preserve">的确，出于对父和父所愿拯救的人的爱，耶稣自由地接受了他的苦难和死亡：「没有人夺我的命去，是我自己舍的」。</w:t>
      </w:r>
      <w:r>
        <w:rPr>
          <w:rStyle w:val="FootnoteReference"/>
        </w:rPr>
        <w:footnoteReference w:id="1093"/>
      </w:r>
      <w:r>
        <w:t xml:space="preserve">因此，神子在走向死亡时有至高的自由。</w:t>
      </w:r>
      <w:r>
        <w:rPr>
          <w:rStyle w:val="FootnoteReference"/>
        </w:rPr>
        <w:footnoteReference w:id="1094"/>
      </w:r>
    </w:p>
    <w:p>
      <w:pPr>
        <w:pStyle w:val="BodyText"/>
      </w:pPr>
      <w:r>
        <w:rPr>
          <w:i/>
          <w:iCs/>
        </w:rPr>
        <w:t xml:space="preserve">耶稣在最后晚餐中预演自己的生命的自由奉献</w:t>
      </w:r>
    </w:p>
    <w:p>
      <w:pPr>
        <w:pStyle w:val="BodyText"/>
      </w:pPr>
      <w:r>
        <w:t xml:space="preserve">耶稣在「被卖的那一夜」与十二使徒共进的晚餐中，给了他自由奉献自己的至高表达。</w:t>
      </w:r>
      <w:r>
        <w:rPr>
          <w:rStyle w:val="FootnoteReference"/>
        </w:rPr>
        <w:footnoteReference w:id="1095"/>
      </w:r>
      <w:r>
        <w:t xml:space="preserve">在受难前夕，当他仍然自由时，耶稣将这与使徒的最后晚餐变成了他为拯救人类而自愿献给父的纪念：「这是我的身体，为你们舍的」，「这是我立约的血，为多人流出来，使罪得赦」。</w:t>
      </w:r>
      <w:r>
        <w:rPr>
          <w:rStyle w:val="FootnoteReference"/>
        </w:rPr>
        <w:footnoteReference w:id="1096"/>
      </w:r>
    </w:p>
    <w:p>
      <w:pPr>
        <w:pStyle w:val="BodyText"/>
      </w:pPr>
      <w:r>
        <w:t xml:space="preserve">基督在那时建立的圣餐，将成为他牺牲的纪念。</w:t>
      </w:r>
      <w:r>
        <w:rPr>
          <w:rStyle w:val="FootnoteReference"/>
        </w:rPr>
        <w:footnoteReference w:id="1097"/>
      </w:r>
      <w:r>
        <w:t xml:space="preserve">耶稣将使徒包括在自己的奉献中，并吩咐他们延续此事。</w:t>
      </w:r>
      <w:r>
        <w:rPr>
          <w:rStyle w:val="FootnoteReference"/>
        </w:rPr>
        <w:footnoteReference w:id="1098"/>
      </w:r>
      <w:r>
        <w:t xml:space="preserve">如此行，主立了他的使徒为新约的司祭：「我为他们的缘故，自己分别为圣，叫他们也因真理成圣」。</w:t>
      </w:r>
      <w:r>
        <w:rPr>
          <w:rStyle w:val="FootnoteReference"/>
        </w:rPr>
        <w:footnoteReference w:id="1099"/>
      </w:r>
    </w:p>
    <w:p>
      <w:pPr>
        <w:pStyle w:val="BodyText"/>
      </w:pPr>
      <w:r>
        <w:rPr>
          <w:i/>
          <w:iCs/>
        </w:rPr>
        <w:t xml:space="preserve">客西马尼园的苦斗</w:t>
      </w:r>
    </w:p>
    <w:p>
      <w:pPr>
        <w:pStyle w:val="BodyText"/>
      </w:pPr>
      <w:r>
        <w:t xml:space="preserve">在最后晚餐中，耶稣预先奉献自己时所预示的新约之杯，后来在客西马尼园苦斗中，他从父的手中接受了，</w:t>
      </w:r>
      <w:r>
        <w:rPr>
          <w:rStyle w:val="FootnoteReference"/>
        </w:rPr>
        <w:footnoteReference w:id="1100"/>
      </w:r>
      <w:r>
        <w:t xml:space="preserve">使自己「顺服至死」。耶稣祈祷说：「我父，倘若可行，求你叫这杯离开我…」。</w:t>
      </w:r>
      <w:r>
        <w:rPr>
          <w:rStyle w:val="FootnoteReference"/>
        </w:rPr>
        <w:footnoteReference w:id="1101"/>
      </w:r>
      <w:r>
        <w:t xml:space="preserve">如此，他表达了他人性面对死亡的恐惧。他的人性和我们一样，注定要永生；但有别于我们的是，他完全没有罪，即死亡的根源。</w:t>
      </w:r>
      <w:r>
        <w:rPr>
          <w:rStyle w:val="FootnoteReference"/>
        </w:rPr>
        <w:footnoteReference w:id="1102"/>
      </w:r>
      <w:r>
        <w:t xml:space="preserve">最重要的是，他的人性被「生命的创造主」，「永生者」的位格所取。</w:t>
      </w:r>
      <w:r>
        <w:rPr>
          <w:rStyle w:val="FootnoteReference"/>
        </w:rPr>
        <w:footnoteReference w:id="1103"/>
      </w:r>
      <w:r>
        <w:t xml:space="preserve">他以人性的意志接受父的旨意，接受自己救赎性的死亡，因为「他被挂在木头上，亲身担当了我们的罪」。</w:t>
      </w:r>
      <w:r>
        <w:rPr>
          <w:rStyle w:val="FootnoteReference"/>
        </w:rPr>
        <w:footnoteReference w:id="1104"/>
      </w:r>
    </w:p>
    <w:p>
      <w:pPr>
        <w:pStyle w:val="BodyText"/>
      </w:pPr>
      <w:r>
        <w:rPr>
          <w:i/>
          <w:iCs/>
        </w:rPr>
        <w:t xml:space="preserve">基督的死是独一无二且决定性的祭献</w:t>
      </w:r>
    </w:p>
    <w:p>
      <w:pPr>
        <w:pStyle w:val="BodyText"/>
      </w:pPr>
      <w:r>
        <w:t xml:space="preserve">基督的死亡既是</w:t>
      </w:r>
      <w:r>
        <w:rPr>
          <w:i/>
          <w:iCs/>
        </w:rPr>
        <w:t xml:space="preserve">逾越节的祭献</w:t>
      </w:r>
      <w:r>
        <w:t xml:space="preserve">，藉着「神的羔羊，除去世人罪孽的」</w:t>
      </w:r>
      <w:r>
        <w:rPr>
          <w:rStyle w:val="FootnoteReference"/>
        </w:rPr>
        <w:footnoteReference w:id="1105"/>
      </w:r>
      <w:r>
        <w:t xml:space="preserve">完成人的最终救赎，也是</w:t>
      </w:r>
      <w:r>
        <w:rPr>
          <w:i/>
          <w:iCs/>
        </w:rPr>
        <w:t xml:space="preserve">新约的祭献</w:t>
      </w:r>
      <w:r>
        <w:t xml:space="preserve">，藉着「为多人流出来，使罪得赦的约血」，</w:t>
      </w:r>
      <w:r>
        <w:rPr>
          <w:rStyle w:val="FootnoteReference"/>
        </w:rPr>
        <w:footnoteReference w:id="1106"/>
      </w:r>
      <w:r>
        <w:t xml:space="preserve">使人与神和好，恢复与神的共融。</w:t>
      </w:r>
    </w:p>
    <w:p>
      <w:pPr>
        <w:pStyle w:val="BodyText"/>
      </w:pPr>
      <w:r>
        <w:t xml:space="preserve">基督的这一祭献是独特的，它完成并超越所有其他的祭献。</w:t>
      </w:r>
      <w:r>
        <w:rPr>
          <w:rStyle w:val="FootnoteReference"/>
        </w:rPr>
        <w:footnoteReference w:id="1107"/>
      </w:r>
      <w:r>
        <w:t xml:space="preserve">首先，它是父神自己的恩赐，因为父将自己的儿子交付给罪人，为使我们与他和好。同时，这也是降生成人的神的儿子的奉献，他以自由和爱，藉着圣灵，将自己的生命献给父，以补赎我们的悖逆。</w:t>
      </w:r>
      <w:r>
        <w:rPr>
          <w:rStyle w:val="FootnoteReference"/>
        </w:rPr>
        <w:footnoteReference w:id="1108"/>
      </w:r>
    </w:p>
    <w:p>
      <w:pPr>
        <w:pStyle w:val="BodyText"/>
      </w:pPr>
      <w:r>
        <w:rPr>
          <w:i/>
          <w:iCs/>
        </w:rPr>
        <w:t xml:space="preserve">耶稣以自己的顺服代替我们的悖逆</w:t>
      </w:r>
    </w:p>
    <w:p>
      <w:pPr>
        <w:pStyle w:val="BodyText"/>
      </w:pPr>
      <w:r>
        <w:t xml:space="preserve">「因一人的悖逆，众人成为罪人；照样，因一人的顺从，众人也成为义了。」</w:t>
      </w:r>
      <w:r>
        <w:rPr>
          <w:rStyle w:val="FootnoteReference"/>
        </w:rPr>
        <w:footnoteReference w:id="1109"/>
      </w:r>
      <w:r>
        <w:t xml:space="preserve">耶稣以他至死的顺从，完成了受苦仆人的替代，「他献本身作</w:t>
      </w:r>
      <w:r>
        <w:rPr>
          <w:i/>
          <w:iCs/>
        </w:rPr>
        <w:t xml:space="preserve">赎罪祭</w:t>
      </w:r>
      <w:r>
        <w:t xml:space="preserve">」，「他担当多人的罪」，「他却要使多人成义」，因为「他要担当他们的罪孽」。</w:t>
      </w:r>
      <w:r>
        <w:rPr>
          <w:rStyle w:val="FootnoteReference"/>
        </w:rPr>
        <w:footnoteReference w:id="1110"/>
      </w:r>
      <w:r>
        <w:t xml:space="preserve">耶稣赎了我们的过犯，为我们的罪向父作了补赎。</w:t>
      </w:r>
      <w:r>
        <w:rPr>
          <w:rStyle w:val="FootnoteReference"/>
        </w:rPr>
        <w:footnoteReference w:id="1111"/>
      </w:r>
    </w:p>
    <w:p>
      <w:pPr>
        <w:pStyle w:val="BodyText"/>
      </w:pPr>
      <w:r>
        <w:rPr>
          <w:i/>
          <w:iCs/>
        </w:rPr>
        <w:t xml:space="preserve">耶稣在十字架上完成他的祭献</w:t>
      </w:r>
    </w:p>
    <w:p>
      <w:pPr>
        <w:pStyle w:val="BodyText"/>
      </w:pPr>
      <w:r>
        <w:t xml:space="preserve">正是这「爱到底」</w:t>
      </w:r>
      <w:r>
        <w:rPr>
          <w:rStyle w:val="FootnoteReference"/>
        </w:rPr>
        <w:footnoteReference w:id="1112"/>
      </w:r>
      <w:r>
        <w:t xml:space="preserve">赋予基督的牺牲以救赎、补赎、赎罪和补偿的价值。他在奉献自己的生命时，认识并爱了我们众人。</w:t>
      </w:r>
      <w:r>
        <w:rPr>
          <w:rStyle w:val="FootnoteReference"/>
        </w:rPr>
        <w:footnoteReference w:id="1113"/>
      </w:r>
      <w:r>
        <w:t xml:space="preserve">现在「基督的爱激励我们，因我们断定：一人既替众人死，众人就都死了。」</w:t>
      </w:r>
      <w:r>
        <w:rPr>
          <w:rStyle w:val="FootnoteReference"/>
        </w:rPr>
        <w:footnoteReference w:id="1114"/>
      </w:r>
      <w:r>
        <w:t xml:space="preserve">没有人，即使是最圣洁的人，曾能担当所有人的罪，并为所有人献上自己为祭。唯有在基督里，圣子的神性位格同时超越并涵盖所有人性位格，并立自己为全人类的元首，才使他为众人所作的救赎牺牲成为可能。</w:t>
      </w:r>
    </w:p>
    <w:p>
      <w:pPr>
        <w:pStyle w:val="BodyText"/>
      </w:pPr>
      <w:r>
        <w:t xml:space="preserve">特利腾会议强调基督牺牲的独特性，称之为「永恒救恩的源头」，</w:t>
      </w:r>
      <w:r>
        <w:rPr>
          <w:rStyle w:val="FootnoteReference"/>
        </w:rPr>
        <w:footnoteReference w:id="1115"/>
      </w:r>
      <w:r>
        <w:t xml:space="preserve">并教导说：「他在十字架木头上至圣的苦难为我们赚得了称义。」</w:t>
      </w:r>
      <w:r>
        <w:rPr>
          <w:rStyle w:val="FootnoteReference"/>
        </w:rPr>
        <w:footnoteReference w:id="1116"/>
      </w:r>
      <w:r>
        <w:t xml:space="preserve">教会也在圣咏中欢呼十字架：「万福，十字架，我们唯一的希望。」</w:t>
      </w:r>
      <w:r>
        <w:rPr>
          <w:rStyle w:val="FootnoteReference"/>
        </w:rPr>
        <w:footnoteReference w:id="1117"/>
      </w:r>
    </w:p>
    <w:p>
      <w:pPr>
        <w:pStyle w:val="BodyText"/>
      </w:pPr>
      <w:r>
        <w:rPr>
          <w:i/>
          <w:iCs/>
        </w:rPr>
        <w:t xml:space="preserve">我们参与基督的祭献</w:t>
      </w:r>
    </w:p>
    <w:p>
      <w:pPr>
        <w:pStyle w:val="BodyText"/>
      </w:pPr>
      <w:r>
        <w:t xml:space="preserve">十字架是基督独特的祭献，他是「神和人中间的唯一中保」。</w:t>
      </w:r>
      <w:r>
        <w:rPr>
          <w:rStyle w:val="FootnoteReference"/>
        </w:rPr>
        <w:footnoteReference w:id="1118"/>
      </w:r>
      <w:r>
        <w:t xml:space="preserve">但因为在他道成肉身的位格里，他以某种方式与每一个人结合，所以「以神所知道的方式，与逾越奥秘相结合的可能性」向所有人开放。</w:t>
      </w:r>
      <w:r>
        <w:rPr>
          <w:rStyle w:val="FootnoteReference"/>
        </w:rPr>
        <w:footnoteReference w:id="1119"/>
      </w:r>
      <w:r>
        <w:t xml:space="preserve">他呼吁门徒「背起自己的十字架来跟从他」，</w:t>
      </w:r>
      <w:r>
        <w:rPr>
          <w:rStyle w:val="FootnoteReference"/>
        </w:rPr>
        <w:footnoteReference w:id="1120"/>
      </w:r>
      <w:r>
        <w:t xml:space="preserve">因为「基督也为你们受过苦，给你们留下榜样，叫你们跟随他的脚踪行」。</w:t>
      </w:r>
      <w:r>
        <w:rPr>
          <w:rStyle w:val="FootnoteReference"/>
        </w:rPr>
        <w:footnoteReference w:id="1121"/>
      </w:r>
      <w:r>
        <w:t xml:space="preserve">事实上，耶稣渴望将那些首先蒙受他救赎祭献恩泽的人与他的救赎祭献联系在一起。</w:t>
      </w:r>
      <w:r>
        <w:rPr>
          <w:rStyle w:val="FootnoteReference"/>
        </w:rPr>
        <w:footnoteReference w:id="1122"/>
      </w:r>
      <w:r>
        <w:t xml:space="preserve">在他母亲身上这一点达到了极致，她比任何人都更亲密地与他救赎苦难的奥秘结合在一起。</w:t>
      </w:r>
      <w:r>
        <w:rPr>
          <w:rStyle w:val="FootnoteReference"/>
        </w:rPr>
        <w:footnoteReference w:id="1123"/>
      </w:r>
    </w:p>
    <w:p>
      <w:pPr>
        <w:pStyle w:val="BodyText"/>
      </w:pPr>
      <w:r>
        <w:t xml:space="preserve">除了十字架，没有其他梯子能使我们到达天堂。</w:t>
      </w:r>
      <w:r>
        <w:rPr>
          <w:rStyle w:val="FootnoteReference"/>
        </w:rPr>
        <w:footnoteReference w:id="1124"/>
      </w:r>
    </w:p>
    <w:bookmarkEnd w:id="1125"/>
    <w:bookmarkStart w:id="1126" w:name="综述-16"/>
    <w:p>
      <w:pPr>
        <w:pStyle w:val="Heading6"/>
      </w:pPr>
      <w:r>
        <w:t xml:space="preserve">综述</w:t>
      </w:r>
    </w:p>
    <w:p>
      <w:pPr>
        <w:pStyle w:val="FirstParagraph"/>
      </w:pPr>
      <w:r>
        <w:t xml:space="preserve">「基督照圣经所说，为我们的罪死了」（林前 15:3）。</w:t>
      </w:r>
    </w:p>
    <w:p>
      <w:pPr>
        <w:pStyle w:val="BodyText"/>
      </w:pPr>
      <w:r>
        <w:t xml:space="preserve">我们的救恩源于神主动的爱，因为「他爱我们，差他的儿子为我们的罪作了挽回祭」（约一 4:10）。「神在基督里叫世人与自己和好」（林后 5:19）。</w:t>
      </w:r>
    </w:p>
    <w:p>
      <w:pPr>
        <w:pStyle w:val="BodyText"/>
      </w:pPr>
      <w:r>
        <w:t xml:space="preserve">耶稣为我们的救恩自由地奉献了自己。在此之前，在最后晚餐时，他既象征性地表达了这一奉献，也使之真实临在：「这是我的身体，为你们舍的」（路 22:19）。</w:t>
      </w:r>
    </w:p>
    <w:p>
      <w:pPr>
        <w:pStyle w:val="BodyText"/>
      </w:pPr>
      <w:r>
        <w:t xml:space="preserve">基督所赢得的救赎在于，他来是「要舍命作多人的赎价」（太 20:28），也就是说，他「爱他们到底」（约 13:1），为使他们「从祖宗所传流虚妄的行为上得救赎」（彼前 1:18）。</w:t>
      </w:r>
    </w:p>
    <w:p>
      <w:pPr>
        <w:pStyle w:val="BodyText"/>
      </w:pPr>
      <w:r>
        <w:t xml:space="preserve">耶稣以他对父爱的顺服，「存心顺服，以至于死，且死在十字架上」（腓 2:8），完成了受苦仆人的赎罪使命（参赛 53:10），「他却要使多人成义，并且他要担当他们的罪孽」（赛 53:11；参罗 5:19）。</w:t>
      </w:r>
    </w:p>
    <w:p>
      <w:r>
        <w:br w:type="page"/>
      </w:r>
    </w:p>
    <w:bookmarkEnd w:id="1126"/>
    <w:bookmarkEnd w:id="1127"/>
    <w:bookmarkStart w:id="1149" w:name="第三段耶稣基督被埋葬"/>
    <w:p>
      <w:pPr>
        <w:pStyle w:val="Heading5"/>
      </w:pPr>
      <w:r>
        <w:t xml:space="preserve">第三段：耶稣基督被埋葬</w:t>
      </w:r>
    </w:p>
    <w:p>
      <w:pPr>
        <w:pStyle w:val="FirstParagraph"/>
      </w:pPr>
      <w:r>
        <w:t xml:space="preserve">「因他为人人尝了死味」。</w:t>
      </w:r>
      <w:r>
        <w:rPr>
          <w:rStyle w:val="FootnoteReference"/>
        </w:rPr>
        <w:footnoteReference w:id="1128"/>
      </w:r>
      <w:r>
        <w:t xml:space="preserve">在神的救恩计划中，神预定他的儿子不仅要「为我们的罪死了」，</w:t>
      </w:r>
      <w:r>
        <w:rPr>
          <w:rStyle w:val="FootnoteReference"/>
        </w:rPr>
        <w:footnoteReference w:id="1129"/>
      </w:r>
      <w:r>
        <w:t xml:space="preserve">而且要尝死味，经历死亡的境况，就是他的灵魂与身体分离，从他在十字架上断气到他从死里复活的时候。死了的基督的状态是坟墓和阴间的奥秘。这是圣周六的奥秘，当基督躺在坟墓里，</w:t>
      </w:r>
      <w:r>
        <w:rPr>
          <w:rStyle w:val="FootnoteReference"/>
        </w:rPr>
        <w:footnoteReference w:id="1130"/>
      </w:r>
      <w:r>
        <w:t xml:space="preserve">显明神完成人类救恩</w:t>
      </w:r>
      <w:r>
        <w:rPr>
          <w:rStyle w:val="FootnoteReference"/>
        </w:rPr>
        <w:footnoteReference w:id="1131"/>
      </w:r>
      <w:r>
        <w:t xml:space="preserve">后的安息大日，</w:t>
      </w:r>
      <w:r>
        <w:rPr>
          <w:rStyle w:val="FootnoteReference"/>
        </w:rPr>
        <w:footnoteReference w:id="1132"/>
      </w:r>
      <w:r>
        <w:t xml:space="preserve">使全宇宙都和好。</w:t>
      </w:r>
      <w:r>
        <w:rPr>
          <w:rStyle w:val="FootnoteReference"/>
        </w:rPr>
        <w:footnoteReference w:id="1133"/>
      </w:r>
    </w:p>
    <w:bookmarkStart w:id="1139" w:name="基督的身体在坟墓里"/>
    <w:p>
      <w:pPr>
        <w:pStyle w:val="Heading6"/>
      </w:pPr>
      <w:r>
        <w:t xml:space="preserve">基督的身体在坟墓里</w:t>
      </w:r>
    </w:p>
    <w:p>
      <w:pPr>
        <w:pStyle w:val="FirstParagraph"/>
      </w:pPr>
      <w:r>
        <w:t xml:space="preserve">基督在坟墓里的停留，构成了他复活前受苦的状态与他今日荣耀复活的状态之间真正的联系。同一位「永生者」可以说：「我曾死过，现在又活了，直活到永永远远。」</w:t>
      </w:r>
      <w:r>
        <w:rPr>
          <w:rStyle w:val="FootnoteReference"/>
        </w:rPr>
        <w:footnoteReference w:id="1134"/>
      </w:r>
    </w:p>
    <w:p>
      <w:pPr>
        <w:pStyle w:val="BodyText"/>
      </w:pPr>
      <w:r>
        <w:t xml:space="preserve">神〔子〕并没有阻止死亡按照自然必然的秩序将他的灵魂与身体分开，但在复活中使二者重新结合，</w:t>
      </w:r>
      <w:r>
        <w:rPr>
          <w:i/>
          <w:iCs/>
        </w:rPr>
        <w:t xml:space="preserve">使他自己在位格上成为死亡与生命的交汇点</w:t>
      </w:r>
      <w:r>
        <w:t xml:space="preserve">，在自己身上阻止了死亡所产生的自然腐朽，从而成为分离部分重新结合的源头。</w:t>
      </w:r>
      <w:r>
        <w:rPr>
          <w:rStyle w:val="FootnoteReference"/>
        </w:rPr>
        <w:footnoteReference w:id="1135"/>
      </w:r>
    </w:p>
    <w:p>
      <w:pPr>
        <w:pStyle w:val="BodyText"/>
      </w:pPr>
      <w:r>
        <w:t xml:space="preserve">既然被杀害的「生命的创始者」</w:t>
      </w:r>
      <w:r>
        <w:rPr>
          <w:rStyle w:val="FootnoteReference"/>
        </w:rPr>
        <w:footnoteReference w:id="1136"/>
      </w:r>
      <w:r>
        <w:t xml:space="preserve">就是那位「复活了的永生者」，</w:t>
      </w:r>
      <w:r>
        <w:rPr>
          <w:rStyle w:val="FootnoteReference"/>
        </w:rPr>
        <w:footnoteReference w:id="1137"/>
      </w:r>
      <w:r>
        <w:t xml:space="preserve">神子的位格必然继续拥有他的人性灵魂和身体，虽然二者因死亡而分离：</w:t>
      </w:r>
    </w:p>
    <w:p>
      <w:pPr>
        <w:pStyle w:val="BodyText"/>
      </w:pPr>
      <w:r>
        <w:t xml:space="preserve">基督死的时候，他的灵魂与肉身分离，但他的一个位格并没有分裂为两个位格；因为基督的人性身体和灵魂从他在世生存之初，就以同样的方式存在于道的位格之内；在死亡中，虽然二者彼此分离，但仍然与道的同一位格结合。</w:t>
      </w:r>
      <w:r>
        <w:rPr>
          <w:rStyle w:val="FootnoteReference"/>
        </w:rPr>
        <w:footnoteReference w:id="1138"/>
      </w:r>
    </w:p>
    <w:bookmarkEnd w:id="1139"/>
    <w:bookmarkStart w:id="1145" w:name="你必不叫你的圣者见朽坏"/>
    <w:p>
      <w:pPr>
        <w:pStyle w:val="Heading6"/>
      </w:pPr>
      <w:r>
        <w:t xml:space="preserve">「你必不叫你的圣者见朽坏」</w:t>
      </w:r>
    </w:p>
    <w:p>
      <w:pPr>
        <w:pStyle w:val="FirstParagraph"/>
      </w:pPr>
      <w:r>
        <w:t xml:space="preserve">基督的死是真实的死亡，因为它终止了他在世为人的生存。但因为子的位格与他的身体保持联合，所以他的身体不像其他尸体那样会朽坏，因为「死不能拘禁他」，</w:t>
      </w:r>
      <w:r>
        <w:rPr>
          <w:rStyle w:val="FootnoteReference"/>
        </w:rPr>
        <w:footnoteReference w:id="1140"/>
      </w:r>
      <w:r>
        <w:t xml:space="preserve">因此「神的能力保全了基督的身体不致朽坏」。</w:t>
      </w:r>
      <w:r>
        <w:rPr>
          <w:rStyle w:val="FootnoteReference"/>
        </w:rPr>
        <w:footnoteReference w:id="1141"/>
      </w:r>
      <w:r>
        <w:t xml:space="preserve">这两句话都可以用在基督身上：「他从活人之地被剪除」，</w:t>
      </w:r>
      <w:r>
        <w:rPr>
          <w:rStyle w:val="FootnoteReference"/>
        </w:rPr>
        <w:footnoteReference w:id="1142"/>
      </w:r>
      <w:r>
        <w:t xml:space="preserve">「我的肉身要安然居住。因为你必不将我的灵魂撇在阴间，也不叫你的圣者见朽坏。」</w:t>
      </w:r>
      <w:r>
        <w:rPr>
          <w:rStyle w:val="FootnoteReference"/>
        </w:rPr>
        <w:footnoteReference w:id="1143"/>
      </w:r>
      <w:r>
        <w:t xml:space="preserve">耶稣「第三日」复活就是这事的证据，也因为人的身体被认为是在死后第四天开始腐烂的。</w:t>
      </w:r>
      <w:r>
        <w:rPr>
          <w:rStyle w:val="FootnoteReference"/>
        </w:rPr>
        <w:footnoteReference w:id="1144"/>
      </w:r>
    </w:p>
    <w:bookmarkEnd w:id="1145"/>
    <w:bookmarkStart w:id="1147" w:name="与基督一同埋葬"/>
    <w:p>
      <w:pPr>
        <w:pStyle w:val="Heading6"/>
      </w:pPr>
      <w:r>
        <w:t xml:space="preserve">「与基督一同埋葬……」</w:t>
      </w:r>
    </w:p>
    <w:p>
      <w:pPr>
        <w:pStyle w:val="FirstParagraph"/>
      </w:pPr>
      <w:r>
        <w:t xml:space="preserve">洗礼原本完整的标记就是浸入水中，有效地表明基督徒与基督一同死在罪上，下到坟墓里，为要过一个新生命。「所以，我们藉着洗礼归入死，和他一同埋葬，原是叫我们一举一动有新生的样式，像基督藉着父的荣耀从死里复活一样。」</w:t>
      </w:r>
      <w:r>
        <w:rPr>
          <w:rStyle w:val="FootnoteReference"/>
        </w:rPr>
        <w:footnoteReference w:id="1146"/>
      </w:r>
    </w:p>
    <w:bookmarkEnd w:id="1147"/>
    <w:bookmarkStart w:id="1148" w:name="简要"/>
    <w:p>
      <w:pPr>
        <w:pStyle w:val="Heading6"/>
      </w:pPr>
      <w:r>
        <w:t xml:space="preserve">简要</w:t>
      </w:r>
    </w:p>
    <w:p>
      <w:pPr>
        <w:pStyle w:val="FirstParagraph"/>
      </w:pPr>
      <w:r>
        <w:t xml:space="preserve">为了每个人的益处，耶稣基督尝了死味（参</w:t>
      </w:r>
      <w:r>
        <w:rPr>
          <w:i/>
          <w:iCs/>
        </w:rPr>
        <w:t xml:space="preserve">来</w:t>
      </w:r>
      <w:r>
        <w:t xml:space="preserve">2:9）。死了并埋葬的，真正是成为人的神子。</w:t>
      </w:r>
    </w:p>
    <w:p>
      <w:pPr>
        <w:pStyle w:val="BodyText"/>
      </w:pPr>
      <w:r>
        <w:t xml:space="preserve">基督在坟墓里的时候，他神的位格继续担当他的灵魂和身体，虽然二者因死亡而彼此分离。因此，基督死了的身体「不见朽坏」（</w:t>
      </w:r>
      <w:r>
        <w:rPr>
          <w:i/>
          <w:iCs/>
        </w:rPr>
        <w:t xml:space="preserve">徒</w:t>
      </w:r>
      <w:r>
        <w:t xml:space="preserve">13:37）。</w:t>
      </w:r>
    </w:p>
    <w:p>
      <w:r>
        <w:br w:type="page"/>
      </w:r>
    </w:p>
    <w:bookmarkEnd w:id="1148"/>
    <w:bookmarkEnd w:id="1149"/>
    <w:bookmarkEnd w:id="1150"/>
    <w:bookmarkStart w:id="1214" w:name="第五条他降在阴间第三天从死里复活"/>
    <w:p>
      <w:pPr>
        <w:pStyle w:val="Heading4"/>
      </w:pPr>
      <w:r>
        <w:t xml:space="preserve">第五条：「他降在阴间，第三天从死里复活」</w:t>
      </w:r>
    </w:p>
    <w:p>
      <w:pPr>
        <w:pStyle w:val="FirstParagraph"/>
      </w:pPr>
      <w:r>
        <w:t xml:space="preserve">耶稣「下到地底下。那下来的，就是那升上高天之上的。」</w:t>
      </w:r>
      <w:r>
        <w:rPr>
          <w:rStyle w:val="FootnoteReference"/>
        </w:rPr>
        <w:footnoteReference w:id="1151"/>
      </w:r>
      <w:r>
        <w:t xml:space="preserve">使徒信经在同一条文中宣认基督降到阴间，第三天从死人中复活，因为正是在他的逾越节中，他从死亡的深渊中使生命涌流而出：</w:t>
      </w:r>
    </w:p>
    <w:p>
      <w:pPr>
        <w:pStyle w:val="BodyText"/>
      </w:pPr>
      <w:r>
        <w:t xml:space="preserve">基督，那晨星，从死者中归来，将他平安的光芒洒向全人类，你的儿子，他永生永王。阿们。</w:t>
      </w:r>
      <w:r>
        <w:rPr>
          <w:rStyle w:val="FootnoteReference"/>
        </w:rPr>
        <w:footnoteReference w:id="1152"/>
      </w:r>
    </w:p>
    <w:bookmarkStart w:id="1164" w:name="第一段基督降到阴间"/>
    <w:p>
      <w:pPr>
        <w:pStyle w:val="Heading5"/>
      </w:pPr>
      <w:r>
        <w:t xml:space="preserve">第一段、基督降到阴间</w:t>
      </w:r>
    </w:p>
    <w:p>
      <w:pPr>
        <w:pStyle w:val="FirstParagraph"/>
      </w:pPr>
      <w:r>
        <w:t xml:space="preserve">新约中频繁地宣称耶稣「从死人中复活」，这预设了被钉十字架的耶稣在复活之前，曾在死人的境界中居留。</w:t>
      </w:r>
      <w:r>
        <w:rPr>
          <w:rStyle w:val="FootnoteReference"/>
        </w:rPr>
        <w:footnoteReference w:id="1153"/>
      </w:r>
      <w:r>
        <w:t xml:space="preserve">这是使徒们在宣讲中首先赋予基督降到阴间的意义：耶稣像所有人一样经历了死亡，他的灵魂与其他人一同进入了死人的境界。但他是以救主的身份降到那里，向被囚禁的灵魂宣告福音。</w:t>
      </w:r>
      <w:r>
        <w:rPr>
          <w:rStyle w:val="FootnoteReference"/>
        </w:rPr>
        <w:footnoteReference w:id="1154"/>
      </w:r>
    </w:p>
    <w:p>
      <w:pPr>
        <w:pStyle w:val="BodyText"/>
      </w:pPr>
      <w:r>
        <w:t xml:space="preserve">圣经称死者的居所，就是基督降到的地方为「阴间」——希伯来文的</w:t>
      </w:r>
      <w:r>
        <w:rPr>
          <w:i/>
          <w:iCs/>
        </w:rPr>
        <w:t xml:space="preserve">Sheol</w:t>
      </w:r>
      <w:r>
        <w:t xml:space="preserve">或希腊文的</w:t>
      </w:r>
      <w:r>
        <w:rPr>
          <w:i/>
          <w:iCs/>
        </w:rPr>
        <w:t xml:space="preserve">Hades</w:t>
      </w:r>
      <w:r>
        <w:t xml:space="preserve">——因为那里的人都被剥夺了看见神的机会。</w:t>
      </w:r>
      <w:r>
        <w:rPr>
          <w:rStyle w:val="FootnoteReference"/>
        </w:rPr>
        <w:footnoteReference w:id="1155"/>
      </w:r>
      <w:r>
        <w:t xml:space="preserve">所有死者，无论善恶，在等待救赎主时都是如此：这并不意味着他们的命运是相同的，正如耶稣通过穷人拉撒路的比喻所显示的，拉撒路被接到「亚伯拉罕的怀里」：</w:t>
      </w:r>
      <w:r>
        <w:rPr>
          <w:rStyle w:val="FootnoteReference"/>
        </w:rPr>
        <w:footnoteReference w:id="1156"/>
      </w:r>
      <w:r>
        <w:t xml:space="preserve">「当基督降到阴间时，正是这些在亚伯拉罕怀抱中等待救主的圣洁灵魂被基督救赎了。」</w:t>
      </w:r>
      <w:r>
        <w:rPr>
          <w:rStyle w:val="FootnoteReference"/>
        </w:rPr>
        <w:footnoteReference w:id="1157"/>
      </w:r>
      <w:r>
        <w:t xml:space="preserve">耶稣降到阴间不是为了拯救被定罪的人，也不是为了毁灭地狱，而是为了释放在他之前的义人。</w:t>
      </w:r>
      <w:r>
        <w:rPr>
          <w:rStyle w:val="FootnoteReference"/>
        </w:rPr>
        <w:footnoteReference w:id="1158"/>
      </w:r>
    </w:p>
    <w:p>
      <w:pPr>
        <w:pStyle w:val="BodyText"/>
      </w:pPr>
      <w:r>
        <w:t xml:space="preserve">「就是向死人传福音。」</w:t>
      </w:r>
      <w:r>
        <w:rPr>
          <w:rStyle w:val="FootnoteReference"/>
        </w:rPr>
        <w:footnoteReference w:id="1159"/>
      </w:r>
      <w:r>
        <w:t xml:space="preserve">降到阴间使福音救恩的信息得以完全实现。这是耶稣弥赛亚使命的最后阶段，这个阶段在时间上很短，但在实际意义上却是巨大的：基督的救赎工作传播到所有时代、所有地方的所有人，因为所有得救的人都分享了救赎。</w:t>
      </w:r>
    </w:p>
    <w:p>
      <w:pPr>
        <w:pStyle w:val="BodyText"/>
      </w:pPr>
      <w:r>
        <w:t xml:space="preserve">基督降到死亡的深处，为使「死人要听见神儿子的声音，听见的人就要活了。」</w:t>
      </w:r>
      <w:r>
        <w:rPr>
          <w:rStyle w:val="FootnoteReference"/>
        </w:rPr>
        <w:footnoteReference w:id="1160"/>
      </w:r>
      <w:r>
        <w:t xml:space="preserve">耶稣「生命的创始者」，借着死亡毁灭了「那掌死权的，就是魔鬼，并要释放那些一生因怕死而为奴仆的。」</w:t>
      </w:r>
      <w:r>
        <w:rPr>
          <w:rStyle w:val="FootnoteReference"/>
        </w:rPr>
        <w:footnoteReference w:id="1161"/>
      </w:r>
      <w:r>
        <w:t xml:space="preserve">从此，复活的基督拿着「死亡和阴间的钥匙」，叫「一听耶稣的名，天上地上和地底下的万有都要屈膝。」</w:t>
      </w:r>
      <w:r>
        <w:rPr>
          <w:rStyle w:val="FootnoteReference"/>
        </w:rPr>
        <w:footnoteReference w:id="1162"/>
      </w:r>
    </w:p>
    <w:p>
      <w:pPr>
        <w:pStyle w:val="BodyText"/>
      </w:pPr>
      <w:r>
        <w:t xml:space="preserve">今天大地上一片寂静，一片死寂和平静。一片死寂，因为君王睡着了。大地战栗，又归于平静，因为神在肉身中睡着了，他唤醒了自从世界开始以来所有睡着的人。……他去寻找我们的始祖亚当，如同寻找迷失的羊。他渴望探访那些生活在黑暗和死亡阴影中的人，他去解救被捆绑的亚当，和被掳的夏娃脱离悲伤——他是他们的神，也是夏娃的儿子。……「我是你的神，为了你的缘故，我成了你的儿子。……沉睡的人啊，我命令你醒来。我创造你，不是让你在地狱里做囚犯。从死人中起来吧，因为我是死者的生命。」</w:t>
      </w:r>
      <w:r>
        <w:rPr>
          <w:rStyle w:val="FootnoteReference"/>
        </w:rPr>
        <w:footnoteReference w:id="1163"/>
      </w:r>
    </w:p>
    <w:bookmarkEnd w:id="1164"/>
    <w:bookmarkStart w:id="1165" w:name="综述-17"/>
    <w:p>
      <w:pPr>
        <w:pStyle w:val="Heading5"/>
      </w:pPr>
      <w:r>
        <w:t xml:space="preserve">综述</w:t>
      </w:r>
    </w:p>
    <w:p>
      <w:pPr>
        <w:pStyle w:val="FirstParagraph"/>
      </w:pPr>
      <w:r>
        <w:t xml:space="preserve">藉着「降到阴间」这句话，使徒信经宣认耶稣确实死了，并且借着他为我们而死，战胜了死亡和「那掌死权的」魔鬼（</w:t>
      </w:r>
      <w:r>
        <w:rPr>
          <w:i/>
          <w:iCs/>
        </w:rPr>
        <w:t xml:space="preserve">来</w:t>
      </w:r>
      <w:r>
        <w:t xml:space="preserve">2:14）。</w:t>
      </w:r>
    </w:p>
    <w:p>
      <w:pPr>
        <w:pStyle w:val="BodyText"/>
      </w:pPr>
      <w:r>
        <w:t xml:space="preserve">在基督神性位格所结合的人性灵魂内，死了的基督降到死者的境界。他为在他之前去世的义人开启了天国的大门。</w:t>
      </w:r>
    </w:p>
    <w:p>
      <w:r>
        <w:br w:type="page"/>
      </w:r>
    </w:p>
    <w:bookmarkEnd w:id="1165"/>
    <w:bookmarkStart w:id="1213" w:name="第二段第三天从死里复活"/>
    <w:p>
      <w:pPr>
        <w:pStyle w:val="Heading5"/>
      </w:pPr>
      <w:r>
        <w:t xml:space="preserve">第二段：第三天从死里复活</w:t>
      </w:r>
    </w:p>
    <w:p>
      <w:pPr>
        <w:pStyle w:val="FirstParagraph"/>
      </w:pPr>
      <w:r>
        <w:t xml:space="preserve">「我们报好信息给你们，就是神应许祖宗的话，已经向我们这作儿女的应验，叫耶稣复活了。」</w:t>
      </w:r>
      <w:r>
        <w:rPr>
          <w:rStyle w:val="FootnoteReference"/>
        </w:rPr>
        <w:footnoteReference w:id="1166"/>
      </w:r>
      <w:r>
        <w:t xml:space="preserve">耶稣的复活是我们在基督里信仰的至高真理，这信仰被第一个基督徒团体视为核心真理而相信和实践；由圣传作为基要传递；由新约的文献所确立；并与十字架一同被宣讲为逾越奥秘的重要组成部分：</w:t>
      </w:r>
    </w:p>
    <w:p>
      <w:pPr>
        <w:pStyle w:val="BodyText"/>
      </w:pPr>
      <w:r>
        <w:t xml:space="preserve">基督从死里复活了！</w:t>
      </w:r>
      <w:r>
        <w:t xml:space="preserve"> </w:t>
      </w:r>
      <w:r>
        <w:t xml:space="preserve">他以死亡战胜了死亡；</w:t>
      </w:r>
      <w:r>
        <w:t xml:space="preserve"> </w:t>
      </w:r>
      <w:r>
        <w:t xml:space="preserve">他将生命赐给死人。</w:t>
      </w:r>
      <w:r>
        <w:rPr>
          <w:rStyle w:val="FootnoteReference"/>
        </w:rPr>
        <w:footnoteReference w:id="1167"/>
      </w:r>
    </w:p>
    <w:bookmarkStart w:id="1192" w:name="一历史性和超越性的事件"/>
    <w:p>
      <w:pPr>
        <w:pStyle w:val="Heading6"/>
      </w:pPr>
      <w:r>
        <w:t xml:space="preserve">一、历史性和超越性的事件</w:t>
      </w:r>
    </w:p>
    <w:p>
      <w:pPr>
        <w:pStyle w:val="FirstParagraph"/>
      </w:pPr>
      <w:r>
        <w:t xml:space="preserve">基督复活的奥秘是一个真实的事件，有新约圣经见证的历史证实的表现。大约在公元 56 年，圣保罗已经可以写信给哥林多人说：「我当日所领受又传给你们的，第一，就是基督照圣经所说，为我们的罪死了，而且埋葬了，又照圣经所说，第三天复活了，并且显给矶法看，然后显给十二使徒看。……」</w:t>
      </w:r>
      <w:r>
        <w:rPr>
          <w:rStyle w:val="FootnoteReference"/>
        </w:rPr>
        <w:footnoteReference w:id="1168"/>
      </w:r>
      <w:r>
        <w:t xml:space="preserve">使徒在此谈到他在大马士革城门悔改后所学到的复活的活生生的传统。</w:t>
      </w:r>
      <w:r>
        <w:rPr>
          <w:rStyle w:val="FootnoteReference"/>
        </w:rPr>
        <w:footnoteReference w:id="1169"/>
      </w:r>
    </w:p>
    <w:p>
      <w:pPr>
        <w:pStyle w:val="BodyText"/>
      </w:pPr>
      <w:r>
        <w:rPr>
          <w:i/>
          <w:iCs/>
        </w:rPr>
        <w:t xml:space="preserve">空坟墓</w:t>
      </w:r>
    </w:p>
    <w:p>
      <w:pPr>
        <w:pStyle w:val="BodyText"/>
      </w:pPr>
      <w:r>
        <w:t xml:space="preserve">「你们为什么在死人中找活人呢？他不在这里，已经复活了。」</w:t>
      </w:r>
      <w:r>
        <w:rPr>
          <w:rStyle w:val="FootnoteReference"/>
        </w:rPr>
        <w:footnoteReference w:id="1170"/>
      </w:r>
      <w:r>
        <w:t xml:space="preserve">我们在复活节事件的框架中遇到的第一个元素是空坟墓。就其本身而言，这不是复活的直接证据；基督的身体不在坟墓中可以有其他解释。</w:t>
      </w:r>
      <w:r>
        <w:rPr>
          <w:rStyle w:val="FootnoteReference"/>
        </w:rPr>
        <w:footnoteReference w:id="1171"/>
      </w:r>
      <w:r>
        <w:t xml:space="preserve">尽管如此，空坟墓仍然是一个对所有人至关重要的标志。门徒发现空坟墓是认识复活这一事实的第一步。先是圣洁的妇女，然后是彼得。</w:t>
      </w:r>
      <w:r>
        <w:rPr>
          <w:rStyle w:val="FootnoteReference"/>
        </w:rPr>
        <w:footnoteReference w:id="1172"/>
      </w:r>
      <w:r>
        <w:t xml:space="preserve">「耶稣所爱的」门徒肯定，当他进入空坟墓并发现「细麻布还放在那里」时，「他就看见，就信了」。</w:t>
      </w:r>
      <w:r>
        <w:rPr>
          <w:rStyle w:val="FootnoteReference"/>
        </w:rPr>
        <w:footnoteReference w:id="1173"/>
      </w:r>
      <w:r>
        <w:t xml:space="preserve">这表明他从空坟墓的状况意识到耶稣身体的失踪不可能是出于人为，耶稣也不是像拉撒路那样简单地回到今世的生命。</w:t>
      </w:r>
      <w:r>
        <w:rPr>
          <w:rStyle w:val="FootnoteReference"/>
        </w:rPr>
        <w:footnoteReference w:id="1174"/>
      </w:r>
    </w:p>
    <w:p>
      <w:pPr>
        <w:pStyle w:val="BodyText"/>
      </w:pPr>
      <w:r>
        <w:rPr>
          <w:i/>
          <w:iCs/>
        </w:rPr>
        <w:t xml:space="preserve">复活者的显现</w:t>
      </w:r>
    </w:p>
    <w:p>
      <w:pPr>
        <w:pStyle w:val="BodyText"/>
      </w:pPr>
      <w:r>
        <w:t xml:space="preserve">抹大拉的马利亚和那些圣洁的妇女，因为安息日在受难日傍晚开始，所以匆忙安葬了耶稣的身体，她们来完成膏抹，是最先遇见复活的主的人。</w:t>
      </w:r>
      <w:r>
        <w:rPr>
          <w:rStyle w:val="FootnoteReference"/>
        </w:rPr>
        <w:footnoteReference w:id="1175"/>
      </w:r>
      <w:r>
        <w:t xml:space="preserve">因此，妇女们是基督复活的第一批报信者，就是对使徒们。</w:t>
      </w:r>
      <w:r>
        <w:rPr>
          <w:rStyle w:val="FootnoteReference"/>
        </w:rPr>
        <w:footnoteReference w:id="1176"/>
      </w:r>
      <w:r>
        <w:t xml:space="preserve">耶稣向他们显现是接下来的：先是彼得，然后是十二使徒。彼得蒙召去坚固他弟兄们的信心，</w:t>
      </w:r>
      <w:r>
        <w:rPr>
          <w:rStyle w:val="FootnoteReference"/>
        </w:rPr>
        <w:footnoteReference w:id="1177"/>
      </w:r>
      <w:r>
        <w:t xml:space="preserve">所以他先于他们看见复活的主；正是根据他的见证，信徒团体欢呼说：「主果然复活，已经显给西门看了！」</w:t>
      </w:r>
      <w:r>
        <w:rPr>
          <w:rStyle w:val="FootnoteReference"/>
        </w:rPr>
        <w:footnoteReference w:id="1178"/>
      </w:r>
    </w:p>
    <w:p>
      <w:pPr>
        <w:pStyle w:val="BodyText"/>
      </w:pPr>
      <w:r>
        <w:t xml:space="preserve">在这些逾越节期间发生的一切，都让每一位使徒，特别是彼得，参与到从复活节早晨开始的新时代的建设中。作为复活者的见证人，他们仍然是他教会的根基。第一批信徒团体的信心是建立在具体的人的见证之上，这些人为基督徒所认识，大部分仍然生活在他们中间。彼得和十二使徒是他复活的主要「见证人」，但不是唯一的——保罗清楚地说到耶稣曾一次向五百多人显现，也向雅各和众使徒显现。</w:t>
      </w:r>
      <w:r>
        <w:rPr>
          <w:rStyle w:val="FootnoteReference"/>
        </w:rPr>
        <w:footnoteReference w:id="1179"/>
      </w:r>
    </w:p>
    <w:p>
      <w:pPr>
        <w:pStyle w:val="BodyText"/>
      </w:pPr>
      <w:r>
        <w:t xml:space="preserve">鉴于所有这些见证，基督的复活不能被解释为物质秩序之外的事情，不承认它是一个历史事实是不可能的。从事实可以清楚地看出，门徒的信心因他们的主所预言的受难和十字架上的死亡而受到严峻的考验。</w:t>
      </w:r>
      <w:r>
        <w:rPr>
          <w:rStyle w:val="FootnoteReference"/>
        </w:rPr>
        <w:footnoteReference w:id="1180"/>
      </w:r>
      <w:r>
        <w:t xml:space="preserve">受难引起的震惊是如此之大，以至至少有些门徒起初并不信复活的消息。福音书向我们展示的不是一个被神的狂喜所征服的团体，而是忧愁（「面带愁容」</w:t>
      </w:r>
      <w:r>
        <w:rPr>
          <w:rStyle w:val="FootnoteReference"/>
        </w:rPr>
        <w:footnoteReference w:id="1181"/>
      </w:r>
      <w:r>
        <w:t xml:space="preserve">）和惧怕的门徒。因为他们不信从坟墓回来的圣洁妇女，以为是「谎话」。</w:t>
      </w:r>
      <w:r>
        <w:rPr>
          <w:rStyle w:val="FootnoteReference"/>
        </w:rPr>
        <w:footnoteReference w:id="1182"/>
      </w:r>
      <w:r>
        <w:t xml:space="preserve">当耶稣在复活节晚上向十一个人显现时，「责备他们不信，心里刚硬，因为他们不信那些看见他复活的人。」</w:t>
      </w:r>
      <w:r>
        <w:rPr>
          <w:rStyle w:val="FootnoteReference"/>
        </w:rPr>
        <w:footnoteReference w:id="1183"/>
      </w:r>
    </w:p>
    <w:p>
      <w:pPr>
        <w:pStyle w:val="BodyText"/>
      </w:pPr>
      <w:r>
        <w:t xml:space="preserve">即使面对复活的耶稣的现实，门徒们仍然疑惑，因为这事看起来是不可能的：他们以为看见的是魂。「他们正欢喜得不敢信，并且希奇。」</w:t>
      </w:r>
      <w:r>
        <w:rPr>
          <w:rStyle w:val="FootnoteReference"/>
        </w:rPr>
        <w:footnoteReference w:id="1184"/>
      </w:r>
      <w:r>
        <w:t xml:space="preserve">多马也要经历疑惑的考验，马太记载，在复活的主最后一次在加利利显现时，「然而还有人疑惑」。</w:t>
      </w:r>
      <w:r>
        <w:rPr>
          <w:rStyle w:val="FootnoteReference"/>
        </w:rPr>
        <w:footnoteReference w:id="1185"/>
      </w:r>
      <w:r>
        <w:t xml:space="preserve">因此，认为复活是由使徒的信心（或轻信）产生的假说是站不住脚的。相反，他们对复活的信心是在神的恩典作用下，从他们直接经历复活的耶稣的现实中产生的。</w:t>
      </w:r>
    </w:p>
    <w:p>
      <w:pPr>
        <w:pStyle w:val="BodyText"/>
      </w:pPr>
      <w:r>
        <w:rPr>
          <w:i/>
          <w:iCs/>
        </w:rPr>
        <w:t xml:space="preserve">基督复活人性的状况</w:t>
      </w:r>
    </w:p>
    <w:p>
      <w:pPr>
        <w:pStyle w:val="BodyText"/>
      </w:pPr>
      <w:r>
        <w:t xml:space="preserve">复活的耶稣通过触摸和同餐与门徒建立直接的接触。他以这种方式邀请他们认识到他不是魂，尤其是要证实他向他们显现的复活身体就是那曾被折磨和钉十字架的身体，因为它仍然带有他受难的痕迹。</w:t>
      </w:r>
      <w:r>
        <w:rPr>
          <w:rStyle w:val="FootnoteReference"/>
        </w:rPr>
        <w:footnoteReference w:id="1186"/>
      </w:r>
      <w:r>
        <w:t xml:space="preserve">然而，同时这真实的身体具有荣耀身体的新特性：不受时空限制，而是能按他的意愿出现；因为基督的人性不再局限于地上，从此只属于天父的神性国度。</w:t>
      </w:r>
      <w:r>
        <w:rPr>
          <w:rStyle w:val="FootnoteReference"/>
        </w:rPr>
        <w:footnoteReference w:id="1187"/>
      </w:r>
      <w:r>
        <w:t xml:space="preserve">因此，复活的耶稣也享有主权的自由，可以随意显现：以园丁的形象或其他门徒熟悉的形式，正是为了唤醒他们的信心。</w:t>
      </w:r>
      <w:r>
        <w:rPr>
          <w:rStyle w:val="FootnoteReference"/>
        </w:rPr>
        <w:footnoteReference w:id="1188"/>
      </w:r>
    </w:p>
    <w:p>
      <w:pPr>
        <w:pStyle w:val="BodyText"/>
      </w:pPr>
      <w:r>
        <w:t xml:space="preserve">基督的复活不是回到今世的生命，不像他在复活节前所行的死人复活：睚鲁的女儿、拿因的少年、拉撒路。这些都是神迹性的事件，但那些奇迹般复活的人藉着耶稣的大能回到平常的今世生命。在某一特定时刻他们还会再死。基督的复活本质上是不同的。在他复活的身体里，他从死亡状态进入了超越时空的另一种生命。在耶稣复活时，他的身体充满了圣灵的大能：他在荣耀的状态中分享神的生命，因此圣保罗可以说基督是「从天上来的人」。</w:t>
      </w:r>
      <w:r>
        <w:rPr>
          <w:rStyle w:val="FootnoteReference"/>
        </w:rPr>
        <w:footnoteReference w:id="1189"/>
      </w:r>
    </w:p>
    <w:p>
      <w:pPr>
        <w:pStyle w:val="BodyText"/>
      </w:pPr>
      <w:r>
        <w:rPr>
          <w:i/>
          <w:iCs/>
        </w:rPr>
        <w:t xml:space="preserve">复活作为超越性事件</w:t>
      </w:r>
    </w:p>
    <w:p>
      <w:pPr>
        <w:pStyle w:val="BodyText"/>
      </w:pPr>
      <w:r>
        <w:t xml:space="preserve">复活节守夜礼的赞主颂歌唱道：「噢，真正有福的夜晚，唯独配知道基督从阴间复活的时间和时辰！」</w:t>
      </w:r>
      <w:r>
        <w:rPr>
          <w:rStyle w:val="FootnoteReference"/>
        </w:rPr>
        <w:footnoteReference w:id="1190"/>
      </w:r>
      <w:r>
        <w:t xml:space="preserve">但是没有人亲眼目睹基督的复活，也没有福音书作者描述它。没有人能说它在物质上是如何发生的。更不用说它内在的本质，他进入另一个生命，是感官无法感知的。虽然复活是一个历史事件，可以通过空坟墓的标记和使徒与复活基督相遇的事实来证实，但它仍然是信仰奥秘的核心，是超越和超越历史的事物。这就是为什么复活的基督不向世人显现，而是向他的门徒显现，「就是从前和他同从加利利上耶路撒冷的人，这些人如今在民间是他的见证」。</w:t>
      </w:r>
      <w:r>
        <w:rPr>
          <w:rStyle w:val="FootnoteReference"/>
        </w:rPr>
        <w:footnoteReference w:id="1191"/>
      </w:r>
    </w:p>
    <w:bookmarkEnd w:id="1192"/>
    <w:bookmarkStart w:id="1199" w:name="二复活圣三一的工作"/>
    <w:p>
      <w:pPr>
        <w:pStyle w:val="Heading6"/>
      </w:pPr>
      <w:r>
        <w:t xml:space="preserve">二、复活——圣三一的工作</w:t>
      </w:r>
    </w:p>
    <w:p>
      <w:pPr>
        <w:pStyle w:val="FirstParagraph"/>
      </w:pPr>
      <w:r>
        <w:t xml:space="preserve">基督的复活是信仰的对象，因为它是神自己在创造和历史中超越的干预。在其中，三位一体的三个位格同为一体地行动，并彰显他们各自的特性。父的大能「叫」基督他的儿子「复活」，藉此完全将他儿子的人性，包括他的身体，引入三位一体。耶稣最终被启示为「按圣善的灵说，因从死里复活，以大能显明是神的儿子」。</w:t>
      </w:r>
      <w:r>
        <w:rPr>
          <w:rStyle w:val="FootnoteReference"/>
        </w:rPr>
        <w:footnoteReference w:id="1193"/>
      </w:r>
      <w:r>
        <w:t xml:space="preserve">圣保罗坚持神的大能的彰显</w:t>
      </w:r>
      <w:r>
        <w:rPr>
          <w:rStyle w:val="FootnoteReference"/>
        </w:rPr>
        <w:footnoteReference w:id="1194"/>
      </w:r>
      <w:r>
        <w:t xml:space="preserve">是藉着圣灵的工作，圣灵赐生命给耶稣死了的人性，并呼召它进入荣耀的主的状态。</w:t>
      </w:r>
    </w:p>
    <w:p>
      <w:pPr>
        <w:pStyle w:val="BodyText"/>
      </w:pPr>
      <w:r>
        <w:t xml:space="preserve">至于子，他凭着他作为神的能力实现自己的复活。耶稣宣告人子必须受许多的苦，被杀，然后复活。</w:t>
      </w:r>
      <w:r>
        <w:rPr>
          <w:rStyle w:val="FootnoteReference"/>
        </w:rPr>
        <w:footnoteReference w:id="1195"/>
      </w:r>
      <w:r>
        <w:t xml:space="preserve">在别处他明确地肯定：「我将命舍去，好再取回来。……我有权柄舍了，也有权柄取回来。」</w:t>
      </w:r>
      <w:r>
        <w:rPr>
          <w:rStyle w:val="FootnoteReference"/>
        </w:rPr>
        <w:footnoteReference w:id="1196"/>
      </w:r>
      <w:r>
        <w:t xml:space="preserve">「我们信耶稣死了，又复活了。」</w:t>
      </w:r>
      <w:r>
        <w:rPr>
          <w:rStyle w:val="FootnoteReference"/>
        </w:rPr>
        <w:footnoteReference w:id="1197"/>
      </w:r>
    </w:p>
    <w:p>
      <w:pPr>
        <w:pStyle w:val="BodyText"/>
      </w:pPr>
      <w:r>
        <w:t xml:space="preserve">教父们从基督的神性位格的角度默观复活，即使在死亡将灵魂和肉身彼此分离时，基督仍然与他的灵魂和肉身保持联合：「藉着神性的合一，仍然存在于人的两个组成部分中，这两个部分重新结合。正如死亡是由人的组成部分的分离产生的，复活也是由两者的结合实现的。」</w:t>
      </w:r>
      <w:r>
        <w:rPr>
          <w:rStyle w:val="FootnoteReference"/>
        </w:rPr>
        <w:footnoteReference w:id="1198"/>
      </w:r>
    </w:p>
    <w:bookmarkEnd w:id="1199"/>
    <w:bookmarkStart w:id="1211" w:name="三复活的意义和救恩意义"/>
    <w:p>
      <w:pPr>
        <w:pStyle w:val="Heading6"/>
      </w:pPr>
      <w:r>
        <w:t xml:space="preserve">三、复活的意义和救恩意义</w:t>
      </w:r>
    </w:p>
    <w:p>
      <w:pPr>
        <w:pStyle w:val="FirstParagraph"/>
      </w:pPr>
      <w:r>
        <w:t xml:space="preserve">「若基督没有复活，我们所传的就是枉然，你们所信的也是枉然。」</w:t>
      </w:r>
      <w:r>
        <w:rPr>
          <w:rStyle w:val="FootnoteReference"/>
        </w:rPr>
        <w:footnoteReference w:id="1200"/>
      </w:r>
      <w:r>
        <w:t xml:space="preserve">复活首先构成了对基督一切工作和教导的确认。所有的真理，即使是人的理性最难以接近的真理，如果基督藉着他的复活给出了他所应许的神的权柄的最终证明，也就找到了它们的证明。</w:t>
      </w:r>
    </w:p>
    <w:p>
      <w:pPr>
        <w:pStyle w:val="BodyText"/>
      </w:pPr>
      <w:r>
        <w:t xml:space="preserve">基督的复活是旧约的应许和耶稣自己在今世生命中的应许的应验。</w:t>
      </w:r>
      <w:r>
        <w:rPr>
          <w:rStyle w:val="FootnoteReference"/>
        </w:rPr>
        <w:footnoteReference w:id="1201"/>
      </w:r>
      <w:r>
        <w:t xml:space="preserve">「按照圣经」</w:t>
      </w:r>
      <w:r>
        <w:rPr>
          <w:rStyle w:val="FootnoteReference"/>
        </w:rPr>
        <w:footnoteReference w:id="1202"/>
      </w:r>
      <w:r>
        <w:t xml:space="preserve">这句话表明基督的复活应验了这些预言。</w:t>
      </w:r>
    </w:p>
    <w:p>
      <w:pPr>
        <w:pStyle w:val="BodyText"/>
      </w:pPr>
      <w:r>
        <w:t xml:space="preserve">耶稣神性的真理由他的复活得到证实。他曾说过：「你们举起人子以后，必知道我是基督。」</w:t>
      </w:r>
      <w:r>
        <w:rPr>
          <w:rStyle w:val="FootnoteReference"/>
        </w:rPr>
        <w:footnoteReference w:id="1203"/>
      </w:r>
      <w:r>
        <w:t xml:space="preserve">被钉十字架者的复活表明他真是「我是」，是神的儿子，是神自己。因此圣保罗可以向犹太人宣告：「神应许祖宗的话，已经向我们这作儿女的应验，叫耶稣复活了。正如诗篇第二篇上记着说：『你是我的儿子，我今日生你。』」</w:t>
      </w:r>
      <w:r>
        <w:rPr>
          <w:rStyle w:val="FootnoteReference"/>
        </w:rPr>
        <w:footnoteReference w:id="1204"/>
      </w:r>
      <w:r>
        <w:t xml:space="preserve">基督的复活与神儿子的道成肉身密切相关，是按照神永恒的计划而应验的。</w:t>
      </w:r>
    </w:p>
    <w:p>
      <w:pPr>
        <w:pStyle w:val="BodyText"/>
      </w:pPr>
      <w:r>
        <w:t xml:space="preserve">逾越奥秘有两个方面：藉着他的死亡，基督将我们从罪中解放出来；藉着他的复活，他为我们开辟了通往新生命的道路。这新生命首先是称义，使我们恢复在神的恩典中，「如同基督藉着父的荣耀，从死里复活一样，我们也要用新生的样式生活。」</w:t>
      </w:r>
      <w:r>
        <w:rPr>
          <w:rStyle w:val="FootnoteReference"/>
        </w:rPr>
        <w:footnoteReference w:id="1205"/>
      </w:r>
      <w:r>
        <w:t xml:space="preserve">称义包括战胜罪所带来的死亡，和新的恩典的参与。</w:t>
      </w:r>
      <w:r>
        <w:rPr>
          <w:rStyle w:val="FootnoteReference"/>
        </w:rPr>
        <w:footnoteReference w:id="1206"/>
      </w:r>
      <w:r>
        <w:t xml:space="preserve">它带来儿子的名分，使人成为基督的弟兄，正如耶稣自己在复活后称他的门徒：「你们去告诉我的弟兄。」</w:t>
      </w:r>
      <w:r>
        <w:rPr>
          <w:rStyle w:val="FootnoteReference"/>
        </w:rPr>
        <w:footnoteReference w:id="1207"/>
      </w:r>
      <w:r>
        <w:t xml:space="preserve">我们不是本性上的弟兄，而是因恩典的恩赐，因为这收养的儿子名分使我们真正分享独生子的生命，这在他的复活中完全显明了。</w:t>
      </w:r>
    </w:p>
    <w:p>
      <w:pPr>
        <w:pStyle w:val="BodyText"/>
      </w:pPr>
      <w:r>
        <w:t xml:space="preserve">最后，基督的复活——复活的基督自己就是我们将来复活的根基和泉源：「但基督已经从死里复活，成为睡了之人初熟的果子。……因为在亚当里众人都死了，照样，在基督里众人也都要复活。」</w:t>
      </w:r>
      <w:r>
        <w:rPr>
          <w:rStyle w:val="FootnoteReference"/>
        </w:rPr>
        <w:footnoteReference w:id="1208"/>
      </w:r>
      <w:r>
        <w:t xml:space="preserve">复活的基督活在他信徒的心中，而他们正等待着那应验。在基督里，基督徒「已经尝过……来世的权能」</w:t>
      </w:r>
      <w:r>
        <w:rPr>
          <w:rStyle w:val="FootnoteReference"/>
        </w:rPr>
        <w:footnoteReference w:id="1209"/>
      </w:r>
      <w:r>
        <w:t xml:space="preserve">他们的生命被基督卷入神生命的中心，好叫他们「不再为自己活，乃为替他们死而复活的主活」。</w:t>
      </w:r>
      <w:r>
        <w:rPr>
          <w:rStyle w:val="FootnoteReference"/>
        </w:rPr>
        <w:footnoteReference w:id="1210"/>
      </w:r>
    </w:p>
    <w:bookmarkEnd w:id="1211"/>
    <w:bookmarkStart w:id="1212" w:name="综述-18"/>
    <w:p>
      <w:pPr>
        <w:pStyle w:val="Heading6"/>
      </w:pPr>
      <w:r>
        <w:t xml:space="preserve">综述</w:t>
      </w:r>
    </w:p>
    <w:p>
      <w:pPr>
        <w:pStyle w:val="FirstParagraph"/>
      </w:pPr>
      <w:r>
        <w:t xml:space="preserve">对复活的信仰以一个事件为对象，这事件有门徒们的历史见证，他们真实地遇见了复活的主。同时，这事件超越于自然界，因为它是基督的人性进入了神的荣耀。</w:t>
      </w:r>
    </w:p>
    <w:p>
      <w:pPr>
        <w:pStyle w:val="BodyText"/>
      </w:pPr>
      <w:r>
        <w:t xml:space="preserve">空坟墓和放在那里的细麻布本身就说明，藉着神的大能，基督的身体已经逃脱了死亡和朽坏的捆绑。这些为门徒预备好去遇见复活的主。</w:t>
      </w:r>
    </w:p>
    <w:p>
      <w:pPr>
        <w:pStyle w:val="BodyText"/>
      </w:pPr>
      <w:r>
        <w:t xml:space="preserve">基督，「从死里首先复生的」（</w:t>
      </w:r>
      <w:r>
        <w:rPr>
          <w:i/>
          <w:iCs/>
        </w:rPr>
        <w:t xml:space="preserve">西</w:t>
      </w:r>
      <w:r>
        <w:t xml:space="preserve">1:18），是我们自己复活的根基，现今藉着我们灵魂的称义（参</w:t>
      </w:r>
      <w:r>
        <w:rPr>
          <w:i/>
          <w:iCs/>
        </w:rPr>
        <w:t xml:space="preserve">罗</w:t>
      </w:r>
      <w:r>
        <w:t xml:space="preserve">6:4），有一天也要藉着他赐给我们身体的新生命（参</w:t>
      </w:r>
      <w:r>
        <w:rPr>
          <w:i/>
          <w:iCs/>
        </w:rPr>
        <w:t xml:space="preserve">罗</w:t>
      </w:r>
      <w:r>
        <w:t xml:space="preserve">8:11）。</w:t>
      </w:r>
    </w:p>
    <w:p>
      <w:r>
        <w:br w:type="page"/>
      </w:r>
    </w:p>
    <w:bookmarkEnd w:id="1212"/>
    <w:bookmarkEnd w:id="1213"/>
    <w:bookmarkEnd w:id="1214"/>
    <w:bookmarkStart w:id="1233" w:name="第六条他升了天坐在父的右边"/>
    <w:p>
      <w:pPr>
        <w:pStyle w:val="Heading4"/>
      </w:pPr>
      <w:r>
        <w:t xml:space="preserve">第六条：「他升了天，坐在父的右边」</w:t>
      </w:r>
    </w:p>
    <w:p>
      <w:pPr>
        <w:pStyle w:val="FirstParagraph"/>
      </w:pPr>
      <w:r>
        <w:t xml:space="preserve">「主耶稣和他们说完了话，后来被接到天上，坐在父的右边。」</w:t>
      </w:r>
      <w:r>
        <w:rPr>
          <w:rStyle w:val="FootnoteReference"/>
        </w:rPr>
        <w:footnoteReference w:id="1215"/>
      </w:r>
      <w:r>
        <w:t xml:space="preserve">基督的身体在复活的时候就得荣耀，这从他后来永远拥有的新的超自然特性得到证实。</w:t>
      </w:r>
      <w:r>
        <w:rPr>
          <w:rStyle w:val="FootnoteReference"/>
        </w:rPr>
        <w:footnoteReference w:id="1216"/>
      </w:r>
      <w:r>
        <w:t xml:space="preserve">但在四十天里，他与门徒一同吃喝，亲切地教导他们天国的事，他的荣耀仍隐藏在普通人性的外表下。</w:t>
      </w:r>
      <w:r>
        <w:rPr>
          <w:rStyle w:val="FootnoteReference"/>
        </w:rPr>
        <w:footnoteReference w:id="1217"/>
      </w:r>
      <w:r>
        <w:t xml:space="preserve">耶稣最后的显现以他人性不可逆转地进入荣耀而告终，这由云彩和天堂所象征，从那时起他坐在父的右边。</w:t>
      </w:r>
      <w:r>
        <w:rPr>
          <w:rStyle w:val="FootnoteReference"/>
        </w:rPr>
        <w:footnoteReference w:id="1218"/>
      </w:r>
      <w:r>
        <w:t xml:space="preserve">只有以完全特殊和独一无二的方式，耶稣才向保罗显现，「好像向一个未到产期而生的人」，在最后的显现中立他为使徒。</w:t>
      </w:r>
      <w:r>
        <w:rPr>
          <w:rStyle w:val="FootnoteReference"/>
        </w:rPr>
        <w:footnoteReference w:id="1219"/>
      </w:r>
    </w:p>
    <w:p>
      <w:pPr>
        <w:pStyle w:val="BodyText"/>
      </w:pPr>
      <w:r>
        <w:t xml:space="preserve">复活的主在这段时期的荣耀是隐藏的，这在他对抹大拉的马利亚所说神秘的话中暗示出来：「我还没有升上去见我的父，你往我弟兄那里去，告诉他们说，我要升上去见我的父，也是你们的父，见我的神，也是你们的神。」</w:t>
      </w:r>
      <w:r>
        <w:rPr>
          <w:rStyle w:val="FootnoteReference"/>
        </w:rPr>
        <w:footnoteReference w:id="1220"/>
      </w:r>
      <w:r>
        <w:t xml:space="preserve">这表明复活的基督的荣耀与升到父右边的基督的荣耀在显现上有所不同，这个过渡由升天这一历史性和超越性的事件所标志。</w:t>
      </w:r>
    </w:p>
    <w:p>
      <w:pPr>
        <w:pStyle w:val="BodyText"/>
      </w:pPr>
      <w:r>
        <w:t xml:space="preserve">这最后阶段与第一阶段，即他在道成肉身中从天降下紧密相连。只有「从父出来」的那一位才能回到父那里去，这一位就是基督耶稣。</w:t>
      </w:r>
      <w:r>
        <w:rPr>
          <w:rStyle w:val="FootnoteReference"/>
        </w:rPr>
        <w:footnoteReference w:id="1221"/>
      </w:r>
      <w:r>
        <w:t xml:space="preserve">「除了从天降下仍旧在天的人子，没有人升过天。」</w:t>
      </w:r>
      <w:r>
        <w:rPr>
          <w:rStyle w:val="FootnoteReference"/>
        </w:rPr>
        <w:footnoteReference w:id="1222"/>
      </w:r>
      <w:r>
        <w:t xml:space="preserve">人若只凭自己的自然力量，就无法进入「父的家」，无法进入神的生命和幸福。</w:t>
      </w:r>
      <w:r>
        <w:rPr>
          <w:rStyle w:val="FootnoteReference"/>
        </w:rPr>
        <w:footnoteReference w:id="1223"/>
      </w:r>
      <w:r>
        <w:t xml:space="preserve">只有基督能为人开启通道，使我们作为他的肢体，确信我们也要到达我们的头和源泉所先到达的地方。</w:t>
      </w:r>
      <w:r>
        <w:rPr>
          <w:rStyle w:val="FootnoteReference"/>
        </w:rPr>
        <w:footnoteReference w:id="1224"/>
      </w:r>
    </w:p>
    <w:p>
      <w:pPr>
        <w:pStyle w:val="BodyText"/>
      </w:pPr>
      <w:r>
        <w:t xml:space="preserve">「我若从地上被举起来，就要吸引万人来归我。」</w:t>
      </w:r>
      <w:r>
        <w:rPr>
          <w:rStyle w:val="FootnoteReference"/>
        </w:rPr>
        <w:footnoteReference w:id="1225"/>
      </w:r>
      <w:r>
        <w:t xml:space="preserve">耶稣被举在十字架上，预示并宣告了他要藉着升天被举起，并且实际上已经开始了。作为新而永久之约的唯一祭司，耶稣基督「并不是进入人手所造的圣所……乃是进入天堂，如今为我们显在神面前。」</w:t>
      </w:r>
      <w:r>
        <w:rPr>
          <w:rStyle w:val="FootnoteReference"/>
        </w:rPr>
        <w:footnoteReference w:id="1226"/>
      </w:r>
      <w:r>
        <w:t xml:space="preserve">在那里，基督永远执行他的祭司职分，因为他「长远活着，替他们祈求」，替那些「凭着他进到神面前的人祈求」。</w:t>
      </w:r>
      <w:r>
        <w:rPr>
          <w:rStyle w:val="FootnoteReference"/>
        </w:rPr>
        <w:footnoteReference w:id="1227"/>
      </w:r>
      <w:r>
        <w:t xml:space="preserve">作为「将来美事的大祭司」，他是敬拜天上之父的礼仪的中心和主角。</w:t>
      </w:r>
      <w:r>
        <w:rPr>
          <w:rStyle w:val="FootnoteReference"/>
        </w:rPr>
        <w:footnoteReference w:id="1228"/>
      </w:r>
    </w:p>
    <w:p>
      <w:pPr>
        <w:pStyle w:val="BodyText"/>
      </w:pPr>
      <w:r>
        <w:t xml:space="preserve">从此，基督</w:t>
      </w:r>
      <w:r>
        <w:rPr>
          <w:i/>
          <w:iCs/>
        </w:rPr>
        <w:t xml:space="preserve">坐在父的右边</w:t>
      </w:r>
      <w:r>
        <w:t xml:space="preserve">：「所谓『父的右边』，我们理解为神性的荣耀和尊严，在此，那在万世之前就作为神的儿子而存在的，确实作为与父同一本性的神而存在的，在他成为肉身，他的肉身得到荣耀之后，就身体地坐在那里。」</w:t>
      </w:r>
      <w:r>
        <w:rPr>
          <w:rStyle w:val="FootnoteReference"/>
        </w:rPr>
        <w:footnoteReference w:id="1229"/>
      </w:r>
    </w:p>
    <w:p>
      <w:pPr>
        <w:pStyle w:val="BodyText"/>
      </w:pPr>
      <w:r>
        <w:t xml:space="preserve">坐在父的右边标志着弥赛亚的国度开始，应验了先知但以理关于人子的异象：「他得了权柄、荣耀、国度，使各方、各国、各族的人都事奉他。他的权柄是永远的，不能废去，他的国必不败坏。」</w:t>
      </w:r>
      <w:r>
        <w:rPr>
          <w:rStyle w:val="FootnoteReference"/>
        </w:rPr>
        <w:footnoteReference w:id="1230"/>
      </w:r>
      <w:r>
        <w:t xml:space="preserve">在此事件之后，使徒们成为「国度永无穷尽」的见证人。</w:t>
      </w:r>
      <w:r>
        <w:rPr>
          <w:rStyle w:val="FootnoteReference"/>
        </w:rPr>
        <w:footnoteReference w:id="1231"/>
      </w:r>
    </w:p>
    <w:bookmarkStart w:id="1232" w:name="综述-19"/>
    <w:p>
      <w:pPr>
        <w:pStyle w:val="Heading5"/>
      </w:pPr>
      <w:r>
        <w:t xml:space="preserve">综述</w:t>
      </w:r>
    </w:p>
    <w:p>
      <w:pPr>
        <w:pStyle w:val="FirstParagraph"/>
      </w:pPr>
      <w:r>
        <w:t xml:space="preserve">基督的升天标志着耶稣的人性决定性地进入了神的天国，他将从那里再来（参</w:t>
      </w:r>
      <w:r>
        <w:rPr>
          <w:i/>
          <w:iCs/>
        </w:rPr>
        <w:t xml:space="preserve">徒</w:t>
      </w:r>
      <w:r>
        <w:t xml:space="preserve">1:11）；在此期间，这人性将他隐藏，人的眼睛看不见他（参</w:t>
      </w:r>
      <w:r>
        <w:rPr>
          <w:i/>
          <w:iCs/>
        </w:rPr>
        <w:t xml:space="preserve">西</w:t>
      </w:r>
      <w:r>
        <w:t xml:space="preserve">3:3）。</w:t>
      </w:r>
    </w:p>
    <w:p>
      <w:pPr>
        <w:pStyle w:val="BodyText"/>
      </w:pPr>
      <w:r>
        <w:t xml:space="preserve">耶稣基督，教会的元首，在我们以前进入了圣父荣耀的国度，为使我们这些他身体的肢体，怀着有朝一日永远与他在一起的希望而生活。</w:t>
      </w:r>
    </w:p>
    <w:p>
      <w:pPr>
        <w:pStyle w:val="BodyText"/>
      </w:pPr>
      <w:r>
        <w:t xml:space="preserve">耶稣基督一次而永远地进入了天上的圣所，作为中保不断为我们代求，他向我们保证圣灵不断地倾注。</w:t>
      </w:r>
    </w:p>
    <w:p>
      <w:r>
        <w:br w:type="page"/>
      </w:r>
    </w:p>
    <w:bookmarkEnd w:id="1232"/>
    <w:bookmarkEnd w:id="1233"/>
    <w:bookmarkStart w:id="1280" w:name="第七条他要从那里再来审判活人死人"/>
    <w:p>
      <w:pPr>
        <w:pStyle w:val="Heading4"/>
      </w:pPr>
      <w:r>
        <w:t xml:space="preserve">第七条：「他要从那里再来，审判活人死人」</w:t>
      </w:r>
    </w:p>
    <w:bookmarkStart w:id="1269" w:name="一他要在荣耀中再来"/>
    <w:p>
      <w:pPr>
        <w:pStyle w:val="Heading5"/>
      </w:pPr>
      <w:r>
        <w:t xml:space="preserve">一、他要在荣耀中再来</w:t>
      </w:r>
    </w:p>
    <w:p>
      <w:pPr>
        <w:pStyle w:val="FirstParagraph"/>
      </w:pPr>
      <w:r>
        <w:t xml:space="preserve">「基督死了，又活了，为要作死人并活人的主。」</w:t>
      </w:r>
      <w:r>
        <w:rPr>
          <w:rStyle w:val="FootnoteReference"/>
        </w:rPr>
        <w:footnoteReference w:id="1234"/>
      </w:r>
      <w:r>
        <w:t xml:space="preserve">基督升天，表明他在人性中有分于神的权能和权柄。耶稣基督是主，他拥有天上地下所有的权柄。他「超乎一切执政的、掌权的、有能的、主治的」，因为圣父「已将万有服在他的脚下」</w:t>
      </w:r>
      <w:r>
        <w:rPr>
          <w:rStyle w:val="FootnoteReference"/>
        </w:rPr>
        <w:footnoteReference w:id="1235"/>
      </w:r>
      <w:r>
        <w:t xml:space="preserve">基督是宇宙和历史的主。在他内，人类历史和整个受造界都被「摆列」，并超越性地得以完成。</w:t>
      </w:r>
      <w:r>
        <w:rPr>
          <w:rStyle w:val="FootnoteReference"/>
        </w:rPr>
        <w:footnoteReference w:id="1236"/>
      </w:r>
    </w:p>
    <w:p>
      <w:pPr>
        <w:pStyle w:val="BodyText"/>
      </w:pPr>
      <w:r>
        <w:t xml:space="preserve">基督作为主，也是教会的头，教会是他的身体。</w:t>
      </w:r>
      <w:r>
        <w:rPr>
          <w:rStyle w:val="FootnoteReference"/>
        </w:rPr>
        <w:footnoteReference w:id="1237"/>
      </w:r>
      <w:r>
        <w:t xml:space="preserve">他完成了自己的使命后，被接升天，并得到荣耀。基督藉着圣灵，凭借救赎所赐的权柄，在他的教会内居住在世上。「基督的国在奥秘中已临在」，「在地上，它是天国的萌芽和开端」。</w:t>
      </w:r>
      <w:r>
        <w:rPr>
          <w:rStyle w:val="FootnoteReference"/>
        </w:rPr>
        <w:footnoteReference w:id="1238"/>
      </w:r>
    </w:p>
    <w:p>
      <w:pPr>
        <w:pStyle w:val="BodyText"/>
      </w:pPr>
      <w:r>
        <w:t xml:space="preserve">自从基督升天，神的计划已经进入了它的完成阶段。我们已经处在「末时」。</w:t>
      </w:r>
      <w:r>
        <w:rPr>
          <w:rStyle w:val="FootnoteReference"/>
        </w:rPr>
        <w:footnoteReference w:id="1239"/>
      </w:r>
      <w:r>
        <w:t xml:space="preserve">「世界的最后时期已经与我们同在，世界的更新已经不可逆转地展开；甚至现在就以某种真实的方式被预先体验，因为地上的教会已被赋予真实但尚不完美的圣洁。」</w:t>
      </w:r>
      <w:r>
        <w:rPr>
          <w:rStyle w:val="FootnoteReference"/>
        </w:rPr>
        <w:footnoteReference w:id="1240"/>
      </w:r>
      <w:r>
        <w:t xml:space="preserve">基督的国度已藉着教会宣讲时伴随的奇迹异能，彰显其临在。</w:t>
      </w:r>
      <w:r>
        <w:rPr>
          <w:rStyle w:val="FootnoteReference"/>
        </w:rPr>
        <w:footnoteReference w:id="1241"/>
      </w:r>
    </w:p>
    <w:p>
      <w:pPr>
        <w:pStyle w:val="BodyText"/>
      </w:pPr>
      <w:r>
        <w:t xml:space="preserve">虽然基督的国已临在他的教会内，但仍有待君王重返地上，以「大能和大荣耀」来完成他的统治。</w:t>
      </w:r>
      <w:r>
        <w:rPr>
          <w:rStyle w:val="FootnoteReference"/>
        </w:rPr>
        <w:footnoteReference w:id="1242"/>
      </w:r>
      <w:r>
        <w:t xml:space="preserve">这个国度仍受到邪恶势力的攻击，尽管它们已在根本上被基督的逾越奥秘击败。</w:t>
      </w:r>
      <w:r>
        <w:rPr>
          <w:rStyle w:val="FootnoteReference"/>
        </w:rPr>
        <w:footnoteReference w:id="1243"/>
      </w:r>
      <w:r>
        <w:t xml:space="preserve">直到万有都服从基督，「直到新天新地实现，正义居住其中，旅途中的教会在她的圣事和制度中，怀有将要过去的此世的印记，她自己也处于叹息和产痛的受造之物中，期待神的儿女的显扬。」</w:t>
      </w:r>
      <w:r>
        <w:rPr>
          <w:rStyle w:val="FootnoteReference"/>
        </w:rPr>
        <w:footnoteReference w:id="1244"/>
      </w:r>
      <w:r>
        <w:t xml:space="preserve">为此，基督徒祈祷，尤其在圣餐中，催促基督速速再来，对他说：</w:t>
      </w:r>
      <w:r>
        <w:rPr>
          <w:rStyle w:val="FootnoteReference"/>
        </w:rPr>
        <w:footnoteReference w:id="1245"/>
      </w:r>
      <w:r>
        <w:rPr>
          <w:i/>
          <w:iCs/>
        </w:rPr>
        <w:t xml:space="preserve">Marana tha</w:t>
      </w:r>
      <w:r>
        <w:t xml:space="preserve">！「主耶稣，我们的主，你来吧！」</w:t>
      </w:r>
      <w:r>
        <w:rPr>
          <w:rStyle w:val="FootnoteReference"/>
        </w:rPr>
        <w:footnoteReference w:id="1246"/>
      </w:r>
    </w:p>
    <w:p>
      <w:pPr>
        <w:pStyle w:val="BodyText"/>
      </w:pPr>
      <w:r>
        <w:t xml:space="preserve">基督升天前确认，以色列所期待的弥赛亚国度，尚未到建立的时候。</w:t>
      </w:r>
      <w:r>
        <w:rPr>
          <w:rStyle w:val="FootnoteReference"/>
        </w:rPr>
        <w:footnoteReference w:id="1247"/>
      </w:r>
      <w:r>
        <w:t xml:space="preserve">按照先知的预言，这国度要给所有人带来正义、爱和平安的终极秩序。</w:t>
      </w:r>
      <w:r>
        <w:rPr>
          <w:rStyle w:val="FootnoteReference"/>
        </w:rPr>
        <w:footnoteReference w:id="1248"/>
      </w:r>
      <w:r>
        <w:t xml:space="preserve">按照主的话，现今是圣灵和见证的时期，但也是一个仍有「灾难」和邪恶考验的时期，连教会也不能幸免，</w:t>
      </w:r>
      <w:r>
        <w:rPr>
          <w:rStyle w:val="FootnoteReference"/>
        </w:rPr>
        <w:footnoteReference w:id="1249"/>
      </w:r>
      <w:r>
        <w:t xml:space="preserve">这引发了最后时日的斗争。这是一个等待和警醒的时期。</w:t>
      </w:r>
      <w:r>
        <w:rPr>
          <w:rStyle w:val="FootnoteReference"/>
        </w:rPr>
        <w:footnoteReference w:id="1250"/>
      </w:r>
    </w:p>
    <w:bookmarkStart w:id="1259" w:name="基督荣耀降临以色列的盼望"/>
    <w:p>
      <w:pPr>
        <w:pStyle w:val="Heading6"/>
      </w:pPr>
      <w:r>
        <w:t xml:space="preserve">基督荣耀降临，以色列的盼望</w:t>
      </w:r>
    </w:p>
    <w:p>
      <w:pPr>
        <w:pStyle w:val="FirstParagraph"/>
      </w:pPr>
      <w:r>
        <w:t xml:space="preserve">自从基督升天后，他在荣耀中的来临就迫在眉睫，</w:t>
      </w:r>
      <w:r>
        <w:rPr>
          <w:rStyle w:val="FootnoteReference"/>
        </w:rPr>
        <w:footnoteReference w:id="1251"/>
      </w:r>
      <w:r>
        <w:t xml:space="preserve">尽管「那日子、那时辰，没有人知道，连天上的使者也不知道，子也不知道，惟独父知道。」</w:t>
      </w:r>
      <w:r>
        <w:rPr>
          <w:rStyle w:val="FootnoteReference"/>
        </w:rPr>
        <w:footnoteReference w:id="1252"/>
      </w:r>
      <w:r>
        <w:t xml:space="preserve">这末世的来临随时都可能发生，即使它和在它之前的最后考验都被「延迟」。</w:t>
      </w:r>
      <w:r>
        <w:rPr>
          <w:rStyle w:val="FootnoteReference"/>
        </w:rPr>
        <w:footnoteReference w:id="1253"/>
      </w:r>
    </w:p>
    <w:p>
      <w:pPr>
        <w:pStyle w:val="BodyText"/>
      </w:pPr>
      <w:r>
        <w:t xml:space="preserve">在历史的每一刻，荣耀的弥赛亚的来临都被悬置，直到「全以色列」承认他，因为「以色列人有几分是硬心的」，对耶稣「不信」。</w:t>
      </w:r>
      <w:r>
        <w:rPr>
          <w:rStyle w:val="FootnoteReference"/>
        </w:rPr>
        <w:footnoteReference w:id="1254"/>
      </w:r>
      <w:r>
        <w:t xml:space="preserve">圣彼得在五旬节后对耶路撒冷的犹太人说：「所以，你们当悔改归正，使你们的罪得以涂抹，这样，那安舒的日子就必从主面前来到，主也必差遣所预定给你们的基督耶稣降临。天必留他，等到万物复兴的时候，就是神从创世以来藉着圣先知的口所说的。」</w:t>
      </w:r>
      <w:r>
        <w:rPr>
          <w:rStyle w:val="FootnoteReference"/>
        </w:rPr>
        <w:footnoteReference w:id="1255"/>
      </w:r>
      <w:r>
        <w:t xml:space="preserve">圣保罗也呼应他：「若他们被丢弃，天下就得与神和好，他们被收纳，岂不是死而复生吗？」</w:t>
      </w:r>
      <w:r>
        <w:rPr>
          <w:rStyle w:val="FootnoteReference"/>
        </w:rPr>
        <w:footnoteReference w:id="1256"/>
      </w:r>
      <w:r>
        <w:t xml:space="preserve">犹太人在「外邦人的数目添满」后，</w:t>
      </w:r>
      <w:r>
        <w:rPr>
          <w:rStyle w:val="FootnoteReference"/>
        </w:rPr>
        <w:footnoteReference w:id="1257"/>
      </w:r>
      <w:r>
        <w:t xml:space="preserve">「全体归入」弥赛亚的救恩，这将使神的子民达到「基督丰满长成的身量」，在其中「神在万有之上，为万有之主」。</w:t>
      </w:r>
      <w:r>
        <w:rPr>
          <w:rStyle w:val="FootnoteReference"/>
        </w:rPr>
        <w:footnoteReference w:id="1258"/>
      </w:r>
    </w:p>
    <w:bookmarkEnd w:id="1259"/>
    <w:bookmarkStart w:id="1268" w:name="教会最后的考验"/>
    <w:p>
      <w:pPr>
        <w:pStyle w:val="Heading6"/>
      </w:pPr>
      <w:r>
        <w:t xml:space="preserve">教会最后的考验</w:t>
      </w:r>
    </w:p>
    <w:p>
      <w:pPr>
        <w:pStyle w:val="FirstParagraph"/>
      </w:pPr>
      <w:r>
        <w:t xml:space="preserve">在基督第二次来临之前，教会必须经历一个最后的考验，这将动摇许多信徒的信仰。</w:t>
      </w:r>
      <w:r>
        <w:rPr>
          <w:rStyle w:val="FootnoteReference"/>
        </w:rPr>
        <w:footnoteReference w:id="1260"/>
      </w:r>
      <w:r>
        <w:t xml:space="preserve">伴随她在世上旅途的迫害</w:t>
      </w:r>
      <w:r>
        <w:rPr>
          <w:rStyle w:val="FootnoteReference"/>
        </w:rPr>
        <w:footnoteReference w:id="1261"/>
      </w:r>
      <w:r>
        <w:t xml:space="preserve">将揭示「不法的隐意」，以一种宗教欺骗的形式，向人提供一个表面上解决他们问题的方案，代价是背弃真理。至高的宗教欺骗就是敌基督，一种假弥赛亚主义，藉此人将荣耀归于自己而不是神和他道成肉身的弥赛亚。</w:t>
      </w:r>
      <w:r>
        <w:rPr>
          <w:rStyle w:val="FootnoteReference"/>
        </w:rPr>
        <w:footnoteReference w:id="1262"/>
      </w:r>
    </w:p>
    <w:p>
      <w:pPr>
        <w:pStyle w:val="BodyText"/>
      </w:pPr>
      <w:r>
        <w:t xml:space="preserve">每当有人声称要在历史中实现那唯有通过末世审判才能在历史之外实现的弥赛亚希望时，敌基督的欺骗就已经开始在世界上成形。教会甚至拒绝了这种对未来国度的歪曲的修正形式，称之为千禧年主义，</w:t>
      </w:r>
      <w:r>
        <w:rPr>
          <w:rStyle w:val="FootnoteReference"/>
        </w:rPr>
        <w:footnoteReference w:id="1263"/>
      </w:r>
      <w:r>
        <w:t xml:space="preserve">尤其是世俗弥赛亚主义在政治上的「本质上邪恶」形式。</w:t>
      </w:r>
      <w:r>
        <w:rPr>
          <w:rStyle w:val="FootnoteReference"/>
        </w:rPr>
        <w:footnoteReference w:id="1264"/>
      </w:r>
    </w:p>
    <w:p>
      <w:pPr>
        <w:pStyle w:val="BodyText"/>
      </w:pPr>
      <w:r>
        <w:t xml:space="preserve">教会只有通过这最后的逾越节，跟随她的主经历他的死亡和复活，才能进入国度的荣耀。</w:t>
      </w:r>
      <w:r>
        <w:rPr>
          <w:rStyle w:val="FootnoteReference"/>
        </w:rPr>
        <w:footnoteReference w:id="1265"/>
      </w:r>
      <w:r>
        <w:t xml:space="preserve">那时，国度的实现不是藉着教会通过渐进式的优势取得历史性胜利，而只能藉着神战胜最后爆发的邪恶，使他的新妇从天而降。</w:t>
      </w:r>
      <w:r>
        <w:rPr>
          <w:rStyle w:val="FootnoteReference"/>
        </w:rPr>
        <w:footnoteReference w:id="1266"/>
      </w:r>
      <w:r>
        <w:t xml:space="preserve">神战胜邪恶的叛乱，将以最后审判的形式，在这个将逝世界最后的宇宙大灾变之后实现。</w:t>
      </w:r>
      <w:r>
        <w:rPr>
          <w:rStyle w:val="FootnoteReference"/>
        </w:rPr>
        <w:footnoteReference w:id="1267"/>
      </w:r>
    </w:p>
    <w:bookmarkEnd w:id="1268"/>
    <w:bookmarkEnd w:id="1269"/>
    <w:bookmarkStart w:id="1278" w:name="二审判活人死人"/>
    <w:p>
      <w:pPr>
        <w:pStyle w:val="Heading5"/>
      </w:pPr>
      <w:r>
        <w:t xml:space="preserve">二、审判活人死人</w:t>
      </w:r>
    </w:p>
    <w:p>
      <w:pPr>
        <w:pStyle w:val="FirstParagraph"/>
      </w:pPr>
      <w:r>
        <w:t xml:space="preserve">耶稣跟随先知和施洗约翰的脚步，在他的宣讲中宣告了末日的审判。</w:t>
      </w:r>
      <w:r>
        <w:rPr>
          <w:rStyle w:val="FootnoteReference"/>
        </w:rPr>
        <w:footnoteReference w:id="1270"/>
      </w:r>
      <w:r>
        <w:t xml:space="preserve">那时，每个人的行为和内心的隐秘都要被揭露。</w:t>
      </w:r>
      <w:r>
        <w:rPr>
          <w:rStyle w:val="FootnoteReference"/>
        </w:rPr>
        <w:footnoteReference w:id="1271"/>
      </w:r>
      <w:r>
        <w:t xml:space="preserve">那时，有罪的不信，就是藐视神恩典的邀请，将被定罪。</w:t>
      </w:r>
      <w:r>
        <w:rPr>
          <w:rStyle w:val="FootnoteReference"/>
        </w:rPr>
        <w:footnoteReference w:id="1272"/>
      </w:r>
      <w:r>
        <w:t xml:space="preserve">我们对近人的态度，将显明我们是接受还是拒绝恩典和神的爱。</w:t>
      </w:r>
      <w:r>
        <w:rPr>
          <w:rStyle w:val="FootnoteReference"/>
        </w:rPr>
        <w:footnoteReference w:id="1273"/>
      </w:r>
      <w:r>
        <w:t xml:space="preserve">在最后的日子，耶稣要说：「我实在告诉你们，这些事你们既做在我这弟兄中一个最小的身上，就是做在我身上了。」</w:t>
      </w:r>
      <w:r>
        <w:rPr>
          <w:rStyle w:val="FootnoteReference"/>
        </w:rPr>
        <w:footnoteReference w:id="1274"/>
      </w:r>
    </w:p>
    <w:p>
      <w:pPr>
        <w:pStyle w:val="BodyText"/>
      </w:pPr>
      <w:r>
        <w:t xml:space="preserve">基督是永生的主。作为世界的救赎主，对世人的行为和内心做出最终审判的权柄完全属于他。他藉着十字架「获得」了这权柄。天父已经把「审判的事全交与子」。</w:t>
      </w:r>
      <w:r>
        <w:rPr>
          <w:rStyle w:val="FootnoteReference"/>
        </w:rPr>
        <w:footnoteReference w:id="1275"/>
      </w:r>
      <w:r>
        <w:t xml:space="preserve">然而，子来不是为审判，而是为拯救，并将自己内在的生命赐予人。</w:t>
      </w:r>
      <w:r>
        <w:rPr>
          <w:rStyle w:val="FootnoteReference"/>
        </w:rPr>
        <w:footnoteReference w:id="1276"/>
      </w:r>
      <w:r>
        <w:t xml:space="preserve">人在今生拒绝恩典，就是审判自己，照自己的行为受报应，甚至因拒绝爱的圣灵，而使自己永远被定罪。</w:t>
      </w:r>
      <w:r>
        <w:rPr>
          <w:rStyle w:val="FootnoteReference"/>
        </w:rPr>
        <w:footnoteReference w:id="1277"/>
      </w:r>
    </w:p>
    <w:bookmarkEnd w:id="1278"/>
    <w:bookmarkStart w:id="1279" w:name="综述-20"/>
    <w:p>
      <w:pPr>
        <w:pStyle w:val="Heading5"/>
      </w:pPr>
      <w:r>
        <w:t xml:space="preserve">综述</w:t>
      </w:r>
    </w:p>
    <w:p>
      <w:pPr>
        <w:pStyle w:val="FirstParagraph"/>
      </w:pPr>
      <w:r>
        <w:t xml:space="preserve">主基督已藉着教会掌权，但此世万物尚未臣服于他。基督国度的胜利，非经恶势力最后一次的猛攻不能实现。</w:t>
      </w:r>
    </w:p>
    <w:p>
      <w:pPr>
        <w:pStyle w:val="BodyText"/>
      </w:pPr>
      <w:r>
        <w:t xml:space="preserve">在世界末日的审判日，基督要在荣耀中降临，使善终极战胜恶。善与恶如同麦子和稗子，在历史进程中一同生长。</w:t>
      </w:r>
    </w:p>
    <w:p>
      <w:pPr>
        <w:pStyle w:val="BodyText"/>
      </w:pPr>
      <w:r>
        <w:t xml:space="preserve">当他在时间终结时来临，审判活人死人，荣耀的基督将揭示心灵隐秘的倾向，并按各人的行为，以及接受或拒绝恩典的态度，报应各人。</w:t>
      </w:r>
    </w:p>
    <w:p>
      <w:r>
        <w:br w:type="page"/>
      </w:r>
    </w:p>
    <w:bookmarkEnd w:id="1279"/>
    <w:bookmarkEnd w:id="1280"/>
    <w:bookmarkEnd w:id="1281"/>
    <w:bookmarkStart w:id="1962" w:name="第三章我信圣灵"/>
    <w:p>
      <w:pPr>
        <w:pStyle w:val="Heading3"/>
      </w:pPr>
      <w:r>
        <w:t xml:space="preserve">第三章：我信圣灵</w:t>
      </w:r>
    </w:p>
    <w:p>
      <w:pPr>
        <w:pStyle w:val="FirstParagraph"/>
      </w:pPr>
      <w:r>
        <w:t xml:space="preserve">「若不是被圣灵感动，也没有能说『耶稣是主』的。」</w:t>
      </w:r>
      <w:r>
        <w:rPr>
          <w:rStyle w:val="FootnoteReference"/>
        </w:rPr>
        <w:footnoteReference w:id="1282"/>
      </w:r>
      <w:r>
        <w:t xml:space="preserve">「你们既为儿子，神就差他儿子的灵进入你们的心，呼叫：『</w:t>
      </w:r>
      <w:r>
        <w:rPr>
          <w:i/>
          <w:iCs/>
        </w:rPr>
        <w:t xml:space="preserve">阿爸</w:t>
      </w:r>
      <w:r>
        <w:t xml:space="preserve">！父！』」</w:t>
      </w:r>
      <w:r>
        <w:rPr>
          <w:rStyle w:val="FootnoteReference"/>
        </w:rPr>
        <w:footnoteReference w:id="1283"/>
      </w:r>
      <w:r>
        <w:t xml:space="preserve">唯有在圣灵里，才能有这信心的知识：要与基督接触，我们必须先被圣灵感动。他来与我们相遇，在我们心中点燃信心之火。藉着我们的洗礼，即信心的第一件圣事，教会中的圣灵亲密而个别地将源于父并在子里赐予我们的生命传达给我们。</w:t>
      </w:r>
    </w:p>
    <w:p>
      <w:pPr>
        <w:pStyle w:val="BodyText"/>
      </w:pPr>
      <w:r>
        <w:t xml:space="preserve">洗礼赐给我们重生的恩典，使我们在父神里，藉着他的圣子，在圣灵里得以重生。因为凡拥有神的灵的人，就被引到道，也就是圣子那里；圣子将他们呈献给父，父就赐给他们不朽坏的生命。没有圣灵，就不可能看见神的儿子；没有圣子，就没有人能到父那里去。因为对父的认识就是圣子，而对神儿子的认识则是通过圣灵获得的。</w:t>
      </w:r>
      <w:r>
        <w:rPr>
          <w:rStyle w:val="FootnoteReference"/>
        </w:rPr>
        <w:footnoteReference w:id="1284"/>
      </w:r>
    </w:p>
    <w:p>
      <w:pPr>
        <w:pStyle w:val="BodyText"/>
      </w:pPr>
      <w:r>
        <w:t xml:space="preserve">藉着他的恩典，圣灵首先在我们里面唤醒信心，并将新生命传达给我们，这新生命就是「认识你独一的真神，并且认识你所差来的耶稣基督」。</w:t>
      </w:r>
      <w:r>
        <w:rPr>
          <w:rStyle w:val="FootnoteReference"/>
        </w:rPr>
        <w:footnoteReference w:id="1285"/>
      </w:r>
      <w:r>
        <w:t xml:space="preserve">但是，在圣三一的各位格中，圣灵是最后一位被启示的。纳齐安的圣额我略，这位神学家，用神「屈尊就卑」的教导法来解释这一进程：</w:t>
      </w:r>
    </w:p>
    <w:p>
      <w:pPr>
        <w:pStyle w:val="BodyText"/>
      </w:pPr>
      <w:r>
        <w:t xml:space="preserve">旧约清楚地宣告了父，但对子却是比较隐晦。新约启示了子，让我们瞥见圣灵的本性。如今圣灵住在我们中间，赐给我们更清晰地看见他自己。当人还未承认父的本性时，就公开宣告子是不谨慎的；而当人还不承认子的本性时，就加上圣灵这额外的负担，可说是有点大胆了。……藉着不断前进，「从荣耀到荣耀」，三位一体的光辉必将以更灿烂的光芒照耀。</w:t>
      </w:r>
      <w:r>
        <w:rPr>
          <w:rStyle w:val="FootnoteReference"/>
        </w:rPr>
        <w:footnoteReference w:id="1286"/>
      </w:r>
    </w:p>
    <w:p>
      <w:pPr>
        <w:pStyle w:val="BodyText"/>
      </w:pPr>
      <w:r>
        <w:t xml:space="preserve">信圣灵就是宣认圣灵是圣三位中的一位，与圣父圣子同质：「和圣父、圣子同受敬拜，同享荣耀」。</w:t>
      </w:r>
      <w:r>
        <w:rPr>
          <w:rStyle w:val="FootnoteReference"/>
        </w:rPr>
        <w:footnoteReference w:id="1287"/>
      </w:r>
      <w:r>
        <w:t xml:space="preserve">为此，圣灵的奥秘已经在三位一体的教义范畴里论述过了。然而，在此我们只探讨圣灵在救恩计划中的角色。</w:t>
      </w:r>
    </w:p>
    <w:p>
      <w:pPr>
        <w:pStyle w:val="BodyText"/>
      </w:pPr>
      <w:r>
        <w:t xml:space="preserve">从救恩计划的开始到完成，圣灵与圣父、圣子一同工作。但在这「末后的日子」，藉着圣子救赎性的道成肉身揭开序幕，圣灵被启示、被赐下，被认识并被当作一位位格而欢迎。如今这神的计划，在基督里完成，在新创造的长子和元首基督里，藉着圣灵的浇灌体现在人类身上：就是教会、圣徒相通、罪得赦免、身体复活，并且永生。</w:t>
      </w:r>
    </w:p>
    <w:p>
      <w:r>
        <w:br w:type="page"/>
      </w:r>
    </w:p>
    <w:bookmarkStart w:id="1436" w:name="第八条我信圣灵"/>
    <w:p>
      <w:pPr>
        <w:pStyle w:val="Heading4"/>
      </w:pPr>
      <w:r>
        <w:t xml:space="preserve">第八条：「我信圣灵」</w:t>
      </w:r>
    </w:p>
    <w:p>
      <w:pPr>
        <w:pStyle w:val="FirstParagraph"/>
      </w:pPr>
      <w:r>
        <w:t xml:space="preserve">「除了神的灵，也没有人知道神的事。」</w:t>
      </w:r>
      <w:r>
        <w:rPr>
          <w:rStyle w:val="FootnoteReference"/>
        </w:rPr>
        <w:footnoteReference w:id="1288"/>
      </w:r>
      <w:r>
        <w:t xml:space="preserve">现在，启示神的神的灵将基督，就是他的道，他活泼的话，显明给我们知道，但圣灵并不是在说自己的事。「藉众先知说话」的圣灵使我们听见父的道，但我们却听不见圣灵自己。我们只有在他将道启示给我们，并使我们愿意以信心接受的动力中认识他。那位要将基督「指示」我们的真理的圣灵，「不是凭自己说的」。</w:t>
      </w:r>
      <w:r>
        <w:rPr>
          <w:rStyle w:val="FootnoteReference"/>
        </w:rPr>
        <w:footnoteReference w:id="1289"/>
      </w:r>
      <w:r>
        <w:t xml:space="preserve">这种真正属神的自我隐藏，解释了为什么「世人不能接受他，因为不见他，也不认识他」，而那些信基督的人却认识圣灵，因为他与他们同在。</w:t>
      </w:r>
      <w:r>
        <w:rPr>
          <w:rStyle w:val="FootnoteReference"/>
        </w:rPr>
        <w:footnoteReference w:id="1290"/>
      </w:r>
    </w:p>
    <w:p>
      <w:pPr>
        <w:pStyle w:val="BodyText"/>
      </w:pPr>
      <w:r>
        <w:t xml:space="preserve">教会是一个生活在使徒信心中的共融，她传递这信心，也是我们认识圣灵的地方：</w:t>
      </w:r>
    </w:p>
    <w:p>
      <w:pPr>
        <w:numPr>
          <w:ilvl w:val="0"/>
          <w:numId w:val="1008"/>
        </w:numPr>
      </w:pPr>
      <w:r>
        <w:t xml:space="preserve">在他所默示的圣经中；</w:t>
      </w:r>
    </w:p>
    <w:p>
      <w:pPr>
        <w:numPr>
          <w:ilvl w:val="0"/>
          <w:numId w:val="1008"/>
        </w:numPr>
      </w:pPr>
      <w:r>
        <w:t xml:space="preserve">在教父们总是合时作见证的圣传中；</w:t>
      </w:r>
    </w:p>
    <w:p>
      <w:pPr>
        <w:numPr>
          <w:ilvl w:val="0"/>
          <w:numId w:val="1008"/>
        </w:numPr>
      </w:pPr>
      <w:r>
        <w:t xml:space="preserve">在他所协助的教会训导权中，</w:t>
      </w:r>
    </w:p>
    <w:p>
      <w:pPr>
        <w:numPr>
          <w:ilvl w:val="0"/>
          <w:numId w:val="1008"/>
        </w:numPr>
      </w:pPr>
      <w:r>
        <w:t xml:space="preserve">在圣事礼仪中，藉着它的言语和象征，圣灵使我们与基督共融，</w:t>
      </w:r>
    </w:p>
    <w:p>
      <w:pPr>
        <w:numPr>
          <w:ilvl w:val="0"/>
          <w:numId w:val="1008"/>
        </w:numPr>
      </w:pPr>
      <w:r>
        <w:t xml:space="preserve">在祈祷中，圣灵为我们代求，</w:t>
      </w:r>
    </w:p>
    <w:p>
      <w:pPr>
        <w:numPr>
          <w:ilvl w:val="0"/>
          <w:numId w:val="1008"/>
        </w:numPr>
      </w:pPr>
      <w:r>
        <w:t xml:space="preserve">在建立教会的神恩和职分中，</w:t>
      </w:r>
    </w:p>
    <w:p>
      <w:pPr>
        <w:numPr>
          <w:ilvl w:val="0"/>
          <w:numId w:val="1008"/>
        </w:numPr>
      </w:pPr>
      <w:r>
        <w:t xml:space="preserve">在使徒和传教生活的标记中；</w:t>
      </w:r>
    </w:p>
    <w:p>
      <w:pPr>
        <w:numPr>
          <w:ilvl w:val="0"/>
          <w:numId w:val="1008"/>
        </w:numPr>
      </w:pPr>
      <w:r>
        <w:t xml:space="preserve">在圣徒的见证中，他藉着他们彰显他的圣洁，并继续救恩的工作。</w:t>
      </w:r>
    </w:p>
    <w:bookmarkStart w:id="1297" w:name="一圣子和灵的联合使命"/>
    <w:p>
      <w:pPr>
        <w:pStyle w:val="Heading5"/>
      </w:pPr>
      <w:r>
        <w:t xml:space="preserve">一、圣子和灵的联合使命</w:t>
      </w:r>
    </w:p>
    <w:p>
      <w:pPr>
        <w:pStyle w:val="FirstParagraph"/>
      </w:pPr>
      <w:r>
        <w:t xml:space="preserve">你们既为儿子，神就差他儿子的灵进入你们的心里。</w:t>
      </w:r>
      <w:r>
        <w:rPr>
          <w:rStyle w:val="FootnoteReference"/>
        </w:rPr>
        <w:footnoteReference w:id="1291"/>
      </w:r>
      <w:r>
        <w:t xml:space="preserve">圣灵与父、子同质，无论在三位一体内在的生命中，或是在他对世界的爱的恩赐里，都是不可分割的。教会的信仰在朝拜赐生命的、同质的、不可分割的三位一体时，也宣认位格的区别。当父差遣他的道时，他总是同时差遣他的气息。在他们联合的使命中，圣子和灵是有区别但不可分割的。诚然，我们所看见的是基督，是那不能看见之神的可见形像，但启示他的却是圣灵。</w:t>
      </w:r>
    </w:p>
    <w:p>
      <w:pPr>
        <w:pStyle w:val="BodyText"/>
      </w:pPr>
      <w:r>
        <w:t xml:space="preserve">耶稣是基督，「受膏者」，因为圣灵是他的膏油，从道成肉身开始发生的一切都源于这丰盛。</w:t>
      </w:r>
      <w:r>
        <w:rPr>
          <w:rStyle w:val="FootnoteReference"/>
        </w:rPr>
        <w:footnoteReference w:id="1292"/>
      </w:r>
      <w:r>
        <w:t xml:space="preserve">当基督最终得荣耀时，</w:t>
      </w:r>
      <w:r>
        <w:rPr>
          <w:rStyle w:val="FootnoteReference"/>
        </w:rPr>
        <w:footnoteReference w:id="1293"/>
      </w:r>
      <w:r>
        <w:t xml:space="preserve">他就能从他在父那里的位置，将圣灵差遣给那些信他的人：他将自己的荣耀，</w:t>
      </w:r>
      <w:r>
        <w:rPr>
          <w:rStyle w:val="FootnoteReference"/>
        </w:rPr>
        <w:footnoteReference w:id="1294"/>
      </w:r>
      <w:r>
        <w:t xml:space="preserve">就是那荣耀他的圣灵，传给他们。</w:t>
      </w:r>
      <w:r>
        <w:rPr>
          <w:rStyle w:val="FootnoteReference"/>
        </w:rPr>
        <w:footnoteReference w:id="1295"/>
      </w:r>
      <w:r>
        <w:t xml:space="preserve">从那时起，这联合的使命就在父藉着他儿子的身体所收纳的儿女们身上彰显：使他们与基督联合，并在他里面生活，这就是使人得儿子名分之圣灵的使命：</w:t>
      </w:r>
    </w:p>
    <w:p>
      <w:pPr>
        <w:pStyle w:val="BodyText"/>
      </w:pPr>
      <w:r>
        <w:t xml:space="preserve">膏抹的概念表明…在圣子与圣灵之间没有距离。事实上，正如在身体的表面与膏油之间，理性或感觉都不承认有任何中介，照样，圣子与圣灵的接触是直接的，因此任何人若要藉信心与圣子接触，必须先藉接触油膏。事实上，没有一个部分不被圣灵所覆盖。这就是为什么那些接受他的人要在圣灵里承认圣子的主权，圣灵从四面八方临到那些凭信心接近圣子的人。</w:t>
      </w:r>
      <w:r>
        <w:rPr>
          <w:rStyle w:val="FootnoteReference"/>
        </w:rPr>
        <w:footnoteReference w:id="1296"/>
      </w:r>
    </w:p>
    <w:bookmarkEnd w:id="1297"/>
    <w:bookmarkStart w:id="1345" w:name="二圣灵的名字称号和象征"/>
    <w:p>
      <w:pPr>
        <w:pStyle w:val="Heading5"/>
      </w:pPr>
      <w:r>
        <w:t xml:space="preserve">二、圣灵的名字、称号和象征</w:t>
      </w:r>
    </w:p>
    <w:bookmarkStart w:id="1300" w:name="圣灵的本名"/>
    <w:p>
      <w:pPr>
        <w:pStyle w:val="Heading6"/>
      </w:pPr>
      <w:r>
        <w:t xml:space="preserve">圣灵的本名</w:t>
      </w:r>
    </w:p>
    <w:p>
      <w:pPr>
        <w:pStyle w:val="FirstParagraph"/>
      </w:pPr>
      <w:r>
        <w:t xml:space="preserve">「圣灵」是我们与圣父圣子一起朝拜和荣耀的那一位的本名。教会从主领受了这名字，并在为新儿女施洗时宣认它。</w:t>
      </w:r>
      <w:r>
        <w:rPr>
          <w:rStyle w:val="FootnoteReference"/>
        </w:rPr>
        <w:footnoteReference w:id="1298"/>
      </w:r>
    </w:p>
    <w:p>
      <w:pPr>
        <w:pStyle w:val="BodyText"/>
      </w:pPr>
      <w:r>
        <w:t xml:space="preserve">「灵」一词翻译自希伯来文</w:t>
      </w:r>
      <w:r>
        <w:t xml:space="preserve"> </w:t>
      </w:r>
      <w:r>
        <w:rPr>
          <w:i/>
          <w:iCs/>
        </w:rPr>
        <w:t xml:space="preserve">ruah</w:t>
      </w:r>
      <w:r>
        <w:t xml:space="preserve">，其基本意思是气息、空气、风。耶稣的确使用风的感性形象，向尼哥底母暗示那位本是神气息的超越的新事物，就是神的灵。</w:t>
      </w:r>
      <w:r>
        <w:rPr>
          <w:rStyle w:val="FootnoteReference"/>
        </w:rPr>
        <w:footnoteReference w:id="1299"/>
      </w:r>
      <w:r>
        <w:t xml:space="preserve">另一方面，「灵」和「圣」是三位共有的神的属性。藉着将这两个词连在一起，圣经、礼仪和神学语言指明了圣灵那不可言喻的位格，而不会与「灵」和「圣」这些词的其他用法混淆。</w:t>
      </w:r>
    </w:p>
    <w:bookmarkEnd w:id="1300"/>
    <w:bookmarkStart w:id="1310" w:name="圣灵的名号"/>
    <w:p>
      <w:pPr>
        <w:pStyle w:val="Heading6"/>
      </w:pPr>
      <w:r>
        <w:t xml:space="preserve">圣灵的名号</w:t>
      </w:r>
    </w:p>
    <w:p>
      <w:pPr>
        <w:pStyle w:val="FirstParagraph"/>
      </w:pPr>
      <w:r>
        <w:t xml:space="preserve">当耶稣宣告并应许圣灵要来临时，他称圣灵为「保惠师」，字面意思是「被召来站在一个人身边的」，</w:t>
      </w:r>
      <w:r>
        <w:rPr>
          <w:i/>
          <w:iCs/>
        </w:rPr>
        <w:t xml:space="preserve">ad-vocatus</w:t>
      </w:r>
      <w:r>
        <w:t xml:space="preserve">。</w:t>
      </w:r>
      <w:r>
        <w:rPr>
          <w:rStyle w:val="FootnoteReference"/>
        </w:rPr>
        <w:footnoteReference w:id="1301"/>
      </w:r>
      <w:r>
        <w:t xml:space="preserve">「保惠师」通常被译为「安慰者」，而耶稣是首先的安慰者。</w:t>
      </w:r>
      <w:r>
        <w:rPr>
          <w:rStyle w:val="FootnoteReference"/>
        </w:rPr>
        <w:footnoteReference w:id="1302"/>
      </w:r>
      <w:r>
        <w:t xml:space="preserve">主也称圣灵为「真理的灵」。</w:t>
      </w:r>
      <w:r>
        <w:rPr>
          <w:rStyle w:val="FootnoteReference"/>
        </w:rPr>
        <w:footnoteReference w:id="1303"/>
      </w:r>
    </w:p>
    <w:p>
      <w:pPr>
        <w:pStyle w:val="BodyText"/>
      </w:pPr>
      <w:r>
        <w:t xml:space="preserve">除了在《使徒行传》和书信中最常用的「圣灵」这个本名外，我们在圣保罗的著作中还发现以下称号：应许的灵、</w:t>
      </w:r>
      <w:r>
        <w:rPr>
          <w:rStyle w:val="FootnoteReference"/>
        </w:rPr>
        <w:footnoteReference w:id="1304"/>
      </w:r>
      <w:r>
        <w:t xml:space="preserve">使人得儿子名分的灵、</w:t>
      </w:r>
      <w:r>
        <w:rPr>
          <w:rStyle w:val="FootnoteReference"/>
        </w:rPr>
        <w:footnoteReference w:id="1305"/>
      </w:r>
      <w:r>
        <w:t xml:space="preserve">基督的灵、</w:t>
      </w:r>
      <w:r>
        <w:rPr>
          <w:rStyle w:val="FootnoteReference"/>
        </w:rPr>
        <w:footnoteReference w:id="1306"/>
      </w:r>
      <w:r>
        <w:t xml:space="preserve">主的灵、</w:t>
      </w:r>
      <w:r>
        <w:rPr>
          <w:rStyle w:val="FootnoteReference"/>
        </w:rPr>
        <w:footnoteReference w:id="1307"/>
      </w:r>
      <w:r>
        <w:t xml:space="preserve">神的灵</w:t>
      </w:r>
      <w:r>
        <w:rPr>
          <w:rStyle w:val="FootnoteReference"/>
        </w:rPr>
        <w:footnoteReference w:id="1308"/>
      </w:r>
      <w:r>
        <w:t xml:space="preserve">——在圣彼得的著作中，则称为荣耀的灵。</w:t>
      </w:r>
      <w:r>
        <w:rPr>
          <w:rStyle w:val="FootnoteReference"/>
        </w:rPr>
        <w:footnoteReference w:id="1309"/>
      </w:r>
    </w:p>
    <w:bookmarkEnd w:id="1310"/>
    <w:bookmarkStart w:id="1344" w:name="圣灵的象征"/>
    <w:p>
      <w:pPr>
        <w:pStyle w:val="Heading6"/>
      </w:pPr>
      <w:r>
        <w:t xml:space="preserve">圣灵的象征</w:t>
      </w:r>
    </w:p>
    <w:p>
      <w:pPr>
        <w:pStyle w:val="FirstParagraph"/>
      </w:pPr>
      <w:r>
        <w:rPr>
          <w:i/>
          <w:iCs/>
        </w:rPr>
        <w:t xml:space="preserve">水</w:t>
      </w:r>
      <w:r>
        <w:t xml:space="preserve">。水的象征表明圣灵在洗礼中的工作，因为在呼求圣灵之后，水就成为新生的有效圣事标记：正如我们第一次出生的孕育是在水中进行的，照样，洗礼的水真正表明我们在圣灵里获得了神的生命。「都从一位圣灵受洗，成了一个身体，饮于一位圣灵」。</w:t>
      </w:r>
      <w:r>
        <w:rPr>
          <w:rStyle w:val="FootnoteReference"/>
        </w:rPr>
        <w:footnoteReference w:id="1311"/>
      </w:r>
      <w:r>
        <w:t xml:space="preserve">因此，圣灵也亲自成为从被钉十字架的基督</w:t>
      </w:r>
      <w:r>
        <w:rPr>
          <w:rStyle w:val="FootnoteReference"/>
        </w:rPr>
        <w:footnoteReference w:id="1312"/>
      </w:r>
      <w:r>
        <w:t xml:space="preserve">这一源头涌流出来的活水，并在我们里涌流，直到永生。</w:t>
      </w:r>
      <w:r>
        <w:rPr>
          <w:rStyle w:val="FootnoteReference"/>
        </w:rPr>
        <w:footnoteReference w:id="1313"/>
      </w:r>
    </w:p>
    <w:p>
      <w:pPr>
        <w:pStyle w:val="BodyText"/>
      </w:pPr>
      <w:r>
        <w:rPr>
          <w:i/>
          <w:iCs/>
        </w:rPr>
        <w:t xml:space="preserve">膏抹</w:t>
      </w:r>
      <w:r>
        <w:t xml:space="preserve">。膏抹的象征也表示圣灵，</w:t>
      </w:r>
      <w:r>
        <w:rPr>
          <w:rStyle w:val="FootnoteReference"/>
        </w:rPr>
        <w:footnoteReference w:id="1314"/>
      </w:r>
      <w:r>
        <w:t xml:space="preserve">甚至成为圣灵的同义词。在基督徒的入门仪式中，膏抹是坚振圣事的标记，在东方教会中称为「膏抹礼」。只有与耶稣所领受的圣灵的首要膏抹相关联，才能充分领会其力量。基督（希伯来文「</w:t>
      </w:r>
      <w:r>
        <w:rPr>
          <w:i/>
          <w:iCs/>
        </w:rPr>
        <w:t xml:space="preserve">弥赛亚</w:t>
      </w:r>
      <w:r>
        <w:t xml:space="preserve">」）意即「受神之灵膏抹者」。在旧约中，有几位是主所膏抹的，最著名的是大卫王。</w:t>
      </w:r>
      <w:r>
        <w:rPr>
          <w:rStyle w:val="FootnoteReference"/>
        </w:rPr>
        <w:footnoteReference w:id="1315"/>
      </w:r>
      <w:r>
        <w:t xml:space="preserve">但耶稣是以独特方式被神膏抹的：圣子所取的人性完全被圣灵所膏抹。圣灵立他为「基督」。</w:t>
      </w:r>
      <w:r>
        <w:rPr>
          <w:rStyle w:val="FootnoteReference"/>
        </w:rPr>
        <w:footnoteReference w:id="1316"/>
      </w:r>
      <w:r>
        <w:t xml:space="preserve">童贞玛利亚因圣灵怀孕基督，圣灵藉着天使在他诞生时宣告他是基督，并感动西面到圣殿去看主的基督。</w:t>
      </w:r>
      <w:r>
        <w:rPr>
          <w:rStyle w:val="FootnoteReference"/>
        </w:rPr>
        <w:footnoteReference w:id="1317"/>
      </w:r>
      <w:r>
        <w:t xml:space="preserve">圣灵充满基督，圣灵的能力从他身上发出，在他医治和拯救的行动中彰显。</w:t>
      </w:r>
      <w:r>
        <w:rPr>
          <w:rStyle w:val="FootnoteReference"/>
        </w:rPr>
        <w:footnoteReference w:id="1318"/>
      </w:r>
      <w:r>
        <w:t xml:space="preserve">最后，是圣灵使耶稣从死里复活。</w:t>
      </w:r>
      <w:r>
        <w:rPr>
          <w:rStyle w:val="FootnoteReference"/>
        </w:rPr>
        <w:footnoteReference w:id="1319"/>
      </w:r>
      <w:r>
        <w:t xml:space="preserve">如今，在他战胜死亡的人性中完全被立为「基督」，耶稣丰丰富富地浇灌圣灵，直到「圣徒」们在与神儿子人性的联合中，成为那「满有基督丰盛长大的身量」的完全人：</w:t>
      </w:r>
      <w:r>
        <w:rPr>
          <w:rStyle w:val="FootnoteReference"/>
        </w:rPr>
        <w:footnoteReference w:id="1320"/>
      </w:r>
      <w:r>
        <w:t xml:space="preserve">用奥古斯丁的话说，就是「整个基督」。</w:t>
      </w:r>
    </w:p>
    <w:p>
      <w:pPr>
        <w:pStyle w:val="BodyText"/>
      </w:pPr>
      <w:r>
        <w:rPr>
          <w:i/>
          <w:iCs/>
        </w:rPr>
        <w:t xml:space="preserve">火</w:t>
      </w:r>
      <w:r>
        <w:t xml:space="preserve">。水象征在圣灵里所赐的新生命和丰盛，火象征圣灵行动中改变的能力。先知以利亚的祷告，他「如火升起」，他的「话如火把烧着」，从天上降下火烧尽在迦密山上的祭物。</w:t>
      </w:r>
      <w:r>
        <w:rPr>
          <w:rStyle w:val="FootnoteReference"/>
        </w:rPr>
        <w:footnoteReference w:id="1321"/>
      </w:r>
      <w:r>
        <w:t xml:space="preserve">这事件是圣灵之火的「预像」，圣灵改变他所触及的一切。施洗约翰「在以利亚的心志和能力」行在主前，宣告基督是那位「要用圣灵与火给你们施洗」的那一位。</w:t>
      </w:r>
      <w:r>
        <w:rPr>
          <w:rStyle w:val="FootnoteReference"/>
        </w:rPr>
        <w:footnoteReference w:id="1322"/>
      </w:r>
      <w:r>
        <w:t xml:space="preserve">耶稣论到圣灵说：「我来要把火丢在地上，倘若已经着起来，不也是我所愿意的吗？」</w:t>
      </w:r>
      <w:r>
        <w:rPr>
          <w:rStyle w:val="FootnoteReference"/>
        </w:rPr>
        <w:footnoteReference w:id="1323"/>
      </w:r>
      <w:r>
        <w:t xml:space="preserve">在五旬节的早晨，圣灵以「好像火焰」的形状降在门徒身上，充满了他们。</w:t>
      </w:r>
      <w:r>
        <w:rPr>
          <w:rStyle w:val="FootnoteReference"/>
        </w:rPr>
        <w:footnoteReference w:id="1324"/>
      </w:r>
      <w:r>
        <w:t xml:space="preserve">属灵的传统保留了火的象征，作为表达圣灵行动的最生动的意象之一。</w:t>
      </w:r>
      <w:r>
        <w:rPr>
          <w:rStyle w:val="FootnoteReference"/>
        </w:rPr>
        <w:footnoteReference w:id="1325"/>
      </w:r>
      <w:r>
        <w:t xml:space="preserve">「不要消灭圣灵的感动。」</w:t>
      </w:r>
      <w:r>
        <w:rPr>
          <w:rStyle w:val="FootnoteReference"/>
        </w:rPr>
        <w:footnoteReference w:id="1326"/>
      </w:r>
    </w:p>
    <w:p>
      <w:pPr>
        <w:pStyle w:val="BodyText"/>
      </w:pPr>
      <w:r>
        <w:rPr>
          <w:i/>
          <w:iCs/>
        </w:rPr>
        <w:t xml:space="preserve">云和光</w:t>
      </w:r>
      <w:r>
        <w:t xml:space="preserve">。这两个意象在圣灵的显现中常常一起出现。在旧约的神显中，时而模糊、时而明亮的云彩启示了永生和拯救的神，同时又遮蔽了他荣耀的超越性——在西奈山与摩西同在，</w:t>
      </w:r>
      <w:r>
        <w:rPr>
          <w:rStyle w:val="FootnoteReference"/>
        </w:rPr>
        <w:footnoteReference w:id="1327"/>
      </w:r>
      <w:r>
        <w:t xml:space="preserve">在会幕那里，</w:t>
      </w:r>
      <w:r>
        <w:rPr>
          <w:rStyle w:val="FootnoteReference"/>
        </w:rPr>
        <w:footnoteReference w:id="1328"/>
      </w:r>
      <w:r>
        <w:t xml:space="preserve">在旷野飘荡期间，</w:t>
      </w:r>
      <w:r>
        <w:rPr>
          <w:rStyle w:val="FootnoteReference"/>
        </w:rPr>
        <w:footnoteReference w:id="1329"/>
      </w:r>
      <w:r>
        <w:t xml:space="preserve">以及所罗门献殿时。</w:t>
      </w:r>
      <w:r>
        <w:rPr>
          <w:rStyle w:val="FootnoteReference"/>
        </w:rPr>
        <w:footnoteReference w:id="1330"/>
      </w:r>
      <w:r>
        <w:t xml:space="preserve">在圣灵里，基督实现了这些预像。圣灵降临在童贞玛利亚身上，「荫庇」她，使她怀孕生子耶稣。</w:t>
      </w:r>
      <w:r>
        <w:rPr>
          <w:rStyle w:val="FootnoteReference"/>
        </w:rPr>
        <w:footnoteReference w:id="1331"/>
      </w:r>
      <w:r>
        <w:t xml:space="preserve">在变像山上，圣灵在「云彩里来到」，「遮盖」了耶稣、摩西、以利亚、彼得、雅各和约翰，「有声音从云彩里出来，说：</w:t>
      </w:r>
      <w:r>
        <w:t xml:space="preserve">‘</w:t>
      </w:r>
      <w:r>
        <w:t xml:space="preserve">这是我的儿子，我所拣选的，你们要听他！</w:t>
      </w:r>
      <w:r>
        <w:t xml:space="preserve">’</w:t>
      </w:r>
      <w:r>
        <w:t xml:space="preserve">」</w:t>
      </w:r>
      <w:r>
        <w:rPr>
          <w:rStyle w:val="FootnoteReference"/>
        </w:rPr>
        <w:footnoteReference w:id="1332"/>
      </w:r>
      <w:r>
        <w:t xml:space="preserve">最后，云彩在耶稣升天的日子，把他从门徒的视线中接去，并要在他最后再来的日子，启示他为得荣耀的人子。</w:t>
      </w:r>
      <w:r>
        <w:rPr>
          <w:rStyle w:val="FootnoteReference"/>
        </w:rPr>
        <w:footnoteReference w:id="1333"/>
      </w:r>
    </w:p>
    <w:p>
      <w:pPr>
        <w:pStyle w:val="BodyText"/>
      </w:pPr>
      <w:r>
        <w:rPr>
          <w:i/>
          <w:iCs/>
        </w:rPr>
        <w:t xml:space="preserve">印记</w:t>
      </w:r>
      <w:r>
        <w:t xml:space="preserve">是一个与膏抹相近的象征。「父已将他的印记」盖在基督身上，也在基督里盖在我们身上。</w:t>
      </w:r>
      <w:r>
        <w:rPr>
          <w:rStyle w:val="FootnoteReference"/>
        </w:rPr>
        <w:footnoteReference w:id="1334"/>
      </w:r>
      <w:r>
        <w:t xml:space="preserve">因为这印记表明在洗礼、坚振和圣秩圣事中，膏抹所产生的不可磨灭的效果，所以在一些神学传统中，印记（</w:t>
      </w:r>
      <w:r>
        <w:rPr>
          <w:i/>
          <w:iCs/>
        </w:rPr>
        <w:t xml:space="preserve">sphragis</w:t>
      </w:r>
      <w:r>
        <w:t xml:space="preserve">）的意象被用来表达这三个不可重复的圣事所铭刻的不可磨灭的「性格」。</w:t>
      </w:r>
    </w:p>
    <w:p>
      <w:pPr>
        <w:pStyle w:val="BodyText"/>
      </w:pPr>
      <w:r>
        <w:rPr>
          <w:i/>
          <w:iCs/>
        </w:rPr>
        <w:t xml:space="preserve">手</w:t>
      </w:r>
      <w:r>
        <w:t xml:space="preserve">。耶稣用按手治愈病人，祝福小孩。</w:t>
      </w:r>
      <w:r>
        <w:rPr>
          <w:rStyle w:val="FootnoteReference"/>
        </w:rPr>
        <w:footnoteReference w:id="1335"/>
      </w:r>
      <w:r>
        <w:t xml:space="preserve">奉他的名，使徒们也这样做。</w:t>
      </w:r>
      <w:r>
        <w:rPr>
          <w:rStyle w:val="FootnoteReference"/>
        </w:rPr>
        <w:footnoteReference w:id="1336"/>
      </w:r>
      <w:r>
        <w:t xml:space="preserve">更明确地说，正是藉着使徒的按手，圣灵被赐下。</w:t>
      </w:r>
      <w:r>
        <w:rPr>
          <w:rStyle w:val="FootnoteReference"/>
        </w:rPr>
        <w:footnoteReference w:id="1337"/>
      </w:r>
      <w:r>
        <w:t xml:space="preserve">希伯来书将按手列为其教导的「基督道理的开端」之一。</w:t>
      </w:r>
      <w:r>
        <w:rPr>
          <w:rStyle w:val="FootnoteReference"/>
        </w:rPr>
        <w:footnoteReference w:id="1338"/>
      </w:r>
      <w:r>
        <w:t xml:space="preserve">教会在其圣事的求圣灵降临的祷文中，保留了这个表示圣灵全能浇灌的标记。</w:t>
      </w:r>
    </w:p>
    <w:p>
      <w:pPr>
        <w:pStyle w:val="BodyText"/>
      </w:pPr>
      <w:r>
        <w:rPr>
          <w:i/>
          <w:iCs/>
        </w:rPr>
        <w:t xml:space="preserve">手指</w:t>
      </w:r>
      <w:r>
        <w:t xml:space="preserve">。「我若靠着神的能力赶鬼。」</w:t>
      </w:r>
      <w:r>
        <w:rPr>
          <w:rStyle w:val="FootnoteReference"/>
        </w:rPr>
        <w:footnoteReference w:id="1339"/>
      </w:r>
      <w:r>
        <w:t xml:space="preserve">如果神的律法是「神的手指」写在石版上的，那么托付给使徒照管的「基督的书信」，就是「用永生神的灵写的，不是写在石版上，乃是写在心版上」。</w:t>
      </w:r>
      <w:r>
        <w:rPr>
          <w:rStyle w:val="FootnoteReference"/>
        </w:rPr>
        <w:footnoteReference w:id="1340"/>
      </w:r>
      <w:r>
        <w:t xml:space="preserve">圣诗《圣灵请降临》称呼圣灵为「圣父右手的手指」。</w:t>
      </w:r>
      <w:r>
        <w:rPr>
          <w:rStyle w:val="FootnoteReference"/>
        </w:rPr>
        <w:footnoteReference w:id="1341"/>
      </w:r>
    </w:p>
    <w:p>
      <w:pPr>
        <w:pStyle w:val="BodyText"/>
      </w:pPr>
      <w:r>
        <w:rPr>
          <w:i/>
          <w:iCs/>
        </w:rPr>
        <w:t xml:space="preserve">鸽子</w:t>
      </w:r>
      <w:r>
        <w:t xml:space="preserve">。在洪水结束时，挪亚放出的鸽子衔着一根新鲜的橄榄枝回来，这象征着洗礼，表明大地再次适合居住。</w:t>
      </w:r>
      <w:r>
        <w:rPr>
          <w:rStyle w:val="FootnoteReference"/>
        </w:rPr>
        <w:footnoteReference w:id="1342"/>
      </w:r>
      <w:r>
        <w:t xml:space="preserve">当基督从受洗的水中上来时，圣灵以鸽子的形象降临在他身上，并留在他身上。</w:t>
      </w:r>
      <w:r>
        <w:rPr>
          <w:rStyle w:val="FootnoteReference"/>
        </w:rPr>
        <w:footnoteReference w:id="1343"/>
      </w:r>
      <w:r>
        <w:t xml:space="preserve">圣灵降临并居留在受洗者洁净的心中。在某些教会中，圣餐被保留在一个悬挂在祭坛上方、鸽子形状的金属容器（</w:t>
      </w:r>
      <w:r>
        <w:rPr>
          <w:i/>
          <w:iCs/>
        </w:rPr>
        <w:t xml:space="preserve">columbarium</w:t>
      </w:r>
      <w:r>
        <w:t xml:space="preserve">）里。基督教图像传统上用鸽子来象征圣灵。</w:t>
      </w:r>
    </w:p>
    <w:bookmarkEnd w:id="1344"/>
    <w:bookmarkEnd w:id="1345"/>
    <w:bookmarkStart w:id="1380" w:name="三在应许的时期神的灵和道"/>
    <w:p>
      <w:pPr>
        <w:pStyle w:val="Heading5"/>
      </w:pPr>
      <w:r>
        <w:t xml:space="preserve">三、在应许的时期，神的灵和道</w:t>
      </w:r>
    </w:p>
    <w:p>
      <w:pPr>
        <w:pStyle w:val="FirstParagraph"/>
      </w:pPr>
      <w:r>
        <w:t xml:space="preserve">从起初直到「日期满足」，</w:t>
      </w:r>
      <w:r>
        <w:rPr>
          <w:rStyle w:val="FootnoteReference"/>
        </w:rPr>
        <w:footnoteReference w:id="1346"/>
      </w:r>
      <w:r>
        <w:t xml:space="preserve">圣父之道和圣灵的联合使命仍然</w:t>
      </w:r>
      <w:r>
        <w:rPr>
          <w:i/>
          <w:iCs/>
        </w:rPr>
        <w:t xml:space="preserve">隐藏</w:t>
      </w:r>
      <w:r>
        <w:t xml:space="preserve">，但却在工作。神的灵为弥赛亚的时代做准备。两者都没有完全启示，但都已应许，要留意并在显现时欢迎。因此，教会读旧约时，就在其中寻找「藉众先知说话」的圣灵想要告诉我们关于基督的事。</w:t>
      </w:r>
      <w:r>
        <w:rPr>
          <w:rStyle w:val="FootnoteReference"/>
        </w:rPr>
        <w:footnoteReference w:id="1347"/>
      </w:r>
    </w:p>
    <w:p>
      <w:pPr>
        <w:pStyle w:val="BodyText"/>
      </w:pPr>
      <w:r>
        <w:t xml:space="preserve">教会信仰所说的「先知」，是指所有在生活宣讲和撰写新旧约圣书时受圣灵默示的人。犹太传统首先区分律法（即前五卷书或五经），然后是先知书（我们的历史书和先知书），最后是著作（特别是智慧文学，尤其是诗篇）。</w:t>
      </w:r>
      <w:r>
        <w:rPr>
          <w:rStyle w:val="FootnoteReference"/>
        </w:rPr>
        <w:footnoteReference w:id="1348"/>
      </w:r>
    </w:p>
    <w:bookmarkStart w:id="1352" w:name="在创造中"/>
    <w:p>
      <w:pPr>
        <w:pStyle w:val="Heading6"/>
      </w:pPr>
      <w:r>
        <w:t xml:space="preserve">在创造中</w:t>
      </w:r>
    </w:p>
    <w:p>
      <w:pPr>
        <w:pStyle w:val="FirstParagraph"/>
      </w:pPr>
      <w:r>
        <w:t xml:space="preserve">神的道和他的气息是每一个受造物存在和生命的起源：</w:t>
      </w:r>
      <w:r>
        <w:rPr>
          <w:rStyle w:val="FootnoteReference"/>
        </w:rPr>
        <w:footnoteReference w:id="1349"/>
      </w:r>
    </w:p>
    <w:p>
      <w:pPr>
        <w:pStyle w:val="BodyText"/>
      </w:pPr>
      <w:r>
        <w:t xml:space="preserve">统治、圣化和赋予受造界生命，是圣灵的工作，因为他是神，与圣父圣子同性。……生命的大能属于圣灵，因为他是神，藉圣子在圣父里保存受造界。</w:t>
      </w:r>
      <w:r>
        <w:rPr>
          <w:rStyle w:val="FootnoteReference"/>
        </w:rPr>
        <w:footnoteReference w:id="1350"/>
      </w:r>
    </w:p>
    <w:p>
      <w:pPr>
        <w:pStyle w:val="BodyText"/>
      </w:pPr>
      <w:r>
        <w:t xml:space="preserve">「神用自己的手（即圣子和圣灵）塑造了人，并将自己的形象印在他所塑造的肉身上，使甚至可见的也带有神的形象。」</w:t>
      </w:r>
      <w:r>
        <w:rPr>
          <w:rStyle w:val="FootnoteReference"/>
        </w:rPr>
        <w:footnoteReference w:id="1351"/>
      </w:r>
    </w:p>
    <w:bookmarkEnd w:id="1352"/>
    <w:bookmarkStart w:id="1359" w:name="应许的圣灵"/>
    <w:p>
      <w:pPr>
        <w:pStyle w:val="Heading6"/>
      </w:pPr>
      <w:r>
        <w:t xml:space="preserve">应许的圣灵</w:t>
      </w:r>
    </w:p>
    <w:p>
      <w:pPr>
        <w:pStyle w:val="FirstParagraph"/>
      </w:pPr>
      <w:r>
        <w:t xml:space="preserve">虽因罪和死而毁损，人仍然「按神的形象」，按圣子的形象而造，但却丧失了「神的荣耀」，</w:t>
      </w:r>
      <w:r>
        <w:rPr>
          <w:rStyle w:val="FootnoteReference"/>
        </w:rPr>
        <w:footnoteReference w:id="1353"/>
      </w:r>
      <w:r>
        <w:t xml:space="preserve">失去了他的「样式」。给亚伯拉罕的应许开启了救恩的计划，在其顶点上，圣子自己要取得那「形象」，</w:t>
      </w:r>
      <w:r>
        <w:rPr>
          <w:rStyle w:val="FootnoteReference"/>
        </w:rPr>
        <w:footnoteReference w:id="1354"/>
      </w:r>
      <w:r>
        <w:t xml:space="preserve">并藉着再次赐予荣耀，就是那位「赐生命者」圣灵，而在圣父的「样式」中恢复它。</w:t>
      </w:r>
    </w:p>
    <w:p>
      <w:pPr>
        <w:pStyle w:val="BodyText"/>
      </w:pPr>
      <w:r>
        <w:t xml:space="preserve">在人毫无指望时，神应许亚伯拉罕要赐他后裔，作为信心和圣灵大能的果子。</w:t>
      </w:r>
      <w:r>
        <w:rPr>
          <w:rStyle w:val="FootnoteReference"/>
        </w:rPr>
        <w:footnoteReference w:id="1355"/>
      </w:r>
      <w:r>
        <w:t xml:space="preserve">地上万国都要因亚伯拉罕的后裔得福。这后裔就是基督自己，</w:t>
      </w:r>
      <w:r>
        <w:rPr>
          <w:rStyle w:val="FootnoteReference"/>
        </w:rPr>
        <w:footnoteReference w:id="1356"/>
      </w:r>
      <w:r>
        <w:t xml:space="preserve">圣灵的浇灌要在他里面「将分散的神的儿女聚集归一」。</w:t>
      </w:r>
      <w:r>
        <w:rPr>
          <w:rStyle w:val="FootnoteReference"/>
        </w:rPr>
        <w:footnoteReference w:id="1357"/>
      </w:r>
      <w:r>
        <w:t xml:space="preserve">神以自己庄严的誓言，应许要赐下他的爱子，和「所应许的圣灵……作我们得基业的凭据，直等到神的产业被赎」。</w:t>
      </w:r>
      <w:r>
        <w:rPr>
          <w:rStyle w:val="FootnoteReference"/>
        </w:rPr>
        <w:footnoteReference w:id="1358"/>
      </w:r>
    </w:p>
    <w:bookmarkEnd w:id="1359"/>
    <w:bookmarkStart w:id="1363" w:name="在神显和律法中"/>
    <w:p>
      <w:pPr>
        <w:pStyle w:val="Heading6"/>
      </w:pPr>
      <w:r>
        <w:t xml:space="preserve">在神显和律法中</w:t>
      </w:r>
    </w:p>
    <w:p>
      <w:pPr>
        <w:pStyle w:val="FirstParagraph"/>
      </w:pPr>
      <w:r>
        <w:t xml:space="preserve">神显（神的彰显）照亮了应许之路，从族长到摩西，从约书亚到开启大先知使命的异象。基督教传统一直认为，神的道允许自己在这些神显中被看见和听见，在其中圣灵的云彩既启示他，又在其荫庇下隐藏他。</w:t>
      </w:r>
    </w:p>
    <w:p>
      <w:pPr>
        <w:pStyle w:val="BodyText"/>
      </w:pPr>
      <w:r>
        <w:t xml:space="preserve">这属神的教导尤其出现在律法的恩赐中。</w:t>
      </w:r>
      <w:r>
        <w:rPr>
          <w:rStyle w:val="FootnoteReference"/>
        </w:rPr>
        <w:footnoteReference w:id="1360"/>
      </w:r>
      <w:r>
        <w:t xml:space="preserve">神赐下律法作为「启蒙教师」，引导他的子民归向基督。</w:t>
      </w:r>
      <w:r>
        <w:rPr>
          <w:rStyle w:val="FootnoteReference"/>
        </w:rPr>
        <w:footnoteReference w:id="1361"/>
      </w:r>
      <w:r>
        <w:t xml:space="preserve">但律法无力拯救丧失了神「样式」的人，连同它所传递的日益增长的罪恶意识，</w:t>
      </w:r>
      <w:r>
        <w:rPr>
          <w:rStyle w:val="FootnoteReference"/>
        </w:rPr>
        <w:footnoteReference w:id="1362"/>
      </w:r>
      <w:r>
        <w:t xml:space="preserve">点燃了对圣灵的渴望。诗篇中的哀歌见证了这一点。</w:t>
      </w:r>
    </w:p>
    <w:bookmarkEnd w:id="1363"/>
    <w:bookmarkStart w:id="1367" w:name="在王国和流亡中"/>
    <w:p>
      <w:pPr>
        <w:pStyle w:val="Heading6"/>
      </w:pPr>
      <w:r>
        <w:t xml:space="preserve">在王国和流亡中</w:t>
      </w:r>
    </w:p>
    <w:p>
      <w:pPr>
        <w:pStyle w:val="FirstParagraph"/>
      </w:pPr>
      <w:r>
        <w:t xml:space="preserve">律法是神应许和盟约的标记，本当管理亚伯拉罕信心所生之民的心和制度。「如今你们若实在听从我的话，遵守我的约……你们要归我作祭司的国度，为圣洁的国民。」</w:t>
      </w:r>
      <w:r>
        <w:rPr>
          <w:rStyle w:val="FootnoteReference"/>
        </w:rPr>
        <w:footnoteReference w:id="1364"/>
      </w:r>
      <w:r>
        <w:t xml:space="preserve">但在大卫之后，以色列屈服于像其他国家一样成为王国的诱惑。然而，应许给大卫的国，</w:t>
      </w:r>
      <w:r>
        <w:rPr>
          <w:rStyle w:val="FootnoteReference"/>
        </w:rPr>
        <w:footnoteReference w:id="1365"/>
      </w:r>
      <w:r>
        <w:t xml:space="preserve">将是圣灵的工作；它要属于那照圣灵贫穷的人。</w:t>
      </w:r>
    </w:p>
    <w:p>
      <w:pPr>
        <w:pStyle w:val="BodyText"/>
      </w:pPr>
      <w:r>
        <w:t xml:space="preserve">遗忘律法和背弃约以死亡告终：这就是流亡，表面上是应许的失败，但实际上是救主神奥秘的信实，以及应许的复兴的开始，但要照着圣灵而行。神的子民必须经历这炼净。</w:t>
      </w:r>
      <w:r>
        <w:rPr>
          <w:rStyle w:val="FootnoteReference"/>
        </w:rPr>
        <w:footnoteReference w:id="1366"/>
      </w:r>
      <w:r>
        <w:t xml:space="preserve">在神的计划中，流亡已经站在十字架的阴影下，从流亡归回的贫穷余民是最明显预表教会的一个。</w:t>
      </w:r>
    </w:p>
    <w:bookmarkEnd w:id="1367"/>
    <w:bookmarkStart w:id="1379" w:name="对弥赛亚和他的灵的期待"/>
    <w:p>
      <w:pPr>
        <w:pStyle w:val="Heading6"/>
      </w:pPr>
      <w:r>
        <w:t xml:space="preserve">对弥赛亚和他的灵的期待</w:t>
      </w:r>
    </w:p>
    <w:p>
      <w:pPr>
        <w:pStyle w:val="FirstParagraph"/>
      </w:pPr>
      <w:r>
        <w:t xml:space="preserve">「看哪，我要作一件新事。」</w:t>
      </w:r>
      <w:r>
        <w:rPr>
          <w:rStyle w:val="FootnoteReference"/>
        </w:rPr>
        <w:footnoteReference w:id="1368"/>
      </w:r>
      <w:r>
        <w:t xml:space="preserve">两条预言的路线将要发展，一条通向对弥赛亚的期待，另一条指向新灵的宣告。它们在小余民，就是那贫穷的子民身上汇合，他们满怀盼望地等待「以色列的安慰」和「耶路撒冷的救赎」。</w:t>
      </w:r>
      <w:r>
        <w:rPr>
          <w:rStyle w:val="FootnoteReference"/>
        </w:rPr>
        <w:footnoteReference w:id="1369"/>
      </w:r>
    </w:p>
    <w:p>
      <w:pPr>
        <w:pStyle w:val="BodyText"/>
      </w:pPr>
      <w:r>
        <w:t xml:space="preserve">我们前面已经看到耶稣如何应验了关于他自己的预言。我们在此只限于那些弥赛亚与他的灵之间的关系更清楚显现的预言。</w:t>
      </w:r>
    </w:p>
    <w:p>
      <w:pPr>
        <w:pStyle w:val="BodyText"/>
      </w:pPr>
      <w:r>
        <w:t xml:space="preserve">所盼望的</w:t>
      </w:r>
      <w:r>
        <w:rPr>
          <w:i/>
          <w:iCs/>
        </w:rPr>
        <w:t xml:space="preserve">弥赛亚</w:t>
      </w:r>
      <w:r>
        <w:t xml:space="preserve">的特征开始出现在「以马内利书」中（「以赛亚说这话，是指着基督的荣耀」，</w:t>
      </w:r>
      <w:r>
        <w:rPr>
          <w:rStyle w:val="FootnoteReference"/>
        </w:rPr>
        <w:footnoteReference w:id="1370"/>
      </w:r>
      <w:r>
        <w:t xml:space="preserve">），尤其是在</w:t>
      </w:r>
      <w:r>
        <w:rPr>
          <w:i/>
          <w:iCs/>
        </w:rPr>
        <w:t xml:space="preserve">以赛亚书</w:t>
      </w:r>
      <w:r>
        <w:t xml:space="preserve">第 11 章的前两节：</w:t>
      </w:r>
    </w:p>
    <w:p>
      <w:pPr>
        <w:pStyle w:val="BodyText"/>
      </w:pPr>
      <w:r>
        <w:t xml:space="preserve">从耶西的本必发一条，</w:t>
      </w:r>
      <w:r>
        <w:br/>
      </w:r>
      <w:r>
        <w:t xml:space="preserve">从他根生的枝子必结果实。</w:t>
      </w:r>
      <w:r>
        <w:br/>
      </w:r>
      <w:r>
        <w:t xml:space="preserve">耶和华的灵必住在他身上，</w:t>
      </w:r>
      <w:r>
        <w:br/>
      </w:r>
      <w:r>
        <w:t xml:space="preserve">就是使他有智慧和聪明的灵，</w:t>
      </w:r>
      <w:r>
        <w:br/>
      </w:r>
      <w:r>
        <w:t xml:space="preserve">谋略和能力的灵，</w:t>
      </w:r>
      <w:r>
        <w:br/>
      </w:r>
      <w:r>
        <w:t xml:space="preserve">知识和敬畏耶和华的灵。</w:t>
      </w:r>
      <w:r>
        <w:rPr>
          <w:rStyle w:val="FootnoteReference"/>
        </w:rPr>
        <w:footnoteReference w:id="1371"/>
      </w:r>
    </w:p>
    <w:p>
      <w:pPr>
        <w:pStyle w:val="BodyText"/>
      </w:pPr>
      <w:r>
        <w:t xml:space="preserve">弥赛亚的特征尤其在「仆人之歌」中启示出来。</w:t>
      </w:r>
      <w:r>
        <w:rPr>
          <w:rStyle w:val="FootnoteReference"/>
        </w:rPr>
        <w:footnoteReference w:id="1372"/>
      </w:r>
      <w:r>
        <w:t xml:space="preserve">这些诗歌宣告了耶稣受难的意义，并显示他将如何倾注圣灵，赐生命给众人：不是作为局外人，而是取了我们「奴仆的形象」。</w:t>
      </w:r>
      <w:r>
        <w:rPr>
          <w:rStyle w:val="FootnoteReference"/>
        </w:rPr>
        <w:footnoteReference w:id="1373"/>
      </w:r>
      <w:r>
        <w:t xml:space="preserve">他担当我们的死，就能将他自己生命的圣灵传给我们。</w:t>
      </w:r>
    </w:p>
    <w:p>
      <w:pPr>
        <w:pStyle w:val="BodyText"/>
      </w:pPr>
      <w:r>
        <w:t xml:space="preserve">因此，基督藉着将以赛亚书中的以下段落据为己有，开启了福音的宣讲：</w:t>
      </w:r>
      <w:r>
        <w:rPr>
          <w:rStyle w:val="FootnoteReference"/>
        </w:rPr>
        <w:footnoteReference w:id="1374"/>
      </w:r>
    </w:p>
    <w:p>
      <w:pPr>
        <w:pStyle w:val="BodyText"/>
      </w:pPr>
      <w:r>
        <w:t xml:space="preserve">主耶和华的灵在我身上，</w:t>
      </w:r>
      <w:r>
        <w:br/>
      </w:r>
      <w:r>
        <w:t xml:space="preserve">因为耶和华用膏膏我，</w:t>
      </w:r>
      <w:r>
        <w:br/>
      </w:r>
      <w:r>
        <w:t xml:space="preserve">叫我传好信息给谦卑的人，</w:t>
      </w:r>
      <w:r>
        <w:br/>
      </w:r>
      <w:r>
        <w:t xml:space="preserve">差遣我医好伤心的人，</w:t>
      </w:r>
      <w:r>
        <w:br/>
      </w:r>
      <w:r>
        <w:t xml:space="preserve">报告被掳的得释放，</w:t>
      </w:r>
      <w:r>
        <w:br/>
      </w:r>
      <w:r>
        <w:t xml:space="preserve">被囚的出监牢，</w:t>
      </w:r>
      <w:r>
        <w:br/>
      </w:r>
      <w:r>
        <w:t xml:space="preserve">报告耶和华的恩年。</w:t>
      </w:r>
    </w:p>
    <w:p>
      <w:pPr>
        <w:pStyle w:val="BodyText"/>
      </w:pPr>
      <w:r>
        <w:t xml:space="preserve">直接关乎圣灵差遣的预言经文，是神藉着应许的语言，以「慈爱和诚实」的口吻对他子民内心说话的神谕。</w:t>
      </w:r>
      <w:r>
        <w:rPr>
          <w:rStyle w:val="FootnoteReference"/>
        </w:rPr>
        <w:footnoteReference w:id="1375"/>
      </w:r>
      <w:r>
        <w:t xml:space="preserve">圣彼得将在五旬节的早晨宣告它们的应验。</w:t>
      </w:r>
      <w:r>
        <w:rPr>
          <w:rStyle w:val="FootnoteReference"/>
        </w:rPr>
        <w:footnoteReference w:id="1376"/>
      </w:r>
      <w:r>
        <w:t xml:space="preserve">按照这些应许，在「末后的日子」，主的灵要更新人心，将新法铭刻其上。他要聚集和修复分散和分裂的人民；他要改变初次创造，神要与人同住，在平安中。</w:t>
      </w:r>
    </w:p>
    <w:p>
      <w:pPr>
        <w:pStyle w:val="BodyText"/>
      </w:pPr>
      <w:r>
        <w:t xml:space="preserve">「贫穷」的子民</w:t>
      </w:r>
      <w:r>
        <w:rPr>
          <w:rStyle w:val="FootnoteReference"/>
        </w:rPr>
        <w:footnoteReference w:id="1377"/>
      </w:r>
      <w:r>
        <w:t xml:space="preserve">——那些谦逊温良、完全依靠神奥秘计划的人，那些等候公义的人，不是来自人，而是来自弥赛亚——最终是圣灵在应许时期为基督的来临所做的隐秘工作的伟大成就。正是这种经圣灵洁净和光照的心灵素质，在诗篇中得以表达。在这些贫穷人身上，圣灵正预备着「一群为主预备的子民」。</w:t>
      </w:r>
      <w:r>
        <w:rPr>
          <w:rStyle w:val="FootnoteReference"/>
        </w:rPr>
        <w:footnoteReference w:id="1378"/>
      </w:r>
    </w:p>
    <w:bookmarkEnd w:id="1379"/>
    <w:bookmarkEnd w:id="1380"/>
    <w:bookmarkStart w:id="1417" w:name="四基督的圣灵在时期满足时"/>
    <w:p>
      <w:pPr>
        <w:pStyle w:val="Heading5"/>
      </w:pPr>
      <w:r>
        <w:t xml:space="preserve">四、基督的圣灵在时期满足时</w:t>
      </w:r>
    </w:p>
    <w:bookmarkStart w:id="1393" w:name="约翰先驱者先知施洗者"/>
    <w:p>
      <w:pPr>
        <w:pStyle w:val="Heading6"/>
      </w:pPr>
      <w:r>
        <w:t xml:space="preserve">约翰——先驱者、先知、施洗者</w:t>
      </w:r>
    </w:p>
    <w:p>
      <w:pPr>
        <w:pStyle w:val="FirstParagraph"/>
      </w:pPr>
      <w:r>
        <w:t xml:space="preserve">「有一个人，是从神那里差来的，名叫约翰。」</w:t>
      </w:r>
      <w:r>
        <w:rPr>
          <w:rStyle w:val="FootnoteReference"/>
        </w:rPr>
        <w:footnoteReference w:id="1381"/>
      </w:r>
      <w:r>
        <w:t xml:space="preserve">约翰在母腹中就被基督自己「充满了圣灵」，</w:t>
      </w:r>
      <w:r>
        <w:rPr>
          <w:rStyle w:val="FootnoteReference"/>
        </w:rPr>
        <w:footnoteReference w:id="1382"/>
      </w:r>
      <w:r>
        <w:t xml:space="preserve">童贞马利亚刚刚因圣灵怀了他。因此，马利亚探访伊利莎白，就成了神眷顾他子民的探访。</w:t>
      </w:r>
      <w:r>
        <w:rPr>
          <w:rStyle w:val="FootnoteReference"/>
        </w:rPr>
        <w:footnoteReference w:id="1383"/>
      </w:r>
    </w:p>
    <w:p>
      <w:pPr>
        <w:pStyle w:val="BodyText"/>
      </w:pPr>
      <w:r>
        <w:t xml:space="preserve">约翰就是那「必来的以利亚」。</w:t>
      </w:r>
      <w:r>
        <w:rPr>
          <w:rStyle w:val="FootnoteReference"/>
        </w:rPr>
        <w:footnoteReference w:id="1384"/>
      </w:r>
      <w:r>
        <w:t xml:space="preserve">圣灵的火住在他里面 2，使他成为将要来临的主的先锋。在先驱约翰身上，圣灵完成了「预备主的道，修直他的路」</w:t>
      </w:r>
      <w:r>
        <w:rPr>
          <w:rStyle w:val="FootnoteReference"/>
        </w:rPr>
        <w:footnoteReference w:id="1385"/>
      </w:r>
      <w:r>
        <w:t xml:space="preserve">的工作。</w:t>
      </w:r>
    </w:p>
    <w:p>
      <w:pPr>
        <w:pStyle w:val="BodyText"/>
      </w:pPr>
      <w:r>
        <w:t xml:space="preserve">施洗约翰「不但是先知」。</w:t>
      </w:r>
      <w:r>
        <w:rPr>
          <w:rStyle w:val="FootnoteReference"/>
        </w:rPr>
        <w:footnoteReference w:id="1386"/>
      </w:r>
      <w:r>
        <w:t xml:space="preserve">在他身上，圣灵结束了藉先知说话。约翰完成了从以利亚开始的先知周期。</w:t>
      </w:r>
      <w:r>
        <w:rPr>
          <w:rStyle w:val="FootnoteReference"/>
        </w:rPr>
        <w:footnoteReference w:id="1387"/>
      </w:r>
      <w:r>
        <w:t xml:space="preserve">他宣告以色列的安慰临近了；他是那将要来的安慰者的「声音」。</w:t>
      </w:r>
      <w:r>
        <w:rPr>
          <w:rStyle w:val="FootnoteReference"/>
        </w:rPr>
        <w:footnoteReference w:id="1388"/>
      </w:r>
      <w:r>
        <w:t xml:space="preserve">真理的圣灵也要如此，约翰「为光作见证而来」。</w:t>
      </w:r>
      <w:r>
        <w:rPr>
          <w:rStyle w:val="FootnoteReference"/>
        </w:rPr>
        <w:footnoteReference w:id="1389"/>
      </w:r>
      <w:r>
        <w:t xml:space="preserve">在约翰眼中，圣灵如此完成了先知们谨慎的寻求，满足了天使们的渴望。</w:t>
      </w:r>
      <w:r>
        <w:rPr>
          <w:rStyle w:val="FootnoteReference"/>
        </w:rPr>
        <w:footnoteReference w:id="1390"/>
      </w:r>
      <w:r>
        <w:t xml:space="preserve">「你看见圣灵降下来，住在谁的身上，谁就是用圣灵施洗的。我看见了，就证明这是神的儿子。……看哪，神的羔羊。」</w:t>
      </w:r>
      <w:r>
        <w:rPr>
          <w:rStyle w:val="FootnoteReference"/>
        </w:rPr>
        <w:footnoteReference w:id="1391"/>
      </w:r>
    </w:p>
    <w:p>
      <w:pPr>
        <w:pStyle w:val="BodyText"/>
      </w:pPr>
      <w:r>
        <w:t xml:space="preserve">最后，藉着施洗约翰，圣灵开始了将「神的肖像」复原于人的工作，预示了他将在基督里并藉着基督成就的事。约翰的洗礼是为了悔改；水和圣灵的洗礼将是一个新生。</w:t>
      </w:r>
      <w:r>
        <w:rPr>
          <w:rStyle w:val="FootnoteReference"/>
        </w:rPr>
        <w:footnoteReference w:id="1392"/>
      </w:r>
    </w:p>
    <w:bookmarkEnd w:id="1393"/>
    <w:bookmarkStart w:id="1403" w:name="蒙大恩的女子"/>
    <w:p>
      <w:pPr>
        <w:pStyle w:val="Heading6"/>
      </w:pPr>
      <w:r>
        <w:t xml:space="preserve">「蒙大恩的女子」</w:t>
      </w:r>
    </w:p>
    <w:p>
      <w:pPr>
        <w:pStyle w:val="FirstParagraph"/>
      </w:pPr>
      <w:r>
        <w:t xml:space="preserve">在时期满足时，全圣永贞的神之母马利亚，是圣子和圣灵使命的杰作。在救恩计划中，因着圣灵的准备，圣父首次找到了他的圣子和圣灵可以在人中居住的住所。从这个意义上说，教会圣传常常将有关智慧的最美经文，解释为指马利亚。</w:t>
      </w:r>
      <w:r>
        <w:rPr>
          <w:rStyle w:val="FootnoteReference"/>
        </w:rPr>
        <w:footnoteReference w:id="1394"/>
      </w:r>
      <w:r>
        <w:t xml:space="preserve">在礼仪中，马利亚被誉为并代表「智慧宝座」。</w:t>
      </w:r>
    </w:p>
    <w:p>
      <w:pPr>
        <w:pStyle w:val="BodyText"/>
      </w:pPr>
      <w:r>
        <w:t xml:space="preserve">在马利亚身上，圣灵要在基督和教会里实现的「神的奇事」，开始彰显：</w:t>
      </w:r>
    </w:p>
    <w:p>
      <w:pPr>
        <w:pStyle w:val="BodyText"/>
      </w:pPr>
      <w:r>
        <w:t xml:space="preserve">圣灵以他的恩典</w:t>
      </w:r>
      <w:r>
        <w:rPr>
          <w:i/>
          <w:iCs/>
        </w:rPr>
        <w:t xml:space="preserve">预备了</w:t>
      </w:r>
      <w:r>
        <w:t xml:space="preserve">马利亚。「神本性一切的丰盛都有形有体地居住在基督里面」</w:t>
      </w:r>
      <w:r>
        <w:rPr>
          <w:rStyle w:val="FootnoteReference"/>
        </w:rPr>
        <w:footnoteReference w:id="1395"/>
      </w:r>
      <w:r>
        <w:t xml:space="preserve">的那位的母亲，本人理当是「充满恩典的」。她纯粹出于恩典，无罪地孕育，成为最谦卑的受造物，最能接纳全能者莫可言喻的恩赐。天使加百列称她为「锡安女子」，向她请安说：「欢欣吧！」</w:t>
      </w:r>
      <w:r>
        <w:rPr>
          <w:rStyle w:val="FootnoteReference"/>
        </w:rPr>
        <w:footnoteReference w:id="1396"/>
      </w:r>
      <w:r>
        <w:t xml:space="preserve">这是整个神的子民，也就是教会的感恩，马利亚在她的诗歌中</w:t>
      </w:r>
      <w:r>
        <w:rPr>
          <w:rStyle w:val="FootnoteReference"/>
        </w:rPr>
        <w:footnoteReference w:id="1397"/>
      </w:r>
      <w:r>
        <w:t xml:space="preserve">，怀着永恒圣子，在圣灵里面，将这感恩献于圣父。</w:t>
      </w:r>
    </w:p>
    <w:p>
      <w:pPr>
        <w:pStyle w:val="BodyText"/>
      </w:pPr>
      <w:r>
        <w:t xml:space="preserve">在马利亚身上，圣灵</w:t>
      </w:r>
      <w:r>
        <w:rPr>
          <w:i/>
          <w:iCs/>
        </w:rPr>
        <w:t xml:space="preserve">实现了</w:t>
      </w:r>
      <w:r>
        <w:t xml:space="preserve">圣父慈爱美善的计划。藉着圣灵，童贞女孕育并生了神的儿子。因着圣灵的大能和她的信心，她的贞洁结出了独特的果实。</w:t>
      </w:r>
      <w:r>
        <w:rPr>
          <w:rStyle w:val="FootnoteReference"/>
        </w:rPr>
        <w:footnoteReference w:id="1398"/>
      </w:r>
    </w:p>
    <w:p>
      <w:pPr>
        <w:pStyle w:val="BodyText"/>
      </w:pPr>
      <w:r>
        <w:t xml:space="preserve">在马利亚身上，圣灵</w:t>
      </w:r>
      <w:r>
        <w:rPr>
          <w:i/>
          <w:iCs/>
        </w:rPr>
        <w:t xml:space="preserve">彰显</w:t>
      </w:r>
      <w:r>
        <w:t xml:space="preserve">了圣父的圣子，如今成为童贞女的儿子。她是最终神显的燃烧荆棘。她充满圣灵，使道在他卑微的肉身中可见。她将道介绍给贫穷的人和外邦人的第一批代表。</w:t>
      </w:r>
      <w:r>
        <w:rPr>
          <w:rStyle w:val="FootnoteReference"/>
        </w:rPr>
        <w:footnoteReference w:id="1399"/>
      </w:r>
    </w:p>
    <w:p>
      <w:pPr>
        <w:pStyle w:val="BodyText"/>
      </w:pPr>
      <w:r>
        <w:t xml:space="preserve">最后，藉着马利亚，圣灵开始将人，就是神慈悲的爱的对象，</w:t>
      </w:r>
      <w:r>
        <w:rPr>
          <w:rStyle w:val="FootnoteReference"/>
        </w:rPr>
        <w:footnoteReference w:id="1400"/>
      </w:r>
      <w:r>
        <w:rPr>
          <w:i/>
          <w:iCs/>
        </w:rPr>
        <w:t xml:space="preserve">带入</w:t>
      </w:r>
      <w:r>
        <w:t xml:space="preserve">与基督的共融。谦逊的人总是首先接受他：牧羊人、博士、西面和亚拿、迦拿的新郎新娘，以及最初的门徒。</w:t>
      </w:r>
    </w:p>
    <w:p>
      <w:pPr>
        <w:pStyle w:val="BodyText"/>
      </w:pPr>
      <w:r>
        <w:t xml:space="preserve">在圣灵使命的末了，马利亚成为了那女人，新夏娃（「众生之母」），「整个基督」的母亲。</w:t>
      </w:r>
      <w:r>
        <w:rPr>
          <w:rStyle w:val="FootnoteReference"/>
        </w:rPr>
        <w:footnoteReference w:id="1401"/>
      </w:r>
      <w:r>
        <w:t xml:space="preserve">因此，在「末期」的黎明，就是圣灵在五旬节早晨以教会的显现开创的时刻，马利亚与那「同心合意恒切祷告」的十二位在一起。</w:t>
      </w:r>
      <w:r>
        <w:rPr>
          <w:rStyle w:val="FootnoteReference"/>
        </w:rPr>
        <w:footnoteReference w:id="1402"/>
      </w:r>
    </w:p>
    <w:bookmarkEnd w:id="1403"/>
    <w:bookmarkStart w:id="1416" w:name="基督耶稣"/>
    <w:p>
      <w:pPr>
        <w:pStyle w:val="Heading6"/>
      </w:pPr>
      <w:r>
        <w:t xml:space="preserve">基督耶稣</w:t>
      </w:r>
    </w:p>
    <w:p>
      <w:pPr>
        <w:pStyle w:val="FirstParagraph"/>
      </w:pPr>
      <w:r>
        <w:t xml:space="preserve">在时期满全时，圣子和圣灵的整个使命都包含在这一点：圣子从降生成人起，就是由圣父的灵所膏抹的那一位——耶稣是基督，是弥赛亚。</w:t>
      </w:r>
    </w:p>
    <w:p>
      <w:pPr>
        <w:pStyle w:val="BodyText"/>
      </w:pPr>
      <w:r>
        <w:t xml:space="preserve">信经第二章的一切内容都应在这光照下诵读。事实上，基督的整个工作是圣子和圣灵的联合使命。在此，我们只提及与耶稣应许圣灵，以及荣耀的主赐下圣灵有关的事。</w:t>
      </w:r>
    </w:p>
    <w:p>
      <w:pPr>
        <w:pStyle w:val="BodyText"/>
      </w:pPr>
      <w:r>
        <w:t xml:space="preserve">直到耶稣自己藉着他的死亡和复活被荣耀，他才完全启示圣灵。然而，即使在他教导群众时，他也一点一点地暗示圣灵，例如当他揭示他自己的肉要成为世界生命的食粮时。</w:t>
      </w:r>
      <w:r>
        <w:rPr>
          <w:rStyle w:val="FootnoteReference"/>
        </w:rPr>
        <w:footnoteReference w:id="1404"/>
      </w:r>
      <w:r>
        <w:t xml:space="preserve">他也在与尼哥德慕谈话时，</w:t>
      </w:r>
      <w:r>
        <w:rPr>
          <w:rStyle w:val="FootnoteReference"/>
        </w:rPr>
        <w:footnoteReference w:id="1405"/>
      </w:r>
      <w:r>
        <w:t xml:space="preserve">与撒玛利亚妇人交谈时，</w:t>
      </w:r>
      <w:r>
        <w:rPr>
          <w:rStyle w:val="FootnoteReference"/>
        </w:rPr>
        <w:footnoteReference w:id="1406"/>
      </w:r>
      <w:r>
        <w:t xml:space="preserve">以及对那些参加住棚节的人提到圣灵。</w:t>
      </w:r>
      <w:r>
        <w:rPr>
          <w:rStyle w:val="FootnoteReference"/>
        </w:rPr>
        <w:footnoteReference w:id="1407"/>
      </w:r>
      <w:r>
        <w:t xml:space="preserve">他向门徒公开谈到与祈祷有关的圣灵，</w:t>
      </w:r>
      <w:r>
        <w:rPr>
          <w:rStyle w:val="FootnoteReference"/>
        </w:rPr>
        <w:footnoteReference w:id="1408"/>
      </w:r>
      <w:r>
        <w:t xml:space="preserve">以及他们将要作的见证。</w:t>
      </w:r>
      <w:r>
        <w:rPr>
          <w:rStyle w:val="FootnoteReference"/>
        </w:rPr>
        <w:footnoteReference w:id="1409"/>
      </w:r>
    </w:p>
    <w:p>
      <w:pPr>
        <w:pStyle w:val="BodyText"/>
      </w:pPr>
      <w:r>
        <w:t xml:space="preserve">只有当耶稣被荣耀的时刻到来时，他才</w:t>
      </w:r>
      <w:r>
        <w:rPr>
          <w:i/>
          <w:iCs/>
        </w:rPr>
        <w:t xml:space="preserve">应许</w:t>
      </w:r>
      <w:r>
        <w:t xml:space="preserve">圣灵的降临，因为他的死亡和复活将实现对先祖的承诺。</w:t>
      </w:r>
      <w:r>
        <w:rPr>
          <w:rStyle w:val="FootnoteReference"/>
        </w:rPr>
        <w:footnoteReference w:id="1410"/>
      </w:r>
      <w:r>
        <w:t xml:space="preserve">真理之灵，另一位护慰者，将由圣父应耶稣的祈求而赐下；圣父要因耶稣的名差遣他；耶稣要从圣父那里差遣他，因为他是从圣父出来的。圣灵要来，我们要认识他；他要永远与我们同在；他要与我们同住。圣灵要教导我们一切，提醒我们基督对我们所说的一切，并要为他作见证。圣灵要引导我们进入一切真理，并要荣耀基督。他要在罪、义和审判上证明世人错了。</w:t>
      </w:r>
    </w:p>
    <w:p>
      <w:pPr>
        <w:pStyle w:val="BodyText"/>
      </w:pPr>
      <w:r>
        <w:t xml:space="preserve">耶稣的时刻终于到了，</w:t>
      </w:r>
      <w:r>
        <w:rPr>
          <w:rStyle w:val="FootnoteReference"/>
        </w:rPr>
        <w:footnoteReference w:id="1411"/>
      </w:r>
      <w:r>
        <w:t xml:space="preserve">就在他以死亡战胜死亡的时刻，他将自己的灵魂交在圣父手中，</w:t>
      </w:r>
      <w:r>
        <w:rPr>
          <w:rStyle w:val="FootnoteReference"/>
        </w:rPr>
        <w:footnoteReference w:id="1412"/>
      </w:r>
      <w:r>
        <w:t xml:space="preserve">为的是「藉着父的荣耀，从死里复活」，</w:t>
      </w:r>
      <w:r>
        <w:rPr>
          <w:rStyle w:val="FootnoteReference"/>
        </w:rPr>
        <w:footnoteReference w:id="1413"/>
      </w:r>
      <w:r>
        <w:t xml:space="preserve">他可以立即</w:t>
      </w:r>
      <w:r>
        <w:rPr>
          <w:i/>
          <w:iCs/>
        </w:rPr>
        <w:t xml:space="preserve">赐下</w:t>
      </w:r>
      <w:r>
        <w:t xml:space="preserve">圣灵，藉着向门徒「吹气」。</w:t>
      </w:r>
      <w:r>
        <w:rPr>
          <w:rStyle w:val="FootnoteReference"/>
        </w:rPr>
        <w:footnoteReference w:id="1414"/>
      </w:r>
      <w:r>
        <w:t xml:space="preserve">从此时起，基督和圣灵的使命成为教会的使命：「父怎样差遣了我，我也照样差遣你们。」</w:t>
      </w:r>
      <w:r>
        <w:rPr>
          <w:rStyle w:val="FootnoteReference"/>
        </w:rPr>
        <w:footnoteReference w:id="1415"/>
      </w:r>
    </w:p>
    <w:bookmarkEnd w:id="1416"/>
    <w:bookmarkEnd w:id="1417"/>
    <w:bookmarkStart w:id="1434" w:name="五末世的圣灵与教会"/>
    <w:p>
      <w:pPr>
        <w:pStyle w:val="Heading5"/>
      </w:pPr>
      <w:r>
        <w:t xml:space="preserve">五、末世的圣灵与教会</w:t>
      </w:r>
    </w:p>
    <w:bookmarkStart w:id="1420" w:name="五旬节"/>
    <w:p>
      <w:pPr>
        <w:pStyle w:val="Heading6"/>
      </w:pPr>
      <w:r>
        <w:t xml:space="preserve">五旬节</w:t>
      </w:r>
    </w:p>
    <w:p>
      <w:pPr>
        <w:pStyle w:val="FirstParagraph"/>
      </w:pPr>
      <w:r>
        <w:t xml:space="preserve">在五旬节那天，当复活节的七周结束时，基督的逾越节在圣灵的倾注中达到圆满，圣灵作为一位属天的位格显示、赐下并传递：基督，主，从他的丰满中，丰丰富富地浇灌圣灵。</w:t>
      </w:r>
      <w:r>
        <w:rPr>
          <w:rStyle w:val="FootnoteReference"/>
        </w:rPr>
        <w:footnoteReference w:id="1418"/>
      </w:r>
    </w:p>
    <w:p>
      <w:pPr>
        <w:pStyle w:val="BodyText"/>
      </w:pPr>
      <w:r>
        <w:t xml:space="preserve">在那天，三位一体得以完全启示。从那天起，基督所宣告的天国向那些相信他的人敞开：在肉身的谦卑和信心中，他们已经分享了三位一体的共融。藉着他永不止息的来临，圣灵使世界进入「末世」，就是教会的时期，已经承继却尚未完成的天国。</w:t>
      </w:r>
    </w:p>
    <w:p>
      <w:pPr>
        <w:pStyle w:val="BodyText"/>
      </w:pPr>
      <w:r>
        <w:t xml:space="preserve">我们已经看见了真光，我们已经领受了圣灵，我们已经找到了真信心：我们崇拜不可分的三位一体，祂救了我们。</w:t>
      </w:r>
      <w:r>
        <w:rPr>
          <w:rStyle w:val="FootnoteReference"/>
        </w:rPr>
        <w:footnoteReference w:id="1419"/>
      </w:r>
    </w:p>
    <w:bookmarkEnd w:id="1420"/>
    <w:bookmarkStart w:id="1429" w:name="圣灵神的礼物"/>
    <w:p>
      <w:pPr>
        <w:pStyle w:val="Heading6"/>
      </w:pPr>
      <w:r>
        <w:t xml:space="preserve">圣灵——神的礼物</w:t>
      </w:r>
    </w:p>
    <w:p>
      <w:pPr>
        <w:pStyle w:val="FirstParagraph"/>
      </w:pPr>
      <w:r>
        <w:t xml:space="preserve">「神就是爱」，</w:t>
      </w:r>
      <w:r>
        <w:rPr>
          <w:rStyle w:val="FootnoteReference"/>
        </w:rPr>
        <w:footnoteReference w:id="1421"/>
      </w:r>
      <w:r>
        <w:t xml:space="preserve">爱是他的首要恩赐，包含所有其他恩赐。「神的爱，因所赐给我们的圣灵，就浇灌在我们心里。」</w:t>
      </w:r>
      <w:r>
        <w:rPr>
          <w:rStyle w:val="FootnoteReference"/>
        </w:rPr>
        <w:footnoteReference w:id="1422"/>
      </w:r>
    </w:p>
    <w:p>
      <w:pPr>
        <w:pStyle w:val="BodyText"/>
      </w:pPr>
      <w:r>
        <w:t xml:space="preserve">因为我们因罪而死，或至少受了伤，爱的恩赐的首要果效就是赦免我们的罪。教会中圣灵的相交，</w:t>
      </w:r>
      <w:r>
        <w:rPr>
          <w:rStyle w:val="FootnoteReference"/>
        </w:rPr>
        <w:footnoteReference w:id="1423"/>
      </w:r>
      <w:r>
        <w:t xml:space="preserve">使受洗者恢复因罪而失去的神的形象。</w:t>
      </w:r>
    </w:p>
    <w:p>
      <w:pPr>
        <w:pStyle w:val="BodyText"/>
      </w:pPr>
      <w:r>
        <w:t xml:space="preserve">然后，他赐给我们承继产业的「凭据」或「初熟的果子」：三位一体的生命本身，就是要爱，如同「神爱了我们」一样。</w:t>
      </w:r>
      <w:r>
        <w:rPr>
          <w:rStyle w:val="FootnoteReference"/>
        </w:rPr>
        <w:footnoteReference w:id="1424"/>
      </w:r>
      <w:r>
        <w:t xml:space="preserve">这爱（</w:t>
      </w:r>
      <w:r>
        <w:rPr>
          <w:i/>
          <w:iCs/>
        </w:rPr>
        <w:t xml:space="preserve">林前</w:t>
      </w:r>
      <w:r>
        <w:t xml:space="preserve">13 章的「爱」）是在基督里新生命的泉源，因为我们从圣灵领受了「能力」，这爱才成为可能。</w:t>
      </w:r>
      <w:r>
        <w:rPr>
          <w:rStyle w:val="FootnoteReference"/>
        </w:rPr>
        <w:footnoteReference w:id="1425"/>
      </w:r>
    </w:p>
    <w:p>
      <w:pPr>
        <w:pStyle w:val="BodyText"/>
      </w:pPr>
      <w:r>
        <w:t xml:space="preserve">藉着灵的能力，神的儿女能结出许多果实。那位把我们接枝到真葡萄树上的，必使我们结出「圣灵所结的果子，就是仁爱、喜乐、和平、忍耐、恩慈、良善、信实、温柔、节制。」</w:t>
      </w:r>
      <w:r>
        <w:rPr>
          <w:rStyle w:val="FootnoteReference"/>
        </w:rPr>
        <w:footnoteReference w:id="1426"/>
      </w:r>
      <w:r>
        <w:t xml:space="preserve">「我们若是靠灵得生」，我们越舍弃自己，就越「当靠灵行事。」</w:t>
      </w:r>
      <w:r>
        <w:rPr>
          <w:rStyle w:val="FootnoteReference"/>
        </w:rPr>
        <w:footnoteReference w:id="1427"/>
      </w:r>
    </w:p>
    <w:p>
      <w:pPr>
        <w:pStyle w:val="BodyText"/>
      </w:pPr>
      <w:r>
        <w:t xml:space="preserve">藉着圣灵，我们重返乐园，被引回天国，被收纳为儿女，有信心称呼神为「父」，并分享基督的恩典，被称为光明之子，并分享永恒的荣耀。</w:t>
      </w:r>
      <w:r>
        <w:rPr>
          <w:rStyle w:val="FootnoteReference"/>
        </w:rPr>
        <w:footnoteReference w:id="1428"/>
      </w:r>
    </w:p>
    <w:bookmarkEnd w:id="1429"/>
    <w:bookmarkStart w:id="1433" w:name="圣灵与教会"/>
    <w:p>
      <w:pPr>
        <w:pStyle w:val="Heading6"/>
      </w:pPr>
      <w:r>
        <w:t xml:space="preserve">圣灵与教会</w:t>
      </w:r>
    </w:p>
    <w:p>
      <w:pPr>
        <w:pStyle w:val="FirstParagraph"/>
      </w:pPr>
      <w:r>
        <w:t xml:space="preserve">基督和圣灵的使命在教会里得以完成，教会是基督的身体和圣灵的宫殿。这联合的使命从此使基督的信徒在圣灵内分享他与圣父的共融。圣灵以他的恩典</w:t>
      </w:r>
      <w:r>
        <w:rPr>
          <w:i/>
          <w:iCs/>
        </w:rPr>
        <w:t xml:space="preserve">预备</w:t>
      </w:r>
      <w:r>
        <w:t xml:space="preserve">人，并走向他们，为把他们吸引到基督那里。圣灵向他们</w:t>
      </w:r>
      <w:r>
        <w:rPr>
          <w:i/>
          <w:iCs/>
        </w:rPr>
        <w:t xml:space="preserve">显示</w:t>
      </w:r>
      <w:r>
        <w:t xml:space="preserve">复活的主，唤起他们记起主的话，开启他们的心灵去领悟他的死亡和复活。他</w:t>
      </w:r>
      <w:r>
        <w:rPr>
          <w:i/>
          <w:iCs/>
        </w:rPr>
        <w:t xml:space="preserve">临在</w:t>
      </w:r>
      <w:r>
        <w:t xml:space="preserve">基督的奥秘，尤其在圣餐中，为使他们与神</w:t>
      </w:r>
      <w:r>
        <w:rPr>
          <w:i/>
          <w:iCs/>
        </w:rPr>
        <w:t xml:space="preserve">和好</w:t>
      </w:r>
      <w:r>
        <w:t xml:space="preserve">，</w:t>
      </w:r>
      <w:r>
        <w:rPr>
          <w:i/>
          <w:iCs/>
        </w:rPr>
        <w:t xml:space="preserve">进入与神的共融</w:t>
      </w:r>
      <w:r>
        <w:t xml:space="preserve">，好能「多结果子」。</w:t>
      </w:r>
      <w:r>
        <w:rPr>
          <w:rStyle w:val="FootnoteReference"/>
        </w:rPr>
        <w:footnoteReference w:id="1430"/>
      </w:r>
    </w:p>
    <w:p>
      <w:pPr>
        <w:pStyle w:val="BodyText"/>
      </w:pPr>
      <w:r>
        <w:t xml:space="preserve">因此，教会的使命不是基督和圣灵使命的附加，而是它的圣事：教会在其整个存在和所有成员中，被派遣去宣告、见证、临在并传扬圣三位一体共融的奥秘（下一条的主题）：</w:t>
      </w:r>
    </w:p>
    <w:p>
      <w:pPr>
        <w:pStyle w:val="BodyText"/>
      </w:pPr>
      <w:r>
        <w:t xml:space="preserve">我们所有领受了同一圣灵的人，也就是圣灵，在某种意义上彼此融合，并与神融合。因为如果基督与圣父和他自己的圣灵一起来住在我们每一个人里，虽然我们人多，圣灵仍是唯一且不可分的。他把我们每一个人的灵连结在一起，……使众人在他里面显为一。正如基督神圣肉身的力量使那些他所住的人合而为一体，我想同样地，住在众人里唯一且不可分的神的圣灵，把众人引入属灵的合一。</w:t>
      </w:r>
      <w:r>
        <w:rPr>
          <w:rStyle w:val="FootnoteReference"/>
        </w:rPr>
        <w:footnoteReference w:id="1431"/>
      </w:r>
    </w:p>
    <w:p>
      <w:pPr>
        <w:pStyle w:val="BodyText"/>
      </w:pPr>
      <w:r>
        <w:t xml:space="preserve">因为圣灵是基督的膏抹，作为身体的头，基督把圣灵倾注在他的肢体中，滋养、医治并组织他们彼此的功用，赐给他们生命，差遣他们去作见证，使他们与基督献于圣父的自我奉献和他为普世的代祷结合。藉着教会的圣事，基督将他神性和圣化的圣灵传递给他身体的肢体。（这将是《公教会教理》卷二的主题。）</w:t>
      </w:r>
    </w:p>
    <w:p>
      <w:pPr>
        <w:pStyle w:val="BodyText"/>
      </w:pPr>
      <w:r>
        <w:t xml:space="preserve">这些在教会圣事中赐给信徒的「神大能的作为」，按照圣灵，在基督里的新生命中结出果实。（这将是卷三的主题。）</w:t>
      </w:r>
    </w:p>
    <w:p>
      <w:pPr>
        <w:pStyle w:val="BodyText"/>
      </w:pPr>
      <w:r>
        <w:t xml:space="preserve">「圣灵帮助我们的软弱，我们本不晓得当怎样祷告，只是圣灵亲自用说不出来的叹息替我们祷告。」</w:t>
      </w:r>
      <w:r>
        <w:rPr>
          <w:rStyle w:val="FootnoteReference"/>
        </w:rPr>
        <w:footnoteReference w:id="1432"/>
      </w:r>
      <w:r>
        <w:t xml:space="preserve">圣灵是神作工的工匠，是祈祷的主宰。（这将是卷四的主题。）</w:t>
      </w:r>
    </w:p>
    <w:bookmarkEnd w:id="1433"/>
    <w:bookmarkEnd w:id="1434"/>
    <w:bookmarkStart w:id="1435" w:name="综述-21"/>
    <w:p>
      <w:pPr>
        <w:pStyle w:val="Heading5"/>
      </w:pPr>
      <w:r>
        <w:t xml:space="preserve">综述</w:t>
      </w:r>
    </w:p>
    <w:p>
      <w:pPr>
        <w:pStyle w:val="FirstParagraph"/>
      </w:pPr>
      <w:r>
        <w:t xml:space="preserve">「你们既为儿子，神就差他儿子的灵进入你们的心，呼叫：『阿爸！父！』」（</w:t>
      </w:r>
      <w:r>
        <w:rPr>
          <w:i/>
          <w:iCs/>
        </w:rPr>
        <w:t xml:space="preserve">加</w:t>
      </w:r>
      <w:r>
        <w:t xml:space="preserve">4:6）。</w:t>
      </w:r>
    </w:p>
    <w:p>
      <w:pPr>
        <w:pStyle w:val="BodyText"/>
      </w:pPr>
      <w:r>
        <w:t xml:space="preserve">从开始到终结的时候，每当神差遣他的圣子，他总是同时差遣他的圣灵：他们的使命是结合在一起且不可分割的。</w:t>
      </w:r>
    </w:p>
    <w:p>
      <w:pPr>
        <w:pStyle w:val="BodyText"/>
      </w:pPr>
      <w:r>
        <w:t xml:space="preserve">在时期满全时，圣灵在马利亚身上完成了基督来到神子民中的一切准备工作。藉着圣灵在马利亚身上的行动，圣父将以马内利「神与我们同在」（</w:t>
      </w:r>
      <w:r>
        <w:rPr>
          <w:i/>
          <w:iCs/>
        </w:rPr>
        <w:t xml:space="preserve">太</w:t>
      </w:r>
      <w:r>
        <w:t xml:space="preserve">1:23）赐给了世界。</w:t>
      </w:r>
    </w:p>
    <w:p>
      <w:pPr>
        <w:pStyle w:val="BodyText"/>
      </w:pPr>
      <w:r>
        <w:t xml:space="preserve">神的儿子在降生成人时，藉着圣灵的膏抹被立为基督（弥赛亚）（参</w:t>
      </w:r>
      <w:r>
        <w:rPr>
          <w:i/>
          <w:iCs/>
        </w:rPr>
        <w:t xml:space="preserve">诗</w:t>
      </w:r>
      <w:r>
        <w:t xml:space="preserve">2:6-7）。</w:t>
      </w:r>
    </w:p>
    <w:p>
      <w:pPr>
        <w:pStyle w:val="BodyText"/>
      </w:pPr>
      <w:r>
        <w:t xml:space="preserve">藉着他的死亡和复活，耶稣在荣耀中被立为主和基督（参</w:t>
      </w:r>
      <w:r>
        <w:rPr>
          <w:i/>
          <w:iCs/>
        </w:rPr>
        <w:t xml:space="preserve">徒</w:t>
      </w:r>
      <w:r>
        <w:t xml:space="preserve">2：36）。他从自己的丰满中，将圣灵倾注在使徒们和教会身上。</w:t>
      </w:r>
    </w:p>
    <w:p>
      <w:pPr>
        <w:pStyle w:val="BodyText"/>
      </w:pPr>
      <w:r>
        <w:t xml:space="preserve">基督元首倾注在他肢体上的圣灵，建立、推动并圣化教会。教会是圣三位一体与人共融的圣事。</w:t>
      </w:r>
    </w:p>
    <w:p>
      <w:r>
        <w:br w:type="page"/>
      </w:r>
    </w:p>
    <w:bookmarkEnd w:id="1435"/>
    <w:bookmarkEnd w:id="1436"/>
    <w:bookmarkStart w:id="1814" w:name="第九条我信圣而公之教会"/>
    <w:p>
      <w:pPr>
        <w:pStyle w:val="Heading4"/>
      </w:pPr>
      <w:r>
        <w:t xml:space="preserve">第九条：「我信圣而公之教会」</w:t>
      </w:r>
    </w:p>
    <w:p>
      <w:pPr>
        <w:pStyle w:val="FirstParagraph"/>
      </w:pPr>
      <w:r>
        <w:t xml:space="preserve">「基督是人类之光，因此，本次神圣的大公会议在圣灵内聚集，切愿藉着向万民宣讲福音，使基督的光藉着教会照耀万民。」</w:t>
      </w:r>
      <w:r>
        <w:rPr>
          <w:rStyle w:val="FootnoteReference"/>
        </w:rPr>
        <w:footnoteReference w:id="1437"/>
      </w:r>
      <w:r>
        <w:t xml:space="preserve">这些话开启了梵蒂冈第二届大公会议的《教会教义宪章》。通过选择这个起点，大公会议表明关于教会的信条完全建基于关乎基督耶稣的信条之上。教会除了基督的光之外别无他光。正如教父们喜爱的比喻所说，教会好比月亮，所有的光都是从太阳反射而来。</w:t>
      </w:r>
    </w:p>
    <w:p>
      <w:pPr>
        <w:pStyle w:val="BodyText"/>
      </w:pPr>
      <w:r>
        <w:t xml:space="preserve">关于教会的信条也完全依赖于其前的关于圣灵的信条。「的确，在显明圣灵是一切圣洁的源头和赐予者之后，我们现在承认是他赋予了教会圣洁。」</w:t>
      </w:r>
      <w:r>
        <w:rPr>
          <w:rStyle w:val="FootnoteReference"/>
        </w:rPr>
        <w:footnoteReference w:id="1438"/>
      </w:r>
      <w:r>
        <w:t xml:space="preserve">用教父们的话来说，教会是「圣灵茂盛之处」。</w:t>
      </w:r>
      <w:r>
        <w:rPr>
          <w:rStyle w:val="FootnoteReference"/>
        </w:rPr>
        <w:footnoteReference w:id="1439"/>
      </w:r>
    </w:p>
    <w:p>
      <w:pPr>
        <w:pStyle w:val="BodyText"/>
      </w:pPr>
      <w:r>
        <w:t xml:space="preserve">相信教会是「圣洁」和「大公」的，以及她是「独一」和「使徒」的（如尼西亚信经所加），这与相信圣父、圣子、圣灵三位一体的神是不可分割的。在使徒信经中，我们「相信」一圣教会（</w:t>
      </w:r>
      <w:r>
        <w:rPr>
          <w:i/>
          <w:iCs/>
        </w:rPr>
        <w:t xml:space="preserve">Credo . . . Ecclesiam</w:t>
      </w:r>
      <w:r>
        <w:t xml:space="preserve">），而不是「信仰」教会，以免将神与他的作为混淆，并清楚地将神赐予他教会的一切恩赐归功于神的良善。</w:t>
      </w:r>
      <w:r>
        <w:rPr>
          <w:rStyle w:val="FootnoteReference"/>
        </w:rPr>
        <w:footnoteReference w:id="1440"/>
      </w:r>
    </w:p>
    <w:p>
      <w:r>
        <w:br w:type="page"/>
      </w:r>
    </w:p>
    <w:bookmarkStart w:id="1502" w:name="第一节神计划中的教会"/>
    <w:p>
      <w:pPr>
        <w:pStyle w:val="Heading5"/>
      </w:pPr>
      <w:r>
        <w:t xml:space="preserve">第一节神计划中的教会</w:t>
      </w:r>
    </w:p>
    <w:bookmarkStart w:id="1452" w:name="一教会的名称与图像"/>
    <w:p>
      <w:pPr>
        <w:pStyle w:val="Heading6"/>
      </w:pPr>
      <w:r>
        <w:t xml:space="preserve">一、教会的名称与图像</w:t>
      </w:r>
    </w:p>
    <w:p>
      <w:pPr>
        <w:pStyle w:val="FirstParagraph"/>
      </w:pPr>
      <w:r>
        <w:t xml:space="preserve">「教会」一词（拉丁文</w:t>
      </w:r>
      <w:r>
        <w:rPr>
          <w:i/>
          <w:iCs/>
        </w:rPr>
        <w:t xml:space="preserve">ecclesia</w:t>
      </w:r>
      <w:r>
        <w:t xml:space="preserve">，源自希腊文</w:t>
      </w:r>
      <w:r>
        <w:rPr>
          <w:i/>
          <w:iCs/>
        </w:rPr>
        <w:t xml:space="preserve">ek-ka-lein</w:t>
      </w:r>
      <w:r>
        <w:t xml:space="preserve">，意为「召出」）指召集或集会。它通常指代人民的宗教性集会。</w:t>
      </w:r>
      <w:r>
        <w:rPr>
          <w:rStyle w:val="FootnoteReference"/>
        </w:rPr>
        <w:footnoteReference w:id="1441"/>
      </w:r>
      <w:r>
        <w:t xml:space="preserve">在希腊文旧约中，</w:t>
      </w:r>
      <w:r>
        <w:rPr>
          <w:i/>
          <w:iCs/>
        </w:rPr>
        <w:t xml:space="preserve">Ekklesia</w:t>
      </w:r>
      <w:r>
        <w:t xml:space="preserve">经常用来指神的选民在神面前的集会，尤其是他们在西奈山上的集会，在那里以色列人领受律法，被神立为圣民。</w:t>
      </w:r>
      <w:r>
        <w:rPr>
          <w:rStyle w:val="FootnoteReference"/>
        </w:rPr>
        <w:footnoteReference w:id="1442"/>
      </w:r>
      <w:r>
        <w:t xml:space="preserve">早期基督徒团体称自己为「教会」，表明认同自己是这集会的继承者。在教会中，神正在从地极「招聚」他的子民。希腊文</w:t>
      </w:r>
      <w:r>
        <w:rPr>
          <w:i/>
          <w:iCs/>
        </w:rPr>
        <w:t xml:space="preserve">Kyriake</w:t>
      </w:r>
      <w:r>
        <w:t xml:space="preserve">（英文 Church 和德文 Kirche 由此而来）的意思是「属于主的」。</w:t>
      </w:r>
    </w:p>
    <w:p>
      <w:pPr>
        <w:pStyle w:val="BodyText"/>
      </w:pPr>
      <w:r>
        <w:t xml:space="preserve">在基督教用语中，「教会」一词指礼仪性的集会，</w:t>
      </w:r>
      <w:r>
        <w:rPr>
          <w:rStyle w:val="FootnoteReference"/>
        </w:rPr>
        <w:footnoteReference w:id="1443"/>
      </w:r>
      <w:r>
        <w:t xml:space="preserve">也指地方团体，</w:t>
      </w:r>
      <w:r>
        <w:rPr>
          <w:rStyle w:val="FootnoteReference"/>
        </w:rPr>
        <w:footnoteReference w:id="1444"/>
      </w:r>
      <w:r>
        <w:t xml:space="preserve">或全球信徒的普世团体。</w:t>
      </w:r>
      <w:r>
        <w:rPr>
          <w:rStyle w:val="FootnoteReference"/>
        </w:rPr>
        <w:footnoteReference w:id="1445"/>
      </w:r>
      <w:r>
        <w:t xml:space="preserve">这三层含义是不可分割的。「教会」是神在全世界所招聚的子民。她存在于地方团体中，并在礼仪性的集会中，尤其是在圣餐礼中得以实现。她从基督的道和身体得生命，因此自己也成为基督的身体。</w:t>
      </w:r>
    </w:p>
    <w:p>
      <w:pPr>
        <w:pStyle w:val="BodyText"/>
      </w:pPr>
      <w:r>
        <w:rPr>
          <w:i/>
          <w:iCs/>
        </w:rPr>
        <w:t xml:space="preserve">教会的象征</w:t>
      </w:r>
    </w:p>
    <w:p>
      <w:pPr>
        <w:pStyle w:val="BodyText"/>
      </w:pPr>
      <w:r>
        <w:t xml:space="preserve">在圣经中，我们发现许多相互关联的图像和比喻，启示借此表达教会那取之不尽的奥秘。取自旧约的图像都是围绕着一个深邃主题的变奏：神的子民。在新约中，这些图像找到了新的中心，因为基督已成为这群子民的元首，这群子民从此成为他的身体。</w:t>
      </w:r>
      <w:r>
        <w:rPr>
          <w:rStyle w:val="FootnoteReference"/>
        </w:rPr>
        <w:footnoteReference w:id="1446"/>
      </w:r>
      <w:r>
        <w:t xml:space="preserve">在这中心周围，集中了取自「牧人生活、耕种之事、建筑之术，以及家庭生活和婚姻」的图像。</w:t>
      </w:r>
      <w:r>
        <w:rPr>
          <w:rStyle w:val="FootnoteReference"/>
        </w:rPr>
        <w:footnoteReference w:id="1447"/>
      </w:r>
    </w:p>
    <w:p>
      <w:pPr>
        <w:pStyle w:val="BodyText"/>
      </w:pPr>
      <w:r>
        <w:t xml:space="preserve">「因此，教会是一个</w:t>
      </w:r>
      <w:r>
        <w:rPr>
          <w:i/>
          <w:iCs/>
        </w:rPr>
        <w:t xml:space="preserve">羊圈</w:t>
      </w:r>
      <w:r>
        <w:t xml:space="preserve">，基督是其唯一必经的门。教会也是羊群，神自己预言他要作牧人。这羊群虽由人间的牧者治理，却永远由基督亲自，这位好牧人和牧长，喂养并引导，他为羊舍命。</w:t>
      </w:r>
      <w:r>
        <w:rPr>
          <w:rStyle w:val="FootnoteReference"/>
        </w:rPr>
        <w:footnoteReference w:id="1448"/>
      </w:r>
      <w:r>
        <w:t xml:space="preserve">」</w:t>
      </w:r>
    </w:p>
    <w:p>
      <w:pPr>
        <w:pStyle w:val="BodyText"/>
      </w:pPr>
      <w:r>
        <w:t xml:space="preserve">「教会是一块</w:t>
      </w:r>
      <w:r>
        <w:rPr>
          <w:i/>
          <w:iCs/>
        </w:rPr>
        <w:t xml:space="preserve">耕地</w:t>
      </w:r>
      <w:r>
        <w:t xml:space="preserve">，是神的田地。在这地上生长着古老的橄榄树，其圣洁的根是众先知，犹太人和外邦人的和好已在其中实现，并将再次实现。这地如同精选的葡萄园，是天上的园丁所栽种。然而真葡萄树是基督，他赐生命和结实的能力给枝子，就是我们这些藉着教会住在基督里的人，离了他，我们就不能做什么。</w:t>
      </w:r>
      <w:r>
        <w:rPr>
          <w:rStyle w:val="FootnoteReference"/>
        </w:rPr>
        <w:footnoteReference w:id="1449"/>
      </w:r>
      <w:r>
        <w:t xml:space="preserve">」</w:t>
      </w:r>
    </w:p>
    <w:p>
      <w:pPr>
        <w:pStyle w:val="BodyText"/>
      </w:pPr>
      <w:r>
        <w:t xml:space="preserve">「教会也常被称为神的</w:t>
      </w:r>
      <w:r>
        <w:rPr>
          <w:i/>
          <w:iCs/>
        </w:rPr>
        <w:t xml:space="preserve">建筑</w:t>
      </w:r>
      <w:r>
        <w:t xml:space="preserve">。主将自己比作匠人所弃的石头，却成了房角的头块石头。教会由使徒建造在这根基之上，并从其得到坚固与合一。这建筑有许多名称：神的家，他的</w:t>
      </w:r>
      <w:r>
        <w:rPr>
          <w:i/>
          <w:iCs/>
        </w:rPr>
        <w:t xml:space="preserve">家人</w:t>
      </w:r>
      <w:r>
        <w:t xml:space="preserve">居住其中；在圣灵里神的家室；神在人间的居所；尤其是</w:t>
      </w:r>
      <w:r>
        <w:rPr>
          <w:i/>
          <w:iCs/>
        </w:rPr>
        <w:t xml:space="preserve">圣殿</w:t>
      </w:r>
      <w:r>
        <w:t xml:space="preserve">。这殿以石头建造的敬拜场所为象征，受到教父们的称赞，在礼仪中被恰当地比作圣城、新耶路撒冷。我们如同活石，在地上被建造其中。这圣城为约翰所见，当世界更新之时从神那里，从天而降，如同新妇妆饰整齐，等候丈夫。</w:t>
      </w:r>
      <w:r>
        <w:rPr>
          <w:rStyle w:val="FootnoteReference"/>
        </w:rPr>
        <w:footnoteReference w:id="1450"/>
      </w:r>
      <w:r>
        <w:t xml:space="preserve">」</w:t>
      </w:r>
    </w:p>
    <w:p>
      <w:pPr>
        <w:pStyle w:val="BodyText"/>
      </w:pPr>
      <w:r>
        <w:t xml:space="preserve">「教会又被称为『在上的耶路撒冷』和『我们的母亲』，被描述为无瑕疵的羔羊的无瑕疵的新妇。基督爱她，为她舍己，要使她成圣。他以不可破的盟约与她结合，不断地『保养顾惜』她。」</w:t>
      </w:r>
      <w:r>
        <w:rPr>
          <w:rStyle w:val="FootnoteReference"/>
        </w:rPr>
        <w:footnoteReference w:id="1451"/>
      </w:r>
    </w:p>
    <w:bookmarkEnd w:id="1452"/>
    <w:bookmarkStart w:id="1486" w:name="二教会的起源根基与使命"/>
    <w:p>
      <w:pPr>
        <w:pStyle w:val="Heading6"/>
      </w:pPr>
      <w:r>
        <w:t xml:space="preserve">二、教会的起源、根基与使命</w:t>
      </w:r>
    </w:p>
    <w:p>
      <w:pPr>
        <w:pStyle w:val="FirstParagraph"/>
      </w:pPr>
      <w:r>
        <w:t xml:space="preserve">我们从默想教会在三位一体计划中的起源及其在历史中的逐步实现，开始探究教会的奥秘。</w:t>
      </w:r>
    </w:p>
    <w:p>
      <w:pPr>
        <w:pStyle w:val="BodyText"/>
      </w:pPr>
      <w:r>
        <w:rPr>
          <w:i/>
          <w:iCs/>
        </w:rPr>
        <w:t xml:space="preserve">源于圣父心中的计划</w:t>
      </w:r>
    </w:p>
    <w:p>
      <w:pPr>
        <w:pStyle w:val="BodyText"/>
      </w:pPr>
      <w:r>
        <w:t xml:space="preserve">「永恒的圣父，按照他智慧和慈爱那完全白白赐予和奥秘的计划，创造了整个宇宙，并拣选人类分享他的生命，」</w:t>
      </w:r>
      <w:r>
        <w:rPr>
          <w:rStyle w:val="FootnoteReference"/>
        </w:rPr>
        <w:footnoteReference w:id="1453"/>
      </w:r>
      <w:r>
        <w:t xml:space="preserve">他在圣子内召叫所有的人。「圣父决定把所有信基督的人召集在圣教会中。」</w:t>
      </w:r>
      <w:r>
        <w:rPr>
          <w:rStyle w:val="FootnoteReference"/>
        </w:rPr>
        <w:footnoteReference w:id="1454"/>
      </w:r>
      <w:r>
        <w:t xml:space="preserve">这「神的家」在人类历史的各个阶段中，按照圣父的计划逐渐形成。事实上，「这教会在世界开始时就已预示，在以色列子民历史和旧约中奇妙地预备。在这世界的末期建立，因圣灵的倾注而显明，并将在时间终结时荣耀地完成。」</w:t>
      </w:r>
      <w:r>
        <w:rPr>
          <w:rStyle w:val="FootnoteReference"/>
        </w:rPr>
        <w:footnoteReference w:id="1455"/>
      </w:r>
    </w:p>
    <w:p>
      <w:pPr>
        <w:pStyle w:val="BodyText"/>
      </w:pPr>
      <w:r>
        <w:rPr>
          <w:i/>
          <w:iCs/>
        </w:rPr>
        <w:t xml:space="preserve">教会——从世界初始就有预表</w:t>
      </w:r>
    </w:p>
    <w:p>
      <w:pPr>
        <w:pStyle w:val="BodyText"/>
      </w:pPr>
      <w:r>
        <w:t xml:space="preserve">早期基督徒说：「世界是为教会而创造的。」</w:t>
      </w:r>
      <w:r>
        <w:rPr>
          <w:rStyle w:val="FootnoteReference"/>
        </w:rPr>
        <w:footnoteReference w:id="1456"/>
      </w:r>
      <w:r>
        <w:t xml:space="preserve">神创造世界是为了与他生命的共融，这共融是通过在基督里「召集」人类而实现的，这「召集」就是教会。教会是万物的目标，</w:t>
      </w:r>
      <w:r>
        <w:rPr>
          <w:rStyle w:val="FootnoteReference"/>
        </w:rPr>
        <w:footnoteReference w:id="1457"/>
      </w:r>
      <w:r>
        <w:t xml:space="preserve">神允许天使堕落和人类犯罪这样痛苦的动荡，只是为了显示他臂膀的大能和他要给予世界的爱的全部：</w:t>
      </w:r>
    </w:p>
    <w:p>
      <w:pPr>
        <w:pStyle w:val="BodyText"/>
      </w:pPr>
      <w:r>
        <w:t xml:space="preserve">正如神的旨意是创造，被称为「世界」，他的意愿是人类的救恩，被称为「教会」。</w:t>
      </w:r>
      <w:r>
        <w:rPr>
          <w:rStyle w:val="FootnoteReference"/>
        </w:rPr>
        <w:footnoteReference w:id="1458"/>
      </w:r>
    </w:p>
    <w:p>
      <w:pPr>
        <w:pStyle w:val="BodyText"/>
      </w:pPr>
      <w:r>
        <w:rPr>
          <w:i/>
          <w:iCs/>
        </w:rPr>
        <w:t xml:space="preserve">教会——在旧约中的预备</w:t>
      </w:r>
    </w:p>
    <w:p>
      <w:pPr>
        <w:pStyle w:val="BodyText"/>
      </w:pPr>
      <w:r>
        <w:t xml:space="preserve">当罪破坏了人与神之间以及人与人之间的共融时，神子民的聚集就开始了。教会的聚集可以说是神对罪所造成的混乱的回应。这重新合一在万民心中暗暗实现：「各国中，凡敬畏主行义的人，都为主所悦纳。」</w:t>
      </w:r>
      <w:r>
        <w:rPr>
          <w:rStyle w:val="FootnoteReference"/>
        </w:rPr>
        <w:footnoteReference w:id="1459"/>
      </w:r>
    </w:p>
    <w:p>
      <w:pPr>
        <w:pStyle w:val="BodyText"/>
      </w:pPr>
      <w:r>
        <w:t xml:space="preserve">神子民聚集的远期预备始于神呼召亚伯拉罕，应许他要成为大国之父。</w:t>
      </w:r>
      <w:r>
        <w:rPr>
          <w:rStyle w:val="FootnoteReference"/>
        </w:rPr>
        <w:footnoteReference w:id="1460"/>
      </w:r>
      <w:r>
        <w:t xml:space="preserve">其直接预备始于以色列被拣选为神的子民。通过这拣选，以色列要成为未来万国聚集的记号。</w:t>
      </w:r>
      <w:r>
        <w:rPr>
          <w:rStyle w:val="FootnoteReference"/>
        </w:rPr>
        <w:footnoteReference w:id="1461"/>
      </w:r>
      <w:r>
        <w:t xml:space="preserve">但先知指责以色列背约，行为如同妓女。他们宣告一个新而永恒的约。「基督建立了这新约。」</w:t>
      </w:r>
      <w:r>
        <w:rPr>
          <w:rStyle w:val="FootnoteReference"/>
        </w:rPr>
        <w:footnoteReference w:id="1462"/>
      </w:r>
    </w:p>
    <w:p>
      <w:pPr>
        <w:pStyle w:val="BodyText"/>
      </w:pPr>
      <w:r>
        <w:rPr>
          <w:i/>
          <w:iCs/>
        </w:rPr>
        <w:t xml:space="preserve">教会——由基督耶稣所建立</w:t>
      </w:r>
    </w:p>
    <w:p>
      <w:pPr>
        <w:pStyle w:val="BodyText"/>
      </w:pPr>
      <w:r>
        <w:t xml:space="preserve">在时候满足时完成圣父的救恩计划是圣子的使命。完成这计划就是他被差遣的原因。</w:t>
      </w:r>
      <w:r>
        <w:rPr>
          <w:rStyle w:val="FootnoteReference"/>
        </w:rPr>
        <w:footnoteReference w:id="1463"/>
      </w:r>
      <w:r>
        <w:t xml:space="preserve">「主耶稣藉着宣讲福音，就是宣讲经上所应许的神的国度即将来临，开创了他的教会。」</w:t>
      </w:r>
      <w:r>
        <w:rPr>
          <w:rStyle w:val="FootnoteReference"/>
        </w:rPr>
        <w:footnoteReference w:id="1464"/>
      </w:r>
      <w:r>
        <w:t xml:space="preserve">为完成圣父的旨意，基督使天国降临人间。教会「就是基督的国度已奥秘地临在。」</w:t>
      </w:r>
      <w:r>
        <w:rPr>
          <w:rStyle w:val="FootnoteReference"/>
        </w:rPr>
        <w:footnoteReference w:id="1465"/>
      </w:r>
    </w:p>
    <w:p>
      <w:pPr>
        <w:pStyle w:val="BodyText"/>
      </w:pPr>
      <w:r>
        <w:t xml:space="preserve">「这国度在基督的言语、作为和临在中，在人前发光。」</w:t>
      </w:r>
      <w:r>
        <w:rPr>
          <w:rStyle w:val="FootnoteReference"/>
        </w:rPr>
        <w:footnoteReference w:id="1466"/>
      </w:r>
      <w:r>
        <w:t xml:space="preserve">接受耶稣的话就是接受「国度本身」。</w:t>
      </w:r>
      <w:r>
        <w:rPr>
          <w:rStyle w:val="FootnoteReference"/>
        </w:rPr>
        <w:footnoteReference w:id="1467"/>
      </w:r>
      <w:r>
        <w:t xml:space="preserve">国度的种子和开端就是耶稣来召聚在他周围的「小群」，就是以他为牧人的羊群。</w:t>
      </w:r>
      <w:r>
        <w:rPr>
          <w:rStyle w:val="FootnoteReference"/>
        </w:rPr>
        <w:footnoteReference w:id="1468"/>
      </w:r>
      <w:r>
        <w:t xml:space="preserve">他们构成耶稣真正的家庭。</w:t>
      </w:r>
      <w:r>
        <w:rPr>
          <w:rStyle w:val="FootnoteReference"/>
        </w:rPr>
        <w:footnoteReference w:id="1469"/>
      </w:r>
      <w:r>
        <w:t xml:space="preserve">对这些聚集在他周围的人，他教导了新的「行为方式」和他们自己的祷告。</w:t>
      </w:r>
      <w:r>
        <w:rPr>
          <w:rStyle w:val="FootnoteReference"/>
        </w:rPr>
        <w:footnoteReference w:id="1470"/>
      </w:r>
    </w:p>
    <w:p>
      <w:pPr>
        <w:pStyle w:val="BodyText"/>
      </w:pPr>
      <w:r>
        <w:t xml:space="preserve">主耶稣赋予他的团体一个将持续到国度完全实现的结构。首先是拣选十二使徒，立彼得为他们的首领。</w:t>
      </w:r>
      <w:r>
        <w:rPr>
          <w:rStyle w:val="FootnoteReference"/>
        </w:rPr>
        <w:footnoteReference w:id="1471"/>
      </w:r>
      <w:r>
        <w:t xml:space="preserve">他们代表以色列的十二支派，是新耶路撒冷的基石。</w:t>
      </w:r>
      <w:r>
        <w:rPr>
          <w:rStyle w:val="FootnoteReference"/>
        </w:rPr>
        <w:footnoteReference w:id="1472"/>
      </w:r>
      <w:r>
        <w:t xml:space="preserve">十二使徒和其他门徒分享基督的使命和能力，也分享他的命运。</w:t>
      </w:r>
      <w:r>
        <w:rPr>
          <w:rStyle w:val="FootnoteReference"/>
        </w:rPr>
        <w:footnoteReference w:id="1473"/>
      </w:r>
      <w:r>
        <w:t xml:space="preserve">基督以他的一切作为预备并建立他的教会。</w:t>
      </w:r>
    </w:p>
    <w:p>
      <w:pPr>
        <w:pStyle w:val="BodyText"/>
      </w:pPr>
      <w:r>
        <w:t xml:space="preserve">教会主要诞生于基督为我们的救恩完全的自我交付，这在建立圣餐时已预示，在十字架上得以完成。「教会的起源和成长由被钉十字架的耶稣肋旁流出的血和水所象征。」</w:t>
      </w:r>
      <w:r>
        <w:rPr>
          <w:rStyle w:val="FootnoteReference"/>
        </w:rPr>
        <w:footnoteReference w:id="1474"/>
      </w:r>
      <w:r>
        <w:t xml:space="preserve">「因为正是从在十字架上安睡的基督肋旁流出了『整个教会的奇妙圣事』。」</w:t>
      </w:r>
      <w:r>
        <w:rPr>
          <w:rStyle w:val="FootnoteReference"/>
        </w:rPr>
        <w:footnoteReference w:id="1475"/>
      </w:r>
      <w:r>
        <w:t xml:space="preserve">正如夏娃由沉睡的亚当肋旁所造，教会也是由悬死在十字架上的基督被刺的心所生。</w:t>
      </w:r>
      <w:r>
        <w:rPr>
          <w:rStyle w:val="FootnoteReference"/>
        </w:rPr>
        <w:footnoteReference w:id="1476"/>
      </w:r>
    </w:p>
    <w:p>
      <w:pPr>
        <w:pStyle w:val="BodyText"/>
      </w:pPr>
      <w:r>
        <w:rPr>
          <w:i/>
          <w:iCs/>
        </w:rPr>
        <w:t xml:space="preserve">教会——由圣灵显明</w:t>
      </w:r>
    </w:p>
    <w:p>
      <w:pPr>
        <w:pStyle w:val="BodyText"/>
      </w:pPr>
      <w:r>
        <w:t xml:space="preserve">「当圣父交给圣子在地上完成的工作完成后，五旬节那天圣灵被差遣来，为要不断圣化教会。」</w:t>
      </w:r>
      <w:r>
        <w:rPr>
          <w:rStyle w:val="FootnoteReference"/>
        </w:rPr>
        <w:footnoteReference w:id="1477"/>
      </w:r>
      <w:r>
        <w:t xml:space="preserve">然后「教会公开地显示给众人，福音通过宣讲开始在万民中传播。」</w:t>
      </w:r>
      <w:r>
        <w:rPr>
          <w:rStyle w:val="FootnoteReference"/>
        </w:rPr>
        <w:footnoteReference w:id="1478"/>
      </w:r>
      <w:r>
        <w:t xml:space="preserve">作为为救恩「召集」所有人的团体，教会本质上就是传教性的，被基督差遣往万国使万民作门徒。</w:t>
      </w:r>
      <w:r>
        <w:rPr>
          <w:rStyle w:val="FootnoteReference"/>
        </w:rPr>
        <w:footnoteReference w:id="1479"/>
      </w:r>
    </w:p>
    <w:p>
      <w:pPr>
        <w:pStyle w:val="BodyText"/>
      </w:pPr>
      <w:r>
        <w:t xml:space="preserve">为使她能完成使命，圣灵「赐给教会各样圣统性和神恩性的恩赐，并以此引导她。」</w:t>
      </w:r>
      <w:r>
        <w:rPr>
          <w:rStyle w:val="FootnoteReference"/>
        </w:rPr>
        <w:footnoteReference w:id="1480"/>
      </w:r>
      <w:r>
        <w:t xml:space="preserve">「从此以后，教会领受了创立者的恩赐，忠实遵守他仁爱、谦卑和克己的训诫，接受在万民中宣讲并建立基督和神的国度的使命，她在地上是这国度的种子和开端。」</w:t>
      </w:r>
      <w:r>
        <w:rPr>
          <w:rStyle w:val="FootnoteReference"/>
        </w:rPr>
        <w:footnoteReference w:id="1481"/>
      </w:r>
    </w:p>
    <w:p>
      <w:pPr>
        <w:pStyle w:val="BodyText"/>
      </w:pPr>
      <w:r>
        <w:rPr>
          <w:i/>
          <w:iCs/>
        </w:rPr>
        <w:t xml:space="preserve">教会——在荣耀中完善</w:t>
      </w:r>
    </w:p>
    <w:p>
      <w:pPr>
        <w:pStyle w:val="BodyText"/>
      </w:pPr>
      <w:r>
        <w:t xml:space="preserve">「教会 ⋯⋯ 唯有在天上的荣耀中才能达致完善，」</w:t>
      </w:r>
      <w:r>
        <w:rPr>
          <w:rStyle w:val="FootnoteReference"/>
        </w:rPr>
        <w:footnoteReference w:id="1482"/>
      </w:r>
      <w:r>
        <w:t xml:space="preserve">就是在基督荣耀归来之时。直到那日，「教会在这世界的迫害和神的安慰中继续她的朝圣之旅。」</w:t>
      </w:r>
      <w:r>
        <w:rPr>
          <w:rStyle w:val="FootnoteReference"/>
        </w:rPr>
        <w:footnoteReference w:id="1483"/>
      </w:r>
      <w:r>
        <w:t xml:space="preserve">在世上她知道自己是远离主的旅居者，渴望国度的圆满来临，那时她将「在荣耀中与她的君王结合。」</w:t>
      </w:r>
      <w:r>
        <w:rPr>
          <w:rStyle w:val="FootnoteReference"/>
        </w:rPr>
        <w:footnoteReference w:id="1484"/>
      </w:r>
      <w:r>
        <w:t xml:space="preserve">教会，以及通过她而言整个世界，若不经过重大考验就不能在荣耀中达致完善。唯有到那时，「从亚当时代以来所有的义人，『从义人亚伯直到最后的选民，』⋯⋯ 都要在圣父面前聚集在普世教会中。」</w:t>
      </w:r>
      <w:r>
        <w:rPr>
          <w:rStyle w:val="FootnoteReference"/>
        </w:rPr>
        <w:footnoteReference w:id="1485"/>
      </w:r>
    </w:p>
    <w:bookmarkEnd w:id="1486"/>
    <w:bookmarkStart w:id="1500" w:name="三教会的奥秘"/>
    <w:p>
      <w:pPr>
        <w:pStyle w:val="Heading6"/>
      </w:pPr>
      <w:r>
        <w:t xml:space="preserve">三、教会的奥秘</w:t>
      </w:r>
    </w:p>
    <w:p>
      <w:pPr>
        <w:pStyle w:val="FirstParagraph"/>
      </w:pPr>
      <w:r>
        <w:t xml:space="preserve">教会在历史之中，但同时又超越历史。唯有「以信心的眼光」</w:t>
      </w:r>
      <w:r>
        <w:rPr>
          <w:rStyle w:val="FootnoteReference"/>
        </w:rPr>
        <w:footnoteReference w:id="1487"/>
      </w:r>
      <w:r>
        <w:t xml:space="preserve">才能看到她既有可见的实在，同时又有作为神生命承载者的属灵实在。</w:t>
      </w:r>
    </w:p>
    <w:p>
      <w:pPr>
        <w:pStyle w:val="BodyText"/>
      </w:pPr>
      <w:r>
        <w:rPr>
          <w:i/>
          <w:iCs/>
        </w:rPr>
        <w:t xml:space="preserve">教会——既可见又属灵</w:t>
      </w:r>
    </w:p>
    <w:p>
      <w:pPr>
        <w:pStyle w:val="BodyText"/>
      </w:pPr>
      <w:r>
        <w:t xml:space="preserve">「唯一的中保基督在地上建立并持续维系他的圣教会，这信望爱的团体，作为一个可见的组织，藉此向所有人传达真理与恩典。」教会同时是：</w:t>
      </w:r>
    </w:p>
    <w:p>
      <w:pPr>
        <w:numPr>
          <w:ilvl w:val="0"/>
          <w:numId w:val="1009"/>
        </w:numPr>
      </w:pPr>
      <w:r>
        <w:t xml:space="preserve">「一个具有等级组织的社团和基督的奥体；</w:t>
      </w:r>
    </w:p>
    <w:p>
      <w:pPr>
        <w:numPr>
          <w:ilvl w:val="0"/>
          <w:numId w:val="1009"/>
        </w:numPr>
      </w:pPr>
      <w:r>
        <w:t xml:space="preserve">可见的社团和属灵的团体；</w:t>
      </w:r>
    </w:p>
    <w:p>
      <w:pPr>
        <w:numPr>
          <w:ilvl w:val="0"/>
          <w:numId w:val="1009"/>
        </w:numPr>
      </w:pPr>
      <w:r>
        <w:t xml:space="preserve">地上的教会和享有天上富饶的教会。</w:t>
      </w:r>
    </w:p>
    <w:p>
      <w:pPr>
        <w:pStyle w:val="FirstParagraph"/>
      </w:pPr>
      <w:r>
        <w:t xml:space="preserve">教会本质上既是人性的又是神性的，可见但具有不可见的实在，热心行动又专注默观，在世上却如同朝圣者，其构成使得在她内人性指向并服从于神性，可见的服从不可见的，行动服从默观，今世服从那将要来的城，就是我们所寻求的。</w:t>
      </w:r>
    </w:p>
    <w:p>
      <w:pPr>
        <w:pStyle w:val="BodyText"/>
      </w:pPr>
      <w:r>
        <w:t xml:space="preserve">啊，何等谦卑！何等崇高！既是香柏木帐幕又是神的圣所；既是今世居所又是天上宫殿；既是泥土之屋又是王室大厅；既是死亡之躯又是光明圣殿；最后既是骄傲者藐视的对象又是基督的新妇！耶路撒冷的众女子啊，她虽黑却是秀美，因为即使长期流放的劳苦和痛楚使她失色，天上的美丽却装饰了她。</w:t>
      </w:r>
    </w:p>
    <w:p>
      <w:pPr>
        <w:pStyle w:val="BodyText"/>
      </w:pPr>
      <w:r>
        <w:rPr>
          <w:i/>
          <w:iCs/>
        </w:rPr>
        <w:t xml:space="preserve">教会——人与神结合的奥秘</w:t>
      </w:r>
    </w:p>
    <w:p>
      <w:pPr>
        <w:pStyle w:val="BodyText"/>
      </w:pPr>
      <w:r>
        <w:t xml:space="preserve">基督在教会中完成并启示他自己的奥秘，作为神计划的目的：「使万有归一于他。」</w:t>
      </w:r>
      <w:r>
        <w:rPr>
          <w:rStyle w:val="FootnoteReference"/>
        </w:rPr>
        <w:footnoteReference w:id="1488"/>
      </w:r>
      <w:r>
        <w:t xml:space="preserve">圣保罗称基督与教会的婚姻结合为「极大的奥秘」。因为她与作为新郎的基督结合，她也转而成为奥秘。</w:t>
      </w:r>
      <w:r>
        <w:rPr>
          <w:rStyle w:val="FootnoteReference"/>
        </w:rPr>
        <w:footnoteReference w:id="1489"/>
      </w:r>
      <w:r>
        <w:t xml:space="preserve">默想她内的这奥秘，保罗欢呼：「基督在你们心里成了有荣耀的盼望。」</w:t>
      </w:r>
      <w:r>
        <w:rPr>
          <w:rStyle w:val="FootnoteReference"/>
        </w:rPr>
        <w:footnoteReference w:id="1490"/>
      </w:r>
    </w:p>
    <w:p>
      <w:pPr>
        <w:pStyle w:val="BodyText"/>
      </w:pPr>
      <w:r>
        <w:t xml:space="preserve">在教会中，这人与神的共融，在「永不止息的爱」中，是管理她一切作为圣事性媒介、与这过渡世界相连之事物的目的。</w:t>
      </w:r>
      <w:r>
        <w:rPr>
          <w:rStyle w:val="FootnoteReference"/>
        </w:rPr>
        <w:footnoteReference w:id="1491"/>
      </w:r>
      <w:r>
        <w:t xml:space="preserve">「教会的结构完全为基督肢体的圣德而安排。圣德是按照『极大的奥秘』来衡量的，在其中新妇以爱的恩赐回应新郎的恩赐。」</w:t>
      </w:r>
      <w:r>
        <w:rPr>
          <w:rStyle w:val="FootnoteReference"/>
        </w:rPr>
        <w:footnoteReference w:id="1492"/>
      </w:r>
      <w:r>
        <w:t xml:space="preserve">马利亚在教会奥秘的圣德中走在我们众人前面，作为「毫无玷污皱纹的新妇。」</w:t>
      </w:r>
      <w:r>
        <w:rPr>
          <w:rStyle w:val="FootnoteReference"/>
        </w:rPr>
        <w:footnoteReference w:id="1493"/>
      </w:r>
      <w:r>
        <w:t xml:space="preserve">这就是为什么教会的「马利亚性」先于她的「彼得性」。</w:t>
      </w:r>
      <w:r>
        <w:rPr>
          <w:rStyle w:val="FootnoteReference"/>
        </w:rPr>
        <w:footnoteReference w:id="1494"/>
      </w:r>
    </w:p>
    <w:p>
      <w:pPr>
        <w:pStyle w:val="BodyText"/>
      </w:pPr>
      <w:r>
        <w:rPr>
          <w:i/>
          <w:iCs/>
        </w:rPr>
        <w:t xml:space="preserve">普世救恩的圣事</w:t>
      </w:r>
    </w:p>
    <w:p>
      <w:pPr>
        <w:pStyle w:val="BodyText"/>
      </w:pPr>
      <w:r>
        <w:t xml:space="preserve">希腊文</w:t>
      </w:r>
      <w:r>
        <w:rPr>
          <w:i/>
          <w:iCs/>
        </w:rPr>
        <w:t xml:space="preserve">mysterion</w:t>
      </w:r>
      <w:r>
        <w:t xml:space="preserve">被译成拉丁文的两个词：</w:t>
      </w:r>
      <w:r>
        <w:rPr>
          <w:i/>
          <w:iCs/>
        </w:rPr>
        <w:t xml:space="preserve">mysterium</w:t>
      </w:r>
      <w:r>
        <w:t xml:space="preserve">和</w:t>
      </w:r>
      <w:r>
        <w:rPr>
          <w:i/>
          <w:iCs/>
        </w:rPr>
        <w:t xml:space="preserve">sacramentum</w:t>
      </w:r>
      <w:r>
        <w:t xml:space="preserve">。在后来的用法中，</w:t>
      </w:r>
      <w:r>
        <w:rPr>
          <w:i/>
          <w:iCs/>
        </w:rPr>
        <w:t xml:space="preserve">sacramentum</w:t>
      </w:r>
      <w:r>
        <w:t xml:space="preserve">一词强调</w:t>
      </w:r>
      <w:r>
        <w:rPr>
          <w:i/>
          <w:iCs/>
        </w:rPr>
        <w:t xml:space="preserve">mysterium</w:t>
      </w:r>
      <w:r>
        <w:t xml:space="preserve">所指的救恩隐藏实在的可见标记。从这个意义上说，基督自己就是救恩的奥秘：「因为除了基督以外，再没有别的神的奥秘。」</w:t>
      </w:r>
      <w:r>
        <w:rPr>
          <w:rStyle w:val="FootnoteReference"/>
        </w:rPr>
        <w:footnoteReference w:id="1495"/>
      </w:r>
      <w:r>
        <w:t xml:space="preserve">他圣化人性的救赎工作是救恩的圣事，这在教会的圣事中显明并发生作用（东方教会也称之为「圣奥秘」）。七件圣事是圣灵藉以将作为元首的基督的恩典传遍作为他身体的教会的标记和工具。因此，教会既包含又传达她所表示的不可见恩典。正是在这个类比的意义上，教会被称为「圣事」。</w:t>
      </w:r>
    </w:p>
    <w:p>
      <w:pPr>
        <w:pStyle w:val="BodyText"/>
      </w:pPr>
      <w:r>
        <w:t xml:space="preserve">「教会在基督里，好像一件圣事——就是与神共融以及全人类合一的标记和工具。」</w:t>
      </w:r>
      <w:r>
        <w:rPr>
          <w:rStyle w:val="FootnoteReference"/>
        </w:rPr>
        <w:footnoteReference w:id="1496"/>
      </w:r>
      <w:r>
        <w:t xml:space="preserve">教会的首要目的是作为人与神内在结合的圣事。因为人与人之间的共融植根于与神的结合，教会也是人类合一的圣事。在她内，这合一已经开始，因为她聚集了「各国、各族、各民、各方」的人；</w:t>
      </w:r>
      <w:r>
        <w:rPr>
          <w:rStyle w:val="FootnoteReference"/>
        </w:rPr>
        <w:footnoteReference w:id="1497"/>
      </w:r>
      <w:r>
        <w:t xml:space="preserve">同时，教会是将来圆满合一的「标记和工具」。</w:t>
      </w:r>
    </w:p>
    <w:p>
      <w:pPr>
        <w:pStyle w:val="BodyText"/>
      </w:pPr>
      <w:r>
        <w:t xml:space="preserve">作为圣事，教会是基督的工具。「她也被他用作普世得救的工具」，「普世救恩的圣事」，藉此基督「同时显示并实现神对人的爱的奥秘。」</w:t>
      </w:r>
      <w:r>
        <w:rPr>
          <w:rStyle w:val="FootnoteReference"/>
        </w:rPr>
        <w:footnoteReference w:id="1498"/>
      </w:r>
      <w:r>
        <w:t xml:space="preserve">教会「是神对人类之爱的可见计划」，因为神愿意「全人类成为一个神的子民，形成基督的一个身体，建成圣灵的一座圣殿。」</w:t>
      </w:r>
      <w:r>
        <w:rPr>
          <w:rStyle w:val="FootnoteReference"/>
        </w:rPr>
        <w:footnoteReference w:id="1499"/>
      </w:r>
    </w:p>
    <w:bookmarkEnd w:id="1500"/>
    <w:bookmarkStart w:id="1501" w:name="综述-22"/>
    <w:p>
      <w:pPr>
        <w:pStyle w:val="Heading6"/>
      </w:pPr>
      <w:r>
        <w:t xml:space="preserve">综述</w:t>
      </w:r>
    </w:p>
    <w:p>
      <w:pPr>
        <w:pStyle w:val="FirstParagraph"/>
      </w:pPr>
      <w:r>
        <w:t xml:space="preserve">「教会」一词意为「召集」。它指那些被神的道「召集」，即聚集在一起形成神的子民的集会，这些人因领受基督的身体得到滋养，自己也成为基督的身体。</w:t>
      </w:r>
    </w:p>
    <w:p>
      <w:pPr>
        <w:pStyle w:val="BodyText"/>
      </w:pPr>
      <w:r>
        <w:t xml:space="preserve">教会既是神计划的途径又是目标：在创造中预表，在旧约中预备，由耶稣基督的言行建立，因他救赎的十字架和复活而完成，教会因圣灵的倾注而显明为救恩的奥秘。她将在天堂的荣耀中，作为地上所有得赎之人的集会而达致完善（参见《启示录》14:4）。</w:t>
      </w:r>
    </w:p>
    <w:p>
      <w:pPr>
        <w:pStyle w:val="BodyText"/>
      </w:pPr>
      <w:r>
        <w:t xml:space="preserve">教会既是可见的又是属灵的，是一个等级性的社团，也是基督的奥体。她是一体的，却由人性和神性两个部分组成。这就是她的奥秘，唯有信心才能接受。</w:t>
      </w:r>
    </w:p>
    <w:p>
      <w:pPr>
        <w:pStyle w:val="BodyText"/>
      </w:pPr>
      <w:r>
        <w:t xml:space="preserve">教会在这世界上是救恩的圣事，是神与人共融的标记和工具。</w:t>
      </w:r>
    </w:p>
    <w:p>
      <w:r>
        <w:br w:type="page"/>
      </w:r>
    </w:p>
    <w:bookmarkEnd w:id="1501"/>
    <w:bookmarkEnd w:id="1502"/>
    <w:bookmarkStart w:id="1562" w:name="第二节教会神的子民基督的身体圣灵的殿"/>
    <w:p>
      <w:pPr>
        <w:pStyle w:val="Heading5"/>
      </w:pPr>
      <w:r>
        <w:t xml:space="preserve">第二节：教会——神的子民、基督的身体、圣灵的殿</w:t>
      </w:r>
    </w:p>
    <w:bookmarkStart w:id="1517" w:name="一教会神的子民"/>
    <w:p>
      <w:pPr>
        <w:pStyle w:val="Heading6"/>
      </w:pPr>
      <w:r>
        <w:t xml:space="preserve">一、教会——神的子民</w:t>
      </w:r>
    </w:p>
    <w:p>
      <w:pPr>
        <w:pStyle w:val="FirstParagraph"/>
      </w:pPr>
      <w:r>
        <w:t xml:space="preserve">「在各时代、各民族中，凡敬畏神、行义的人，都为神所悦纳。然而，神的旨意不是要使人个别成圣得救，互不相干，而是要使他们合而为一民，承认他，以圣洁事奉他。因此他拣选以色列民作自己的子民，与他们立约。他逐步教导这民族……然而，这一切都是为那在基督里要确立的新而完全之约所作的预备与预表……这新约是他用自己的血所立的。他召聚了犹太人和外邦人，使他们合而为一，不是按着血气，乃是在圣灵里。」</w:t>
      </w:r>
      <w:r>
        <w:rPr>
          <w:rStyle w:val="FootnoteReference"/>
        </w:rPr>
        <w:footnoteReference w:id="1503"/>
      </w:r>
    </w:p>
    <w:p>
      <w:pPr>
        <w:pStyle w:val="BodyText"/>
      </w:pPr>
      <w:r>
        <w:rPr>
          <w:i/>
          <w:iCs/>
        </w:rPr>
        <w:t xml:space="preserve">神子民的特征</w:t>
      </w:r>
    </w:p>
    <w:p>
      <w:pPr>
        <w:pStyle w:val="BodyText"/>
      </w:pPr>
      <w:r>
        <w:t xml:space="preserve">神的子民具有明显的特征，使其有别于历史上所有其他宗教、种族、政治或文化团体：</w:t>
      </w:r>
    </w:p>
    <w:p>
      <w:pPr>
        <w:numPr>
          <w:ilvl w:val="0"/>
          <w:numId w:val="1010"/>
        </w:numPr>
      </w:pPr>
      <w:r>
        <w:t xml:space="preserve">这是</w:t>
      </w:r>
      <w:r>
        <w:rPr>
          <w:i/>
          <w:iCs/>
        </w:rPr>
        <w:t xml:space="preserve">神的</w:t>
      </w:r>
      <w:r>
        <w:t xml:space="preserve">子民：神不是任何一个民族的私产。但他从那些原本不是子民的人中为自己获得了一群子民：「是被拣选的族类，是有君尊的祭司，是圣洁的国度。」</w:t>
      </w:r>
      <w:r>
        <w:rPr>
          <w:rStyle w:val="FootnoteReference"/>
        </w:rPr>
        <w:footnoteReference w:id="1504"/>
      </w:r>
    </w:p>
    <w:p>
      <w:pPr>
        <w:numPr>
          <w:ilvl w:val="0"/>
          <w:numId w:val="1010"/>
        </w:numPr>
      </w:pPr>
      <w:r>
        <w:t xml:space="preserve">要成为这子民的</w:t>
      </w:r>
      <w:r>
        <w:rPr>
          <w:i/>
          <w:iCs/>
        </w:rPr>
        <w:t xml:space="preserve">一员</w:t>
      </w:r>
      <w:r>
        <w:t xml:space="preserve">，不是通过肉身的生，而是要「重生」，经过「从水和圣灵生的」</w:t>
      </w:r>
      <w:r>
        <w:rPr>
          <w:rStyle w:val="FootnoteReference"/>
        </w:rPr>
        <w:footnoteReference w:id="1505"/>
      </w:r>
      <w:r>
        <w:t xml:space="preserve">，也就是，藉着对基督的信心和洗礼。</w:t>
      </w:r>
    </w:p>
    <w:p>
      <w:pPr>
        <w:numPr>
          <w:ilvl w:val="0"/>
          <w:numId w:val="1010"/>
        </w:numPr>
      </w:pPr>
      <w:r>
        <w:t xml:space="preserve">这子民以耶稣基督（受膏者，弥赛亚）为元首。因为同样的恩膏，就是圣灵，从元首流向全身，这就是「弥赛亚的子民」。</w:t>
      </w:r>
    </w:p>
    <w:p>
      <w:pPr>
        <w:numPr>
          <w:ilvl w:val="0"/>
          <w:numId w:val="1010"/>
        </w:numPr>
      </w:pPr>
      <w:r>
        <w:t xml:space="preserve">「这子民的</w:t>
      </w:r>
      <w:r>
        <w:rPr>
          <w:i/>
          <w:iCs/>
        </w:rPr>
        <w:t xml:space="preserve">地位</w:t>
      </w:r>
      <w:r>
        <w:t xml:space="preserve">就是神儿女的尊严和自由，圣灵如同住在殿中一样住在他们心里。」</w:t>
      </w:r>
    </w:p>
    <w:p>
      <w:pPr>
        <w:numPr>
          <w:ilvl w:val="0"/>
          <w:numId w:val="1010"/>
        </w:numPr>
      </w:pPr>
      <w:r>
        <w:t xml:space="preserve">「他们的</w:t>
      </w:r>
      <w:r>
        <w:rPr>
          <w:i/>
          <w:iCs/>
        </w:rPr>
        <w:t xml:space="preserve">律法</w:t>
      </w:r>
      <w:r>
        <w:t xml:space="preserve">就是要照基督爱我们的样式彼此相爱的新诫命。」</w:t>
      </w:r>
      <w:r>
        <w:rPr>
          <w:rStyle w:val="FootnoteReference"/>
        </w:rPr>
        <w:footnoteReference w:id="1506"/>
      </w:r>
      <w:r>
        <w:t xml:space="preserve">这就是圣灵的「新」律法。</w:t>
      </w:r>
      <w:r>
        <w:rPr>
          <w:rStyle w:val="FootnoteReference"/>
        </w:rPr>
        <w:footnoteReference w:id="1507"/>
      </w:r>
    </w:p>
    <w:p>
      <w:pPr>
        <w:numPr>
          <w:ilvl w:val="0"/>
          <w:numId w:val="1010"/>
        </w:numPr>
      </w:pPr>
      <w:r>
        <w:t xml:space="preserve">他们的</w:t>
      </w:r>
      <w:r>
        <w:rPr>
          <w:i/>
          <w:iCs/>
        </w:rPr>
        <w:t xml:space="preserve">使命</w:t>
      </w:r>
      <w:r>
        <w:t xml:space="preserve">是要作世上的盐，世上的光。</w:t>
      </w:r>
      <w:r>
        <w:rPr>
          <w:rStyle w:val="FootnoteReference"/>
        </w:rPr>
        <w:footnoteReference w:id="1508"/>
      </w:r>
      <w:r>
        <w:t xml:space="preserve">这子民是「全人类合一、盼望和救恩最确实的种子」。</w:t>
      </w:r>
    </w:p>
    <w:p>
      <w:pPr>
        <w:numPr>
          <w:ilvl w:val="0"/>
          <w:numId w:val="1010"/>
        </w:numPr>
      </w:pPr>
      <w:r>
        <w:t xml:space="preserve">最后，他们的</w:t>
      </w:r>
      <w:r>
        <w:rPr>
          <w:i/>
          <w:iCs/>
        </w:rPr>
        <w:t xml:space="preserve">归宿</w:t>
      </w:r>
      <w:r>
        <w:t xml:space="preserve">「是神的国，这国已由神自己在地上开创，必须继续扩展，直到末时由他带入完全。」</w:t>
      </w:r>
      <w:r>
        <w:rPr>
          <w:rStyle w:val="FootnoteReference"/>
        </w:rPr>
        <w:footnoteReference w:id="1509"/>
      </w:r>
    </w:p>
    <w:p>
      <w:pPr>
        <w:pStyle w:val="FirstParagraph"/>
      </w:pPr>
      <w:r>
        <w:rPr>
          <w:i/>
          <w:iCs/>
        </w:rPr>
        <w:t xml:space="preserve">祭司、先知和君尊的子民</w:t>
      </w:r>
    </w:p>
    <w:p>
      <w:pPr>
        <w:pStyle w:val="BodyText"/>
      </w:pPr>
      <w:r>
        <w:t xml:space="preserve">耶稣基督是圣父用圣灵所膏立的祭司、先知和君王。神的全体子民都分享基督的这三重职分，并承担由此而来的使命和服事责任。</w:t>
      </w:r>
      <w:r>
        <w:rPr>
          <w:rStyle w:val="FootnoteReference"/>
        </w:rPr>
        <w:footnoteReference w:id="1510"/>
      </w:r>
    </w:p>
    <w:p>
      <w:pPr>
        <w:pStyle w:val="BodyText"/>
      </w:pPr>
      <w:r>
        <w:t xml:space="preserve">藉着信心和洗礼加入神的子民时，人就分享了这子民独特的</w:t>
      </w:r>
      <w:r>
        <w:rPr>
          <w:i/>
          <w:iCs/>
        </w:rPr>
        <w:t xml:space="preserve">祭司</w:t>
      </w:r>
      <w:r>
        <w:t xml:space="preserve">职分：「主基督，这从人间选取的大祭司，使这新民成为『在神他父面前的祭司国度』。受洗的人藉着重生和圣灵的恩膏，被分别为圣，成为属灵的殿宇和圣洁的祭司。」</w:t>
      </w:r>
      <w:r>
        <w:rPr>
          <w:rStyle w:val="FootnoteReference"/>
        </w:rPr>
        <w:footnoteReference w:id="1511"/>
      </w:r>
    </w:p>
    <w:p>
      <w:pPr>
        <w:pStyle w:val="BodyText"/>
      </w:pPr>
      <w:r>
        <w:t xml:space="preserve">「神的圣民也分享基督的</w:t>
      </w:r>
      <w:r>
        <w:rPr>
          <w:i/>
          <w:iCs/>
        </w:rPr>
        <w:t xml:space="preserve">先知</w:t>
      </w:r>
      <w:r>
        <w:t xml:space="preserve">职分」，尤其是在那属于全体信徒（平信徒和圣职人员）超性的信仰意识上，当他们「坚守这从前一次交付圣徒的信仰」</w:t>
      </w:r>
      <w:r>
        <w:rPr>
          <w:rStyle w:val="FootnoteReference"/>
        </w:rPr>
        <w:footnoteReference w:id="1512"/>
      </w:r>
      <w:r>
        <w:t xml:space="preserve">，并在加深理解的同时，在这世界中成为基督的见证人。</w:t>
      </w:r>
    </w:p>
    <w:p>
      <w:pPr>
        <w:pStyle w:val="BodyText"/>
      </w:pPr>
      <w:r>
        <w:t xml:space="preserve">最后，神的子民也分享基督的</w:t>
      </w:r>
      <w:r>
        <w:rPr>
          <w:i/>
          <w:iCs/>
        </w:rPr>
        <w:t xml:space="preserve">君尊</w:t>
      </w:r>
      <w:r>
        <w:t xml:space="preserve">职分。基督藉着他的死亡与复活，吸引万人来归向他，以此行使他的王权。</w:t>
      </w:r>
      <w:r>
        <w:rPr>
          <w:rStyle w:val="FootnoteReference"/>
        </w:rPr>
        <w:footnoteReference w:id="1513"/>
      </w:r>
      <w:r>
        <w:t xml:space="preserve">基督作为宇宙的君王和主，使自己成为众人的仆人，因为他来「不是要受人的服事，乃是要服事人，并且要舍命，作多人的赎价。」</w:t>
      </w:r>
      <w:r>
        <w:rPr>
          <w:rStyle w:val="FootnoteReference"/>
        </w:rPr>
        <w:footnoteReference w:id="1514"/>
      </w:r>
      <w:r>
        <w:t xml:space="preserve">对基督徒而言，「作王就是服事他」，尤其是服事「贫穷和受苦的人，因为教会在他们身上认出她贫穷受苦的创立者的形象。」</w:t>
      </w:r>
      <w:r>
        <w:rPr>
          <w:rStyle w:val="FootnoteReference"/>
        </w:rPr>
        <w:footnoteReference w:id="1515"/>
      </w:r>
      <w:r>
        <w:t xml:space="preserve">神的子民藉着过合乎与基督一同服事的召命的生活，成就他们君尊的尊严。</w:t>
      </w:r>
    </w:p>
    <w:p>
      <w:pPr>
        <w:pStyle w:val="BodyText"/>
      </w:pPr>
      <w:r>
        <w:t xml:space="preserve">十字圣号使所有在基督里重生的人成为君王，圣灵的恩膏使他们成为祭司，因此，除了我们特殊的职分服事外，所有属灵和有理性的基督徒都被认作这君尊族类的成员，分享基督的祭司职分。对灵魂来说，还有什么比顺服神管理身体更显君尊呢？还有什么比向主献上纯洁的良心，在心灵的祭坛上献上无瑕的虔诚更具祭司性质呢？</w:t>
      </w:r>
      <w:r>
        <w:rPr>
          <w:rStyle w:val="FootnoteReference"/>
        </w:rPr>
        <w:footnoteReference w:id="1516"/>
      </w:r>
    </w:p>
    <w:bookmarkEnd w:id="1517"/>
    <w:bookmarkStart w:id="1546" w:name="二教会基督的身体"/>
    <w:p>
      <w:pPr>
        <w:pStyle w:val="Heading6"/>
      </w:pPr>
      <w:r>
        <w:t xml:space="preserve">二、教会——基督的身体</w:t>
      </w:r>
    </w:p>
    <w:p>
      <w:pPr>
        <w:pStyle w:val="FirstParagraph"/>
      </w:pPr>
      <w:r>
        <w:rPr>
          <w:i/>
          <w:iCs/>
        </w:rPr>
        <w:t xml:space="preserve">教会是与耶稣的共融</w:t>
      </w:r>
    </w:p>
    <w:p>
      <w:pPr>
        <w:pStyle w:val="BodyText"/>
      </w:pPr>
      <w:r>
        <w:t xml:space="preserve">从一开始，耶稣就让门徒与他同生活，向他们显明天国的奥秘，让他们分享他的使命、喜乐和苦难。</w:t>
      </w:r>
      <w:r>
        <w:rPr>
          <w:rStyle w:val="FootnoteReference"/>
        </w:rPr>
        <w:footnoteReference w:id="1518"/>
      </w:r>
      <w:r>
        <w:t xml:space="preserve">耶稣谈到他与跟随他的人之间更亲密的共融：「你们要常在我里面，我也常在你们里面……我是葡萄树，你们是枝子。」</w:t>
      </w:r>
      <w:r>
        <w:rPr>
          <w:rStyle w:val="FootnoteReference"/>
        </w:rPr>
        <w:footnoteReference w:id="1519"/>
      </w:r>
      <w:r>
        <w:t xml:space="preserve">他还宣告他的身体与我们身体之间奥秘而真实的共融：「吃我肉喝我血的人常在我里面，我也常在他里面。」</w:t>
      </w:r>
      <w:r>
        <w:rPr>
          <w:rStyle w:val="FootnoteReference"/>
        </w:rPr>
        <w:footnoteReference w:id="1520"/>
      </w:r>
    </w:p>
    <w:p>
      <w:pPr>
        <w:pStyle w:val="BodyText"/>
      </w:pPr>
      <w:r>
        <w:t xml:space="preserve">当耶稣可见的同在离开他们时，他并没有撇下门徒为孤儿。他应许要与他们同在直到世界的末了，他差遣圣灵给他们。</w:t>
      </w:r>
      <w:r>
        <w:rPr>
          <w:rStyle w:val="FootnoteReference"/>
        </w:rPr>
        <w:footnoteReference w:id="1521"/>
      </w:r>
      <w:r>
        <w:t xml:space="preserve">因此，与耶稣的共融在某种意义上变得更加深入：「藉着传递他的灵，基督奥秘地使那些从万国中被召来的弟兄成为他的身体。」</w:t>
      </w:r>
      <w:r>
        <w:rPr>
          <w:rStyle w:val="FootnoteReference"/>
        </w:rPr>
        <w:footnoteReference w:id="1522"/>
      </w:r>
    </w:p>
    <w:p>
      <w:pPr>
        <w:pStyle w:val="BodyText"/>
      </w:pPr>
      <w:r>
        <w:t xml:space="preserve">将教会比作身体阐明了基督与他教会之间亲密的联系。教会不仅是聚集在他</w:t>
      </w:r>
      <w:r>
        <w:rPr>
          <w:i/>
          <w:iCs/>
        </w:rPr>
        <w:t xml:space="preserve">周围</w:t>
      </w:r>
      <w:r>
        <w:t xml:space="preserve">，更是在他</w:t>
      </w:r>
      <w:r>
        <w:rPr>
          <w:i/>
          <w:iCs/>
        </w:rPr>
        <w:t xml:space="preserve">里面</w:t>
      </w:r>
      <w:r>
        <w:t xml:space="preserve">合而为一，在他的身体里。作为基督的身体，教会有三个需要特别注意的方面：所有肢体因着与基督联合而彼此合一；基督是身体的头；教会是基督的新妇。</w:t>
      </w:r>
    </w:p>
    <w:p>
      <w:pPr>
        <w:pStyle w:val="BodyText"/>
      </w:pPr>
      <w:r>
        <w:rPr>
          <w:i/>
          <w:iCs/>
        </w:rPr>
        <w:t xml:space="preserve">「一个身体」</w:t>
      </w:r>
    </w:p>
    <w:p>
      <w:pPr>
        <w:pStyle w:val="BodyText"/>
      </w:pPr>
      <w:r>
        <w:t xml:space="preserve">回应神话语并成为基督身体肢体的信徒，与他有了亲密的联合：「在这身体里，基督的生命传递给信徒，他们藉着圣事，以隐密而真实的方式与基督的受难和得荣耀联合。」</w:t>
      </w:r>
      <w:r>
        <w:rPr>
          <w:rStyle w:val="FootnoteReference"/>
        </w:rPr>
        <w:footnoteReference w:id="1523"/>
      </w:r>
      <w:r>
        <w:t xml:space="preserve">这一点在洗礼中尤为明显，洗礼使我们与基督的死和复活联合，在圣餐中也是如此，藉着「真实地分享主的身体……我们被提升到与他并彼此的共融中。」</w:t>
      </w:r>
      <w:r>
        <w:rPr>
          <w:rStyle w:val="FootnoteReference"/>
        </w:rPr>
        <w:footnoteReference w:id="1524"/>
      </w:r>
    </w:p>
    <w:p>
      <w:pPr>
        <w:pStyle w:val="BodyText"/>
      </w:pPr>
      <w:r>
        <w:t xml:space="preserve">身体的合一并不消除肢体的多样性：「在建立基督的身体上，肢体和功用都有多样性。只有一位圣灵，他按着自己的丰富和职事的需要，赐下不同的恩赐为教会谋福利。」</w:t>
      </w:r>
      <w:r>
        <w:rPr>
          <w:rStyle w:val="FootnoteReference"/>
        </w:rPr>
        <w:footnoteReference w:id="1525"/>
      </w:r>
      <w:r>
        <w:t xml:space="preserve">奥体的合一在信徒中产生并激发爱：「因此，若一个肢体受苦，所有的肢体就一同受苦；若一个肢体得荣耀，所有的肢体就一同快乐。」</w:t>
      </w:r>
      <w:r>
        <w:rPr>
          <w:rStyle w:val="FootnoteReference"/>
        </w:rPr>
        <w:footnoteReference w:id="1526"/>
      </w:r>
      <w:r>
        <w:t xml:space="preserve">最后，奥体的合一战胜一切人为的分歧：「你们受洗归入基督的，都是披戴基督了。并不分犹太人、希腊人、自主的、为奴的，或男或女，因为你们在基督耶稣里都成为一了。」</w:t>
      </w:r>
      <w:r>
        <w:rPr>
          <w:rStyle w:val="FootnoteReference"/>
        </w:rPr>
        <w:footnoteReference w:id="1527"/>
      </w:r>
    </w:p>
    <w:p>
      <w:pPr>
        <w:pStyle w:val="BodyText"/>
      </w:pPr>
      <w:r>
        <w:rPr>
          <w:i/>
          <w:iCs/>
        </w:rPr>
        <w:t xml:space="preserve">「基督是这身体的头」</w:t>
      </w:r>
    </w:p>
    <w:p>
      <w:pPr>
        <w:pStyle w:val="BodyText"/>
      </w:pPr>
      <w:r>
        <w:t xml:space="preserve">基督「是教会全体之首」。</w:t>
      </w:r>
      <w:r>
        <w:rPr>
          <w:rStyle w:val="FootnoteReference"/>
        </w:rPr>
        <w:footnoteReference w:id="1528"/>
      </w:r>
      <w:r>
        <w:t xml:space="preserve">他是创造和救赎的原则。他被高举到父的荣耀里，「在凡事上居首位」，</w:t>
      </w:r>
      <w:r>
        <w:rPr>
          <w:rStyle w:val="FootnoteReference"/>
        </w:rPr>
        <w:footnoteReference w:id="1529"/>
      </w:r>
      <w:r>
        <w:t xml:space="preserve">尤其是在教会中，藉着教会他将他的统治扩展到万有。</w:t>
      </w:r>
    </w:p>
    <w:p>
      <w:pPr>
        <w:pStyle w:val="BodyText"/>
      </w:pPr>
      <w:r>
        <w:rPr>
          <w:i/>
          <w:iCs/>
        </w:rPr>
        <w:t xml:space="preserve">基督使我们与他的逾越联合</w:t>
      </w:r>
      <w:r>
        <w:t xml:space="preserve">：他所有的肢体都必须努力效法他，「等到基督成形」在他们里面。</w:t>
      </w:r>
      <w:r>
        <w:rPr>
          <w:rStyle w:val="FootnoteReference"/>
        </w:rPr>
        <w:footnoteReference w:id="1530"/>
      </w:r>
      <w:r>
        <w:t xml:space="preserve">「为这缘故，我们被提升进入他生命的奥秘中……如同身体与头一样与他的苦难联合，与他一同受苦，好叫我们也与他一同得荣耀。」</w:t>
      </w:r>
      <w:r>
        <w:rPr>
          <w:rStyle w:val="FootnoteReference"/>
        </w:rPr>
        <w:footnoteReference w:id="1531"/>
      </w:r>
    </w:p>
    <w:p>
      <w:pPr>
        <w:pStyle w:val="BodyText"/>
      </w:pPr>
      <w:r>
        <w:rPr>
          <w:i/>
          <w:iCs/>
        </w:rPr>
        <w:t xml:space="preserve">基督供应我们成长</w:t>
      </w:r>
      <w:r>
        <w:t xml:space="preserve">：为使我们向着他这元首长进，</w:t>
      </w:r>
      <w:r>
        <w:rPr>
          <w:rStyle w:val="FootnoteReference"/>
        </w:rPr>
        <w:footnoteReference w:id="1532"/>
      </w:r>
      <w:r>
        <w:t xml:space="preserve">他在他的身体——教会中赐下恩赐和帮助，使我们在救恩的道路上彼此扶持。</w:t>
      </w:r>
    </w:p>
    <w:p>
      <w:pPr>
        <w:pStyle w:val="BodyText"/>
      </w:pPr>
      <w:r>
        <w:t xml:space="preserve">因此，基督和他的教会一同构成「整全的基督」（Christus totus）。教会与基督合而为一。圣徒们深刻地意识到这种合一：</w:t>
      </w:r>
    </w:p>
    <w:p>
      <w:pPr>
        <w:pStyle w:val="BodyText"/>
      </w:pPr>
      <w:r>
        <w:t xml:space="preserve">让我们欢喜感恩，因为我们不仅成为基督徒，更成为基督自己。弟兄们，你们明白并领会神向我们所施的恩典吗？惊叹并欢喜吧：我们已成为基督。因为如果他是头，我们就是肢体；他和我们一同构成完整的人……所以基督的完满就是头和肢体。但「头和肢体」是什么意思？就是基督和教会。</w:t>
      </w:r>
      <w:r>
        <w:rPr>
          <w:rStyle w:val="FootnoteReference"/>
        </w:rPr>
        <w:footnoteReference w:id="1533"/>
      </w:r>
    </w:p>
    <w:p>
      <w:pPr>
        <w:pStyle w:val="BodyText"/>
      </w:pPr>
      <w:r>
        <w:t xml:space="preserve">我们的救赎主显明他与他所取得的圣教会是一个位格。</w:t>
      </w:r>
      <w:r>
        <w:rPr>
          <w:rStyle w:val="FootnoteReference"/>
        </w:rPr>
        <w:footnoteReference w:id="1534"/>
      </w:r>
    </w:p>
    <w:p>
      <w:pPr>
        <w:pStyle w:val="BodyText"/>
      </w:pPr>
      <w:r>
        <w:t xml:space="preserve">头和肢体形成一个同一的奥秘位格。</w:t>
      </w:r>
      <w:r>
        <w:rPr>
          <w:rStyle w:val="FootnoteReference"/>
        </w:rPr>
        <w:footnoteReference w:id="1535"/>
      </w:r>
    </w:p>
    <w:p>
      <w:pPr>
        <w:pStyle w:val="BodyText"/>
      </w:pPr>
      <w:r>
        <w:t xml:space="preserve">圣女贞德对她的审判官的回答，概括了圣师们的信仰和信徒的良知：「关于耶稣基督和教会，我只知道他们就是一体的，我们不该把事情弄复杂。」</w:t>
      </w:r>
      <w:r>
        <w:rPr>
          <w:rStyle w:val="FootnoteReference"/>
        </w:rPr>
        <w:footnoteReference w:id="1536"/>
      </w:r>
    </w:p>
    <w:p>
      <w:pPr>
        <w:pStyle w:val="BodyText"/>
      </w:pPr>
      <w:r>
        <w:rPr>
          <w:i/>
          <w:iCs/>
        </w:rPr>
        <w:t xml:space="preserve">教会是基督的新妇</w:t>
      </w:r>
    </w:p>
    <w:p>
      <w:pPr>
        <w:pStyle w:val="BodyText"/>
      </w:pPr>
      <w:r>
        <w:t xml:space="preserve">基督与教会、头与身体肢体的合一，也意味着在个人关系中两者的区分。这一方面常常用新郎和新妇的图像来表达。基督作为教会的新郎这个主题是由先知们预备并由施洗约翰宣告的。</w:t>
      </w:r>
      <w:r>
        <w:rPr>
          <w:rStyle w:val="FootnoteReference"/>
        </w:rPr>
        <w:footnoteReference w:id="1537"/>
      </w:r>
      <w:r>
        <w:t xml:space="preserve">主称自己为「新郎」。</w:t>
      </w:r>
      <w:r>
        <w:rPr>
          <w:rStyle w:val="FootnoteReference"/>
        </w:rPr>
        <w:footnoteReference w:id="1538"/>
      </w:r>
      <w:r>
        <w:t xml:space="preserve">使徒将整个教会和每个信徒，就是他身体的肢体，都描述为「许配」给主基督的新妇，为要与他成为一灵。</w:t>
      </w:r>
      <w:r>
        <w:rPr>
          <w:rStyle w:val="FootnoteReference"/>
        </w:rPr>
        <w:footnoteReference w:id="1539"/>
      </w:r>
      <w:r>
        <w:t xml:space="preserve">教会是无瑕羔羊的无瑕新妇。</w:t>
      </w:r>
      <w:r>
        <w:rPr>
          <w:rStyle w:val="FootnoteReference"/>
        </w:rPr>
        <w:footnoteReference w:id="1540"/>
      </w:r>
      <w:r>
        <w:t xml:space="preserve">「基督爱教会，为教会舍己，要使教会成圣。」</w:t>
      </w:r>
      <w:r>
        <w:rPr>
          <w:rStyle w:val="FootnoteReference"/>
        </w:rPr>
        <w:footnoteReference w:id="1541"/>
      </w:r>
      <w:r>
        <w:t xml:space="preserve">他以永约与她结合，永不停止地看顾她，如同看顾自己的身体：</w:t>
      </w:r>
      <w:r>
        <w:rPr>
          <w:rStyle w:val="FootnoteReference"/>
        </w:rPr>
        <w:footnoteReference w:id="1542"/>
      </w:r>
    </w:p>
    <w:p>
      <w:pPr>
        <w:pStyle w:val="BodyText"/>
      </w:pPr>
      <w:r>
        <w:t xml:space="preserve">这就是整全的基督，头和身体，由多数合成一体……无论是头或肢体说话，都是基督在说话。他以元首的身份说话（ex persona capitis），也以身体的身份说话（ex persona corporis）。这是什么意思？「二人要成为一体，这是极大的奥秘，但我是指着基督和教会说的。」</w:t>
      </w:r>
      <w:r>
        <w:rPr>
          <w:rStyle w:val="FootnoteReference"/>
        </w:rPr>
        <w:footnoteReference w:id="1543"/>
      </w:r>
      <w:r>
        <w:t xml:space="preserve">主自己在福音中说：「既然如此，夫妻不再是两个人，乃是一体的了。」</w:t>
      </w:r>
      <w:r>
        <w:rPr>
          <w:rStyle w:val="FootnoteReference"/>
        </w:rPr>
        <w:footnoteReference w:id="1544"/>
      </w:r>
      <w:r>
        <w:t xml:space="preserve">事实上，他们是两个不同的位格，但在婚姻的联合中成为一体……作为头，他称自己为新郎，作为身体，他称自己为「新妇」。</w:t>
      </w:r>
      <w:r>
        <w:rPr>
          <w:rStyle w:val="FootnoteReference"/>
        </w:rPr>
        <w:footnoteReference w:id="1545"/>
      </w:r>
    </w:p>
    <w:bookmarkEnd w:id="1546"/>
    <w:bookmarkStart w:id="1560" w:name="三教会是圣灵的殿"/>
    <w:p>
      <w:pPr>
        <w:pStyle w:val="Heading6"/>
      </w:pPr>
      <w:r>
        <w:t xml:space="preserve">三、教会是圣灵的殿</w:t>
      </w:r>
    </w:p>
    <w:p>
      <w:pPr>
        <w:pStyle w:val="FirstParagraph"/>
      </w:pPr>
      <w:r>
        <w:t xml:space="preserve">「灵魂之于人的身体，圣灵之于基督的身体——教会，也是如此。」</w:t>
      </w:r>
      <w:r>
        <w:rPr>
          <w:rStyle w:val="FootnoteReference"/>
        </w:rPr>
        <w:footnoteReference w:id="1547"/>
      </w:r>
      <w:r>
        <w:t xml:space="preserve">「归功于基督的灵这个无形的原则，身体的所有部分彼此相连，并与他们崇高的元首相连；因为基督的全灵在头中，全灵在身体中，全灵也在每个肢体中。」</w:t>
      </w:r>
      <w:r>
        <w:rPr>
          <w:rStyle w:val="FootnoteReference"/>
        </w:rPr>
        <w:footnoteReference w:id="1548"/>
      </w:r>
      <w:r>
        <w:t xml:space="preserve">圣灵使教会成为「永生神的殿」：</w:t>
      </w:r>
      <w:r>
        <w:rPr>
          <w:rStyle w:val="FootnoteReference"/>
        </w:rPr>
        <w:footnoteReference w:id="1549"/>
      </w:r>
    </w:p>
    <w:p>
      <w:pPr>
        <w:pStyle w:val="BodyText"/>
      </w:pPr>
      <w:r>
        <w:t xml:space="preserve">确实，「神的恩赐」是托付给教会自己的……与基督的共融就寄托在她里面，这就是说：圣灵，不朽的保证，我们信心的坚固，以及我们上升到神那里的阶梯……因为哪里有教会，哪里就有神的灵；哪里有神的灵，哪里就有教会和一切恩典。</w:t>
      </w:r>
      <w:r>
        <w:rPr>
          <w:rStyle w:val="FootnoteReference"/>
        </w:rPr>
        <w:footnoteReference w:id="1550"/>
      </w:r>
    </w:p>
    <w:p>
      <w:pPr>
        <w:pStyle w:val="BodyText"/>
      </w:pPr>
      <w:r>
        <w:t xml:space="preserve">圣灵是「身体各部分中每一个重要且真正救赎行动的原则。」</w:t>
      </w:r>
      <w:r>
        <w:rPr>
          <w:rStyle w:val="FootnoteReference"/>
        </w:rPr>
        <w:footnoteReference w:id="1551"/>
      </w:r>
      <w:r>
        <w:t xml:space="preserve">他以多种方式在爱中建立整个身体：</w:t>
      </w:r>
      <w:r>
        <w:rPr>
          <w:rStyle w:val="FootnoteReference"/>
        </w:rPr>
        <w:footnoteReference w:id="1552"/>
      </w:r>
      <w:r>
        <w:t xml:space="preserve">藉着神的道「能建立你们」；</w:t>
      </w:r>
      <w:r>
        <w:rPr>
          <w:rStyle w:val="FootnoteReference"/>
        </w:rPr>
        <w:footnoteReference w:id="1553"/>
      </w:r>
      <w:r>
        <w:t xml:space="preserve">藉着洗礼，透过它形成基督的身体；</w:t>
      </w:r>
      <w:r>
        <w:rPr>
          <w:rStyle w:val="FootnoteReference"/>
        </w:rPr>
        <w:footnoteReference w:id="1554"/>
      </w:r>
      <w:r>
        <w:t xml:space="preserve">藉着圣事，使基督肢体得以成长和医治；藉着「使徒的恩典，这是他诸般恩赐中居首位的」；</w:t>
      </w:r>
      <w:r>
        <w:rPr>
          <w:rStyle w:val="FootnoteReference"/>
        </w:rPr>
        <w:footnoteReference w:id="1555"/>
      </w:r>
      <w:r>
        <w:t xml:space="preserve">藉着美德，使我们按善行事；最后，藉着许多特殊的恩典（称为「灵恩」），使信徒「适合并准备好承担各样任务和职分，为更新和建立教会。」</w:t>
      </w:r>
      <w:r>
        <w:rPr>
          <w:rStyle w:val="FootnoteReference"/>
        </w:rPr>
        <w:footnoteReference w:id="1556"/>
      </w:r>
    </w:p>
    <w:p>
      <w:pPr>
        <w:pStyle w:val="BodyText"/>
      </w:pPr>
      <w:r>
        <w:rPr>
          <w:i/>
          <w:iCs/>
        </w:rPr>
        <w:t xml:space="preserve">灵恩</w:t>
      </w:r>
    </w:p>
    <w:p>
      <w:pPr>
        <w:pStyle w:val="BodyText"/>
      </w:pPr>
      <w:r>
        <w:t xml:space="preserve">无论是非凡的还是简单谦逊的，灵恩都是圣灵的恩典，直接或间接使教会受益，它们都是为建立教会、为人的益处和世界的需要而设立的。</w:t>
      </w:r>
    </w:p>
    <w:p>
      <w:pPr>
        <w:pStyle w:val="BodyText"/>
      </w:pPr>
      <w:r>
        <w:t xml:space="preserve">灵恩应当被领受者和所有教会成员怀着感恩之心接受。它们是使徒活力和基督整个身体成圣的丰富恩典，只要它们确实是圣灵真实的恩赐，并完全符合这同一圣灵真实的感动来使用，也就是说，与爱相符，因为爱是衡量一切灵恩的真正标准。</w:t>
      </w:r>
      <w:r>
        <w:rPr>
          <w:rStyle w:val="FootnoteReference"/>
        </w:rPr>
        <w:footnoteReference w:id="1557"/>
      </w:r>
    </w:p>
    <w:p>
      <w:pPr>
        <w:pStyle w:val="BodyText"/>
      </w:pPr>
      <w:r>
        <w:t xml:space="preserve">正是在这个意义上，辨别灵恩总是必要的。没有任何灵恩可以免于接受教会牧者的审核和监督。「他们的职责不是要消灭圣灵，而是要凡事察验，持守善美的事」，</w:t>
      </w:r>
      <w:r>
        <w:rPr>
          <w:rStyle w:val="FootnoteReference"/>
        </w:rPr>
        <w:footnoteReference w:id="1558"/>
      </w:r>
      <w:r>
        <w:t xml:space="preserve">好使所有不同而互补的灵恩一同运作，「为了共同的益处。」</w:t>
      </w:r>
      <w:r>
        <w:rPr>
          <w:rStyle w:val="FootnoteReference"/>
        </w:rPr>
        <w:footnoteReference w:id="1559"/>
      </w:r>
    </w:p>
    <w:bookmarkEnd w:id="1560"/>
    <w:bookmarkStart w:id="1561" w:name="综述-23"/>
    <w:p>
      <w:pPr>
        <w:pStyle w:val="Heading6"/>
      </w:pPr>
      <w:r>
        <w:t xml:space="preserve">综述</w:t>
      </w:r>
    </w:p>
    <w:p>
      <w:pPr>
        <w:pStyle w:val="FirstParagraph"/>
      </w:pPr>
      <w:r>
        <w:t xml:space="preserve">基督耶稣「为我们舍了自己，要赎我们脱离一切罪恶，又洁净我们，特作自己的子民」（提多书 2:14）。</w:t>
      </w:r>
    </w:p>
    <w:p>
      <w:pPr>
        <w:pStyle w:val="BodyText"/>
      </w:pPr>
      <w:r>
        <w:t xml:space="preserve">「你们是被拣选的族类，是有君尊的祭司，是圣洁的国度，是属神的子民」（彼前 2:9）。</w:t>
      </w:r>
    </w:p>
    <w:p>
      <w:pPr>
        <w:pStyle w:val="BodyText"/>
      </w:pPr>
      <w:r>
        <w:t xml:space="preserve">人藉着信心和洗礼进入神的子民。「所有的人都被召属于神的新子民」（LG 13），好使在基督里，「人类能组成一个家庭和一个神的子民」（AG 1）。</w:t>
      </w:r>
    </w:p>
    <w:p>
      <w:pPr>
        <w:pStyle w:val="BodyText"/>
      </w:pPr>
      <w:r>
        <w:t xml:space="preserve">教会是基督的身体。藉着圣灵和他在圣事中的行动，尤其是在圣餐中，那位曾经死过现在复活了的基督，建立信徒的团体作为他自己的身体。</w:t>
      </w:r>
    </w:p>
    <w:p>
      <w:pPr>
        <w:pStyle w:val="BodyText"/>
      </w:pPr>
      <w:r>
        <w:t xml:space="preserve">在这身体的合一中，存在着肢体和功用的多样性。所有肢体彼此相连，特别是与那些受苦的人、贫穷的人和受迫害的人相连。</w:t>
      </w:r>
    </w:p>
    <w:p>
      <w:pPr>
        <w:pStyle w:val="BodyText"/>
      </w:pPr>
      <w:r>
        <w:t xml:space="preserve">教会是基督作元首的身体：她从他而活，在他里面活，为他而活；他与她同在，也在她里面。</w:t>
      </w:r>
    </w:p>
    <w:p>
      <w:pPr>
        <w:pStyle w:val="BodyText"/>
      </w:pPr>
      <w:r>
        <w:t xml:space="preserve">教会是基督的新妇：他爱她，为她舍己。他用自己的血洁净了她，使她成为神所有儿女多结果子的母亲。</w:t>
      </w:r>
    </w:p>
    <w:p>
      <w:pPr>
        <w:pStyle w:val="BodyText"/>
      </w:pPr>
      <w:r>
        <w:t xml:space="preserve">教会是圣灵的殿。圣灵可以说是奥体的灵魂，是其生命的源头，是其多样中合一的源头，是其恩赐和灵恩丰富的源头。</w:t>
      </w:r>
    </w:p>
    <w:p>
      <w:pPr>
        <w:pStyle w:val="BodyText"/>
      </w:pPr>
      <w:r>
        <w:t xml:space="preserve">「因此，普世教会被视为『一个因圣父、圣子、圣灵的合一而合而为一的子民』」（LG 4 引用圣西彼廉，主祷文 23：PL 4，553）。</w:t>
      </w:r>
    </w:p>
    <w:p>
      <w:r>
        <w:br w:type="page"/>
      </w:r>
    </w:p>
    <w:bookmarkEnd w:id="1561"/>
    <w:bookmarkEnd w:id="1562"/>
    <w:bookmarkStart w:id="1681" w:name="第三节-教会是独一圣洁大公使徒的"/>
    <w:p>
      <w:pPr>
        <w:pStyle w:val="Heading5"/>
      </w:pPr>
      <w:r>
        <w:t xml:space="preserve">第三节　教会是独一、圣洁、大公、使徒的</w:t>
      </w:r>
    </w:p>
    <w:p>
      <w:pPr>
        <w:pStyle w:val="FirstParagraph"/>
      </w:pPr>
      <w:r>
        <w:t xml:space="preserve">「这是基督的独一教会，我们在信经中宣认她是独一、圣洁、大公、使徒的。」</w:t>
      </w:r>
      <w:r>
        <w:rPr>
          <w:rStyle w:val="FootnoteReference"/>
        </w:rPr>
        <w:footnoteReference w:id="1563"/>
      </w:r>
      <w:r>
        <w:t xml:space="preserve">这四个特征彼此密不可分，</w:t>
      </w:r>
      <w:r>
        <w:rPr>
          <w:rStyle w:val="FootnoteReference"/>
        </w:rPr>
        <w:footnoteReference w:id="1564"/>
      </w:r>
      <w:r>
        <w:t xml:space="preserve">指出了教会及其使命的基本特征。教会并非自己拥有这些特征，而是基督藉着圣灵使他的教会成为独一、圣洁、大公、使徒的，也是他呼召教会实现这些特质。</w:t>
      </w:r>
    </w:p>
    <w:p>
      <w:pPr>
        <w:pStyle w:val="BodyText"/>
      </w:pPr>
      <w:r>
        <w:t xml:space="preserve">唯有信心才能认识到教会从神的根源获得这些特性。但这些特性在历史中的彰显也是清楚地向人的理性说话的标记。正如第一届梵蒂冈大公会议所指出的：「教会本身，以其奇妙的传播、卓越的圣洁、在一切善事上取之不尽的丰盛、大公的合一和坚不可摧的稳定性，是一个伟大而持久的可信动机，是其从神而来的使命不可辩驳的见证。」</w:t>
      </w:r>
      <w:r>
        <w:rPr>
          <w:rStyle w:val="FootnoteReference"/>
        </w:rPr>
        <w:footnoteReference w:id="1565"/>
      </w:r>
    </w:p>
    <w:bookmarkStart w:id="1596" w:name="一教会是独一的"/>
    <w:p>
      <w:pPr>
        <w:pStyle w:val="Heading6"/>
      </w:pPr>
      <w:r>
        <w:t xml:space="preserve">一、教会是独一的</w:t>
      </w:r>
    </w:p>
    <w:p>
      <w:pPr>
        <w:pStyle w:val="FirstParagraph"/>
      </w:pPr>
      <w:r>
        <w:rPr>
          <w:i/>
          <w:iCs/>
        </w:rPr>
        <w:t xml:space="preserve">教会合一的奥秘</w:t>
      </w:r>
    </w:p>
    <w:p>
      <w:pPr>
        <w:pStyle w:val="BodyText"/>
      </w:pPr>
      <w:r>
        <w:rPr>
          <w:i/>
          <w:iCs/>
        </w:rPr>
        <w:t xml:space="preserve">教会因其源头，是独一的</w:t>
      </w:r>
      <w:r>
        <w:t xml:space="preserve">：「这奥秘的最高典范和源头是三位一体中的合一，就是圣父、圣子与圣灵的合一。」</w:t>
      </w:r>
      <w:r>
        <w:rPr>
          <w:rStyle w:val="FootnoteReference"/>
        </w:rPr>
        <w:footnoteReference w:id="1566"/>
      </w:r>
      <w:r>
        <w:t xml:space="preserve">教会是独一的，</w:t>
      </w:r>
      <w:r>
        <w:rPr>
          <w:i/>
          <w:iCs/>
        </w:rPr>
        <w:t xml:space="preserve">因其创立者</w:t>
      </w:r>
      <w:r>
        <w:t xml:space="preserve">：「因为道成肉身，和平之君，藉着十字架使众人与神和好，……使万民合而为一，归于一体。」</w:t>
      </w:r>
      <w:r>
        <w:rPr>
          <w:rStyle w:val="FootnoteReference"/>
        </w:rPr>
        <w:footnoteReference w:id="1567"/>
      </w:r>
      <w:r>
        <w:t xml:space="preserve">教会是独一的，</w:t>
      </w:r>
      <w:r>
        <w:rPr>
          <w:i/>
          <w:iCs/>
        </w:rPr>
        <w:t xml:space="preserve">因其『灵魂』</w:t>
      </w:r>
      <w:r>
        <w:t xml:space="preserve">：「圣灵住在信徒心中，遍及并治理整个教会，成就信徒奇妙的共融，使他们在基督里如此亲密地联合，以致成为教会合一的原则。」</w:t>
      </w:r>
      <w:r>
        <w:rPr>
          <w:rStyle w:val="FootnoteReference"/>
        </w:rPr>
        <w:footnoteReference w:id="1568"/>
      </w:r>
      <w:r>
        <w:t xml:space="preserve">合一属于教会的本质：</w:t>
      </w:r>
    </w:p>
    <w:p>
      <w:pPr>
        <w:pStyle w:val="BodyText"/>
      </w:pPr>
      <w:r>
        <w:t xml:space="preserve">多么令人惊叹的奥秘！宇宙只有一位圣父，一位道，也只有一位圣灵，处处都是同一位；也只有一位成为母亲的童贞女，我愿称她为「教会」。</w:t>
      </w:r>
      <w:r>
        <w:rPr>
          <w:rStyle w:val="FootnoteReference"/>
        </w:rPr>
        <w:footnoteReference w:id="1569"/>
      </w:r>
    </w:p>
    <w:p>
      <w:pPr>
        <w:pStyle w:val="BodyText"/>
      </w:pPr>
      <w:r>
        <w:t xml:space="preserve">从一开始，这独一的教会就以巨大的</w:t>
      </w:r>
      <w:r>
        <w:rPr>
          <w:i/>
          <w:iCs/>
        </w:rPr>
        <w:t xml:space="preserve">多样性</w:t>
      </w:r>
      <w:r>
        <w:t xml:space="preserve">为标记，这多样性来自神恩赐的多样和领受者的多样。在神子民的合一中，汇聚了多元的民族和文化。在教会成员中，有不同的恩赐、职分、境况和生活方式。「在教会的共融中，各地方教会保持其传统也有其正当地位。」</w:t>
      </w:r>
      <w:r>
        <w:rPr>
          <w:rStyle w:val="FootnoteReference"/>
        </w:rPr>
        <w:footnoteReference w:id="1570"/>
      </w:r>
      <w:r>
        <w:t xml:space="preserve">如此多样性的丰富并不违背教会的合一。然而，罪恶和其后果的重担不断威胁着合一的恩赐。因此使徒必须劝勉基督徒要「用和平彼此联络，竭力保守圣灵所赐合而为一的心。」</w:t>
      </w:r>
      <w:r>
        <w:rPr>
          <w:rStyle w:val="FootnoteReference"/>
        </w:rPr>
        <w:footnoteReference w:id="1571"/>
      </w:r>
    </w:p>
    <w:p>
      <w:pPr>
        <w:pStyle w:val="BodyText"/>
      </w:pPr>
      <w:r>
        <w:t xml:space="preserve">这些合一的纽带是什么？最重要的是爱，「爱心就是联络全德的」。</w:t>
      </w:r>
      <w:r>
        <w:rPr>
          <w:rStyle w:val="FootnoteReference"/>
        </w:rPr>
        <w:footnoteReference w:id="1572"/>
      </w:r>
      <w:r>
        <w:t xml:space="preserve">但在世旅途中的教会的合一也由这些可见的共融纽带来保证：</w:t>
      </w:r>
    </w:p>
    <w:p>
      <w:pPr>
        <w:numPr>
          <w:ilvl w:val="0"/>
          <w:numId w:val="1011"/>
        </w:numPr>
      </w:pPr>
      <w:r>
        <w:t xml:space="preserve">宣认从使徒传下来的同一信仰；</w:t>
      </w:r>
    </w:p>
    <w:p>
      <w:pPr>
        <w:numPr>
          <w:ilvl w:val="0"/>
          <w:numId w:val="1011"/>
        </w:numPr>
      </w:pPr>
      <w:r>
        <w:t xml:space="preserve">共同举行敬拜，特别是圣事；</w:t>
      </w:r>
    </w:p>
    <w:p>
      <w:pPr>
        <w:numPr>
          <w:ilvl w:val="0"/>
          <w:numId w:val="1011"/>
        </w:numPr>
      </w:pPr>
      <w:r>
        <w:t xml:space="preserve">通过圣秩圣事的使徒，维系神家庭的弟兄和睦。</w:t>
      </w:r>
      <w:r>
        <w:rPr>
          <w:rStyle w:val="FootnoteReference"/>
        </w:rPr>
        <w:footnoteReference w:id="1573"/>
      </w:r>
    </w:p>
    <w:p>
      <w:pPr>
        <w:pStyle w:val="FirstParagraph"/>
      </w:pPr>
      <w:r>
        <w:t xml:space="preserve">「基督的独一教会就是我们的救主复活后交托给彼得牧养的，并委托他和其他使徒去扩展与治理的教会……这个在现世建立并组织成为社会的教会，存在于（</w:t>
      </w:r>
      <w:r>
        <w:rPr>
          <w:i/>
          <w:iCs/>
        </w:rPr>
        <w:t xml:space="preserve">subsistit in</w:t>
      </w:r>
      <w:r>
        <w:t xml:space="preserve">）由彼得继承人及与他共融的主教们所治理的公教会内。」</w:t>
      </w:r>
      <w:r>
        <w:rPr>
          <w:rStyle w:val="FootnoteReference"/>
        </w:rPr>
        <w:footnoteReference w:id="1574"/>
      </w:r>
    </w:p>
    <w:p>
      <w:pPr>
        <w:pStyle w:val="BodyText"/>
      </w:pPr>
      <w:r>
        <w:t xml:space="preserve">第二届梵蒂冈大公会议的《普世主义法令》解释道：「因为唯有通过基督的公教会，这普世救恩的助佑，才能获得救恩方法的完整性。我们相信，主只将新约的一切福分托付给以彼得为首的使徒团，为要在地上建立基督的一个身体，凡以任何方式属于神子民的人都应完全归入其中。」</w:t>
      </w:r>
      <w:r>
        <w:rPr>
          <w:rStyle w:val="FootnoteReference"/>
        </w:rPr>
        <w:footnoteReference w:id="1575"/>
      </w:r>
    </w:p>
    <w:p>
      <w:pPr>
        <w:pStyle w:val="BodyText"/>
      </w:pPr>
      <w:r>
        <w:rPr>
          <w:i/>
          <w:iCs/>
        </w:rPr>
        <w:t xml:space="preserve">合一的创伤</w:t>
      </w:r>
    </w:p>
    <w:p>
      <w:pPr>
        <w:pStyle w:val="BodyText"/>
      </w:pPr>
      <w:r>
        <w:t xml:space="preserve">事实上，「在这独一无二的神的教会中，从一开始就出现了某些裂痕，使徒严厉谴责这些应受诅咒的事。但在随后的几个世纪中，出现了更严重的分歧，大群信徒脱离了与公教会的完全共融——对此，双方都难辞其咎。」</w:t>
      </w:r>
      <w:r>
        <w:rPr>
          <w:rStyle w:val="FootnoteReference"/>
        </w:rPr>
        <w:footnoteReference w:id="1576"/>
      </w:r>
      <w:r>
        <w:t xml:space="preserve">这些伤害基督身体合一的破裂——在此我们必须区分异端、叛教和分裂</w:t>
      </w:r>
      <w:r>
        <w:rPr>
          <w:rStyle w:val="FootnoteReference"/>
        </w:rPr>
        <w:footnoteReference w:id="1577"/>
      </w:r>
      <w:r>
        <w:t xml:space="preserve">——离不开人的罪：</w:t>
      </w:r>
    </w:p>
    <w:p>
      <w:pPr>
        <w:pStyle w:val="BodyText"/>
      </w:pPr>
      <w:r>
        <w:t xml:space="preserve">哪里有罪，哪里就有分裂、分离、异端和纷争。然而哪里有美德，哪里就有和谐与合一，由此产生所有信徒同心同灵。</w:t>
      </w:r>
      <w:r>
        <w:rPr>
          <w:rStyle w:val="FootnoteReference"/>
        </w:rPr>
        <w:footnoteReference w:id="1578"/>
      </w:r>
    </w:p>
    <w:p>
      <w:pPr>
        <w:pStyle w:val="BodyText"/>
      </w:pPr>
      <w:r>
        <w:t xml:space="preserve">「然而，对于现今生于这些团体［因分离而产生的团体］中，在基督信仰中成长的人，不能归咎分离之罪，公教会以尊重和爱心接纳他们为弟兄……所有因信而在洗礼中称义的人都与基督结合；因此他们有权被称为基督徒，公教会的子女理当接纳他们为主内的弟兄。」</w:t>
      </w:r>
      <w:r>
        <w:rPr>
          <w:rStyle w:val="FootnoteReference"/>
        </w:rPr>
        <w:footnoteReference w:id="1579"/>
      </w:r>
    </w:p>
    <w:p>
      <w:pPr>
        <w:pStyle w:val="BodyText"/>
      </w:pPr>
      <w:r>
        <w:t xml:space="preserve">「此外，许多圣化和真理的要素」</w:t>
      </w:r>
      <w:r>
        <w:rPr>
          <w:rStyle w:val="FootnoteReference"/>
        </w:rPr>
        <w:footnoteReference w:id="1580"/>
      </w:r>
      <w:r>
        <w:t xml:space="preserve">存在于公教会可见界限之外：「神的成文圣言、恩典的生命、信、望、爱，以及圣灵的其他内在恩赐，和可见的要素。」</w:t>
      </w:r>
      <w:r>
        <w:rPr>
          <w:rStyle w:val="FootnoteReference"/>
        </w:rPr>
        <w:footnoteReference w:id="1581"/>
      </w:r>
      <w:r>
        <w:t xml:space="preserve">基督的灵使用这些教会和教会团体作为救恩的媒介，其力量源自基督托付给公教会的圆满恩典和真理。这一切福分都来自基督并引向他，</w:t>
      </w:r>
      <w:r>
        <w:rPr>
          <w:rStyle w:val="FootnoteReference"/>
        </w:rPr>
        <w:footnoteReference w:id="1582"/>
      </w:r>
      <w:r>
        <w:t xml:space="preserve">本身就是对「大公合一」的呼召。</w:t>
      </w:r>
      <w:r>
        <w:rPr>
          <w:rStyle w:val="FootnoteReference"/>
        </w:rPr>
        <w:footnoteReference w:id="1583"/>
      </w:r>
    </w:p>
    <w:p>
      <w:pPr>
        <w:pStyle w:val="BodyText"/>
      </w:pPr>
      <w:r>
        <w:rPr>
          <w:i/>
          <w:iCs/>
        </w:rPr>
        <w:t xml:space="preserve">迈向合一</w:t>
      </w:r>
    </w:p>
    <w:p>
      <w:pPr>
        <w:pStyle w:val="BodyText"/>
      </w:pPr>
      <w:r>
        <w:t xml:space="preserve">「基督从一开始就赐给他的教会合一。我们相信这合一存在于公教会内，是她永远不会失去的，我们希望这合一会继续增长直到时间的终结。」</w:t>
      </w:r>
      <w:r>
        <w:rPr>
          <w:rStyle w:val="FootnoteReference"/>
        </w:rPr>
        <w:footnoteReference w:id="1584"/>
      </w:r>
      <w:r>
        <w:t xml:space="preserve">基督常常赐给他的教会合一的恩赐，但教会必须时常祈祷并努力维持、加强和完善基督所愿的合一。这就是为什么耶稣自己在受难时刻祈祷，并不停地向天父祈求他门徒的合一：「使他们都合而为一。正如你父在我里面，我在你里面，使他们也在我们里面，……叫世人知道你差了我来。」</w:t>
      </w:r>
      <w:r>
        <w:rPr>
          <w:rStyle w:val="FootnoteReference"/>
        </w:rPr>
        <w:footnoteReference w:id="1585"/>
      </w:r>
      <w:r>
        <w:t xml:space="preserve">恢复所有基督徒合一的愿望是基督的恩赐和圣灵的呼召。</w:t>
      </w:r>
      <w:r>
        <w:rPr>
          <w:rStyle w:val="FootnoteReference"/>
        </w:rPr>
        <w:footnoteReference w:id="1586"/>
      </w:r>
    </w:p>
    <w:p>
      <w:pPr>
        <w:pStyle w:val="BodyText"/>
      </w:pPr>
      <w:r>
        <w:t xml:space="preserve">为了适当地回应这个呼召，需要以下几点：</w:t>
      </w:r>
    </w:p>
    <w:p>
      <w:pPr>
        <w:numPr>
          <w:ilvl w:val="0"/>
          <w:numId w:val="1012"/>
        </w:numPr>
      </w:pPr>
      <w:r>
        <w:t xml:space="preserve">教会要持续</w:t>
      </w:r>
      <w:r>
        <w:rPr>
          <w:i/>
          <w:iCs/>
        </w:rPr>
        <w:t xml:space="preserve">更新</w:t>
      </w:r>
      <w:r>
        <w:t xml:space="preserve">，更忠实于她的召叫；这样的更新是迈向合一运动的推动力；</w:t>
      </w:r>
      <w:r>
        <w:rPr>
          <w:rStyle w:val="FootnoteReference"/>
        </w:rPr>
        <w:footnoteReference w:id="1587"/>
      </w:r>
    </w:p>
    <w:p>
      <w:pPr>
        <w:numPr>
          <w:ilvl w:val="0"/>
          <w:numId w:val="1012"/>
        </w:numPr>
      </w:pPr>
      <w:r>
        <w:rPr>
          <w:i/>
          <w:iCs/>
        </w:rPr>
        <w:t xml:space="preserve">心灵的皈依</w:t>
      </w:r>
      <w:r>
        <w:t xml:space="preserve">，信徒要「依照福音努力过更圣洁的生活」；</w:t>
      </w:r>
      <w:r>
        <w:rPr>
          <w:rStyle w:val="FootnoteReference"/>
        </w:rPr>
        <w:footnoteReference w:id="1588"/>
      </w:r>
      <w:r>
        <w:t xml:space="preserve">因为成员对基督恩赐的不忠导致了分裂；</w:t>
      </w:r>
    </w:p>
    <w:p>
      <w:pPr>
        <w:numPr>
          <w:ilvl w:val="0"/>
          <w:numId w:val="1012"/>
        </w:numPr>
      </w:pPr>
      <w:r>
        <w:rPr>
          <w:i/>
          <w:iCs/>
        </w:rPr>
        <w:t xml:space="preserve">共同祈祷</w:t>
      </w:r>
      <w:r>
        <w:t xml:space="preserve">，因为「心灵的改变和生活的圣化，以及为基督徒合一的公开和私下祈祷，应被视为整个普世运动的灵魂，堪称『灵性普世主义』」；</w:t>
      </w:r>
      <w:r>
        <w:rPr>
          <w:rStyle w:val="FootnoteReference"/>
        </w:rPr>
        <w:footnoteReference w:id="1589"/>
      </w:r>
    </w:p>
    <w:p>
      <w:pPr>
        <w:numPr>
          <w:ilvl w:val="0"/>
          <w:numId w:val="1012"/>
        </w:numPr>
      </w:pPr>
      <w:r>
        <w:rPr>
          <w:i/>
          <w:iCs/>
        </w:rPr>
        <w:t xml:space="preserve">彼此间的弟兄般了解</w:t>
      </w:r>
      <w:r>
        <w:t xml:space="preserve">；</w:t>
      </w:r>
      <w:r>
        <w:rPr>
          <w:rStyle w:val="FootnoteReference"/>
        </w:rPr>
        <w:footnoteReference w:id="1590"/>
      </w:r>
    </w:p>
    <w:p>
      <w:pPr>
        <w:numPr>
          <w:ilvl w:val="0"/>
          <w:numId w:val="1012"/>
        </w:numPr>
      </w:pPr>
      <w:r>
        <w:t xml:space="preserve">信徒，特别是祭司的</w:t>
      </w:r>
      <w:r>
        <w:rPr>
          <w:i/>
          <w:iCs/>
        </w:rPr>
        <w:t xml:space="preserve">普世培育</w:t>
      </w:r>
      <w:r>
        <w:t xml:space="preserve">；</w:t>
      </w:r>
      <w:r>
        <w:rPr>
          <w:rStyle w:val="FootnoteReference"/>
        </w:rPr>
        <w:footnoteReference w:id="1591"/>
      </w:r>
    </w:p>
    <w:p>
      <w:pPr>
        <w:numPr>
          <w:ilvl w:val="0"/>
          <w:numId w:val="1012"/>
        </w:numPr>
      </w:pPr>
      <w:r>
        <w:t xml:space="preserve">神学家之间的</w:t>
      </w:r>
      <w:r>
        <w:rPr>
          <w:i/>
          <w:iCs/>
        </w:rPr>
        <w:t xml:space="preserve">对话</w:t>
      </w:r>
      <w:r>
        <w:t xml:space="preserve">，以及不同教会和团体的基督徒之间的会晤；</w:t>
      </w:r>
      <w:r>
        <w:rPr>
          <w:rStyle w:val="FootnoteReference"/>
        </w:rPr>
        <w:footnoteReference w:id="1592"/>
      </w:r>
    </w:p>
    <w:p>
      <w:pPr>
        <w:numPr>
          <w:ilvl w:val="0"/>
          <w:numId w:val="1012"/>
        </w:numPr>
      </w:pPr>
      <w:r>
        <w:t xml:space="preserve">基督徒在服务人类的各个领域中的</w:t>
      </w:r>
      <w:r>
        <w:rPr>
          <w:i/>
          <w:iCs/>
        </w:rPr>
        <w:t xml:space="preserve">合作</w:t>
      </w:r>
      <w:r>
        <w:t xml:space="preserve">。</w:t>
      </w:r>
      <w:r>
        <w:rPr>
          <w:rStyle w:val="FootnoteReference"/>
        </w:rPr>
        <w:footnoteReference w:id="1593"/>
      </w:r>
    </w:p>
    <w:p>
      <w:pPr>
        <w:pStyle w:val="FirstParagraph"/>
      </w:pPr>
      <w:r>
        <w:t xml:space="preserve">追求合一「关系到整个教会，包括信徒和神职人员」。</w:t>
      </w:r>
      <w:r>
        <w:rPr>
          <w:rStyle w:val="FootnoteReference"/>
        </w:rPr>
        <w:footnoteReference w:id="1594"/>
      </w:r>
      <w:r>
        <w:t xml:space="preserve">但我们必须认识到「这个神圣目标——所有基督徒在基督独一教会中的合一——超越了人的能力和恩赐」。这就是为什么我们把所有希望都「寄托在基督为教会的祈祷中，在天父对我们的爱中，在圣灵的能力中」。</w:t>
      </w:r>
      <w:r>
        <w:rPr>
          <w:rStyle w:val="FootnoteReference"/>
        </w:rPr>
        <w:footnoteReference w:id="1595"/>
      </w:r>
    </w:p>
    <w:bookmarkEnd w:id="1596"/>
    <w:bookmarkStart w:id="1607" w:name="二教会是圣洁的"/>
    <w:p>
      <w:pPr>
        <w:pStyle w:val="Heading6"/>
      </w:pPr>
      <w:r>
        <w:t xml:space="preserve">二、教会是圣洁的</w:t>
      </w:r>
    </w:p>
    <w:p>
      <w:pPr>
        <w:pStyle w:val="FirstParagraph"/>
      </w:pPr>
      <w:r>
        <w:t xml:space="preserve">「教会……我们用信心宣认是永远圣洁的。这是因为基督，神的圣子，与圣父、圣灵一起被尊为『独一圣者』，他爱教会如同新娘，为她舍己使她成圣；他使她与自己结合为身体，并为了神的荣耀赐给她圣灵的恩赐」。</w:t>
      </w:r>
      <w:r>
        <w:rPr>
          <w:rStyle w:val="FootnoteReference"/>
        </w:rPr>
        <w:footnoteReference w:id="1597"/>
      </w:r>
      <w:r>
        <w:t xml:space="preserve">因此，教会是「神的圣民」，</w:t>
      </w:r>
      <w:r>
        <w:rPr>
          <w:rStyle w:val="FootnoteReference"/>
        </w:rPr>
        <w:footnoteReference w:id="1598"/>
      </w:r>
      <w:r>
        <w:t xml:space="preserve">她的成员被称为「圣徒」。</w:t>
      </w:r>
      <w:r>
        <w:rPr>
          <w:rStyle w:val="FootnoteReference"/>
        </w:rPr>
        <w:footnoteReference w:id="1599"/>
      </w:r>
    </w:p>
    <w:p>
      <w:pPr>
        <w:pStyle w:val="BodyText"/>
      </w:pPr>
      <w:r>
        <w:t xml:space="preserve">教会与基督结合，为他所圣化；藉着他并与他同在，她成为圣化他人的工具。「教会的一切活动都以基督中人的洁净和神的荣耀为其终向。」</w:t>
      </w:r>
      <w:r>
        <w:rPr>
          <w:rStyle w:val="FootnoteReference"/>
        </w:rPr>
        <w:footnoteReference w:id="1600"/>
      </w:r>
      <w:r>
        <w:t xml:space="preserve">正是在教会中「救恩方法的完整性」</w:t>
      </w:r>
      <w:r>
        <w:rPr>
          <w:rStyle w:val="FootnoteReference"/>
        </w:rPr>
        <w:footnoteReference w:id="1601"/>
      </w:r>
      <w:r>
        <w:t xml:space="preserve">被保存下来。正是在她内「藉着神的恩典我们获得洁净」。</w:t>
      </w:r>
      <w:r>
        <w:rPr>
          <w:rStyle w:val="FootnoteReference"/>
        </w:rPr>
        <w:footnoteReference w:id="1602"/>
      </w:r>
    </w:p>
    <w:p>
      <w:pPr>
        <w:pStyle w:val="BodyText"/>
      </w:pPr>
      <w:r>
        <w:t xml:space="preserve">「在世的教会已被赋予真实但尚未完满的洁净。」</w:t>
      </w:r>
      <w:r>
        <w:rPr>
          <w:rStyle w:val="FootnoteReference"/>
        </w:rPr>
        <w:footnoteReference w:id="1603"/>
      </w:r>
      <w:r>
        <w:t xml:space="preserve">在她的成员中，完全的洁净仍有待获得：「藉着如此众多且伟大的救恩方法的强化，所有信徒，无论其处境或状态如何——虽各有其途径——都被主召叫去追求圣父本身所具有的完全。」</w:t>
      </w:r>
      <w:r>
        <w:rPr>
          <w:rStyle w:val="FootnoteReference"/>
        </w:rPr>
        <w:footnoteReference w:id="1604"/>
      </w:r>
    </w:p>
    <w:p>
      <w:pPr>
        <w:pStyle w:val="BodyText"/>
      </w:pPr>
      <w:r>
        <w:t xml:space="preserve">爱德是所有人蒙召达到的洁净的灵魂：它「统领、塑造并完善所有使人得洁净的方法」。</w:t>
      </w:r>
      <w:r>
        <w:rPr>
          <w:rStyle w:val="FootnoteReference"/>
        </w:rPr>
        <w:footnoteReference w:id="1605"/>
      </w:r>
    </w:p>
    <w:p>
      <w:pPr>
        <w:pStyle w:val="BodyText"/>
      </w:pPr>
      <w:r>
        <w:t xml:space="preserve">如果教会是由不同肢体组成的身体，就不能缺少最高贵的部分；</w:t>
      </w:r>
      <w:r>
        <w:rPr>
          <w:i/>
          <w:iCs/>
        </w:rPr>
        <w:t xml:space="preserve">她必须有一颗心，一颗燃烧着爱的心</w:t>
      </w:r>
      <w:r>
        <w:t xml:space="preserve">。我认识到</w:t>
      </w:r>
      <w:r>
        <w:rPr>
          <w:i/>
          <w:iCs/>
        </w:rPr>
        <w:t xml:space="preserve">唯有这爱</w:t>
      </w:r>
      <w:r>
        <w:t xml:space="preserve">才是推动教会其他肢体行动的真正动力；如果它停止运作，使徒们就会忘记传福音，殉道者就会拒绝流血。事实上，爱是包含一切圣召的圣召；它是自成一体的宇宙，涵盖所有时间和空间——它是永恒的！</w:t>
      </w:r>
      <w:r>
        <w:rPr>
          <w:rStyle w:val="FootnoteReference"/>
        </w:rPr>
        <w:footnoteReference w:id="1606"/>
      </w:r>
    </w:p>
    <w:p>
      <w:pPr>
        <w:pStyle w:val="BodyText"/>
      </w:pPr>
      <w:r>
        <w:t xml:space="preserve">基督『圣洁、无邪、无玷污』，不知罪为何物，来只是为赎人的罪。然而教会怀抱罪人在胸，既是圣洁的又常需净化，不断走在悔改和更新的道路上。教会所有成员，包括她的圣职人员，都必须承认自己是罪人。在每个人身上，罪的稗子都要与福音的好麦子混杂在一起，直到时间的终结。因此，教会聚集已在基督救恩中但仍在追求圣洁道路上的罪人：</w:t>
      </w:r>
    </w:p>
    <w:p>
      <w:pPr>
        <w:pStyle w:val="BodyText"/>
      </w:pPr>
      <w:r>
        <w:t xml:space="preserve">因此教会是圣洁的，尽管她中间有罪人，因为她自己除了恩典的生命外别无他生。如果他们活出她的生命，她的成员就成为圣洁；如果他们远离她的生命，就会陷入罪恶和混乱，阻碍她圣洁的光芒。这就是为什么她为这些过犯受苦并做补赎，她有能力藉着基督的宝血和圣灵的恩赐使她的子女从这些过犯中得释放。</w:t>
      </w:r>
    </w:p>
    <w:p>
      <w:pPr>
        <w:pStyle w:val="BodyText"/>
      </w:pPr>
      <w:r>
        <w:t xml:space="preserve">通过册封某些信徒为圣人，即庄严地宣布他们实践了英勇的德行并忠实地活在神的恩典中，教会认可在她内圣洁之灵的力量，并通过将圣人作为典范和代祷者来维系信徒的希望。圣人们一直是教会历史最艰难时刻更新的源头和起点。确实，圣德是她使徒工作和传教热忱的隐藏源泉和无误尺度。</w:t>
      </w:r>
    </w:p>
    <w:p>
      <w:pPr>
        <w:pStyle w:val="BodyText"/>
      </w:pPr>
      <w:r>
        <w:t xml:space="preserve">但当教会在荣福童贞女身上已达到那无瑕无疵的完全境界时，信徒们仍在努力战胜罪恶、在圣洁上日益增长。因此他们转目仰望马利亚：在她身上，教会已是至圣的。</w:t>
      </w:r>
    </w:p>
    <w:bookmarkEnd w:id="1607"/>
    <w:bookmarkStart w:id="1655" w:name="三教会是大公的"/>
    <w:p>
      <w:pPr>
        <w:pStyle w:val="Heading6"/>
      </w:pPr>
      <w:r>
        <w:t xml:space="preserve">三、教会是大公的</w:t>
      </w:r>
    </w:p>
    <w:p>
      <w:pPr>
        <w:pStyle w:val="FirstParagraph"/>
      </w:pPr>
      <w:r>
        <w:rPr>
          <w:i/>
          <w:iCs/>
        </w:rPr>
        <w:t xml:space="preserve">「大公」是什么意思？</w:t>
      </w:r>
    </w:p>
    <w:p>
      <w:pPr>
        <w:pStyle w:val="BodyText"/>
      </w:pPr>
      <w:r>
        <w:t xml:space="preserve">「大公」一词意为「普世的」，即「按照整体」或「与整体相符」的意思。教会在双重意义上是大公的：首先，教会是大公的因为基督临在其中。「哪里有基督耶稣，哪里就有大公教会。」</w:t>
      </w:r>
      <w:r>
        <w:rPr>
          <w:rStyle w:val="FootnoteReference"/>
        </w:rPr>
        <w:footnoteReference w:id="1608"/>
      </w:r>
      <w:r>
        <w:t xml:space="preserve">在她内存在着与元首结合的基督身体的完整性；这意味着她从他那里领受了他所愿赐的「救恩方法的完整性」</w:t>
      </w:r>
      <w:r>
        <w:rPr>
          <w:rStyle w:val="FootnoteReference"/>
        </w:rPr>
        <w:footnoteReference w:id="1609"/>
      </w:r>
      <w:r>
        <w:t xml:space="preserve">：正确完整的信仰宣认、完整的圣事生活，以及使徒中的圣职。教会在这个根本意义上，从五旬节那天起就是大公的</w:t>
      </w:r>
      <w:r>
        <w:rPr>
          <w:rStyle w:val="FootnoteReference"/>
        </w:rPr>
        <w:footnoteReference w:id="1610"/>
      </w:r>
      <w:r>
        <w:t xml:space="preserve">，并将一直如此直到主再来之日。</w:t>
      </w:r>
    </w:p>
    <w:p>
      <w:pPr>
        <w:pStyle w:val="BodyText"/>
      </w:pPr>
      <w:r>
        <w:t xml:space="preserve">其次，教会是大公的因为基督差遣她向全人类传教：</w:t>
      </w:r>
      <w:r>
        <w:rPr>
          <w:rStyle w:val="FootnoteReference"/>
        </w:rPr>
        <w:footnoteReference w:id="1611"/>
      </w:r>
    </w:p>
    <w:p>
      <w:pPr>
        <w:pStyle w:val="BodyText"/>
      </w:pPr>
      <w:r>
        <w:t xml:space="preserve">所有人都被召属于新的神的子民。因此这子民，虽然始终是独一无二的，却要传遍全世界、历经万代，为要完成神旨意的计划：他起初造人性为一，并命定他所有分散的儿女最终要聚集归一。……装饰神子民的普世性特征是主自己的恩赐，藉此大公教会在基督元首治下、在他圣灵的合一中，不断有效地寻求全人类及其一切美善的归回。</w:t>
      </w:r>
      <w:r>
        <w:rPr>
          <w:rStyle w:val="FootnoteReference"/>
        </w:rPr>
        <w:footnoteReference w:id="1612"/>
      </w:r>
    </w:p>
    <w:p>
      <w:pPr>
        <w:pStyle w:val="BodyText"/>
      </w:pPr>
      <w:r>
        <w:rPr>
          <w:i/>
          <w:iCs/>
        </w:rPr>
        <w:t xml:space="preserve">每个地方教会都是「大公的」</w:t>
      </w:r>
    </w:p>
    <w:p>
      <w:pPr>
        <w:pStyle w:val="BodyText"/>
      </w:pPr>
      <w:r>
        <w:t xml:space="preserve">「基督的教会真实地临在于所有合法组织的信徒地方团体中，这些团体只要与他们的牧者联合，在新约中也恰当地被称为教会。……在这些团体中，信徒藉着基督福音的宣讲聚集在一起，并举行主的圣餐奥秘。……在这些团体中，虽然它们常常是小而贫穷的，或散居各处，基督都临在其中，藉着他的能力和影响，构成了独一、圣洁、大公、使徒的教会。」</w:t>
      </w:r>
      <w:r>
        <w:rPr>
          <w:rStyle w:val="FootnoteReference"/>
        </w:rPr>
        <w:footnoteReference w:id="1613"/>
      </w:r>
    </w:p>
    <w:p>
      <w:pPr>
        <w:pStyle w:val="BodyText"/>
      </w:pPr>
      <w:r>
        <w:t xml:space="preserve">「地方教会」一词，首先是指教区（或主教区），指的是在信仰和圣事上与其经使徒祝圣的主教共融的基督信徒团体。</w:t>
      </w:r>
      <w:r>
        <w:rPr>
          <w:rStyle w:val="FootnoteReference"/>
        </w:rPr>
        <w:footnoteReference w:id="1614"/>
      </w:r>
      <w:r>
        <w:t xml:space="preserve">这些地方教会「是按普世教会的模式建立的；在这些教会之内并由这些教会构成了独一的大公教会。」</w:t>
      </w:r>
      <w:r>
        <w:rPr>
          <w:rStyle w:val="FootnoteReference"/>
        </w:rPr>
        <w:footnoteReference w:id="1615"/>
      </w:r>
    </w:p>
    <w:p>
      <w:pPr>
        <w:pStyle w:val="BodyText"/>
      </w:pPr>
      <w:r>
        <w:t xml:space="preserve">地方教会藉着与其中之一，即「以爱德主持」的罗马教会的共融而完全地体现大公性。</w:t>
      </w:r>
      <w:r>
        <w:rPr>
          <w:rStyle w:val="FootnoteReference"/>
        </w:rPr>
        <w:footnoteReference w:id="1616"/>
      </w:r>
      <w:r>
        <w:t xml:space="preserve">「因为由于这教会的卓越地位，普世教会，就是各处的信徒，必须与她保持一致。」</w:t>
      </w:r>
      <w:r>
        <w:rPr>
          <w:rStyle w:val="FootnoteReference"/>
        </w:rPr>
        <w:footnoteReference w:id="1617"/>
      </w:r>
      <w:r>
        <w:t xml:space="preserve">确实，「自从圣言降生到我们中间以来，各处的基督教会都认定并持守这里的［罗马］大教会为他们唯一的基础，因为按照救主的应许，阴间的门从未胜过她。」</w:t>
      </w:r>
      <w:r>
        <w:rPr>
          <w:rStyle w:val="FootnoteReference"/>
        </w:rPr>
        <w:footnoteReference w:id="1618"/>
      </w:r>
    </w:p>
    <w:p>
      <w:pPr>
        <w:pStyle w:val="BodyText"/>
      </w:pPr>
      <w:r>
        <w:t xml:space="preserve">「我们要非常谨慎，不要把普世教会理解为简单的总和，或……本质上不同的地方教会或多或少反常的联合。在主的心意中，教会按其圣召和使命是普世性的，但当她扎根于各种文化、社会和人文环境中时，她在世界各地呈现出不同的外在表达和形态。」</w:t>
      </w:r>
      <w:r>
        <w:rPr>
          <w:rStyle w:val="FootnoteReference"/>
        </w:rPr>
        <w:footnoteReference w:id="1619"/>
      </w:r>
      <w:r>
        <w:t xml:space="preserve">地方教会特有的教会纪律、礼仪仪式和神学灵修传统的丰富多样性「在共同努力中合而为一，更加光辉地显示了未分裂教会的大公性。」</w:t>
      </w:r>
      <w:r>
        <w:rPr>
          <w:rStyle w:val="FootnoteReference"/>
        </w:rPr>
        <w:footnoteReference w:id="1620"/>
      </w:r>
    </w:p>
    <w:p>
      <w:pPr>
        <w:pStyle w:val="BodyText"/>
      </w:pPr>
      <w:r>
        <w:rPr>
          <w:i/>
          <w:iCs/>
        </w:rPr>
        <w:t xml:space="preserve">谁属于大公教会？</w:t>
      </w:r>
    </w:p>
    <w:p>
      <w:pPr>
        <w:pStyle w:val="BodyText"/>
      </w:pPr>
      <w:r>
        <w:t xml:space="preserve">「所有人都被召进入神子民的这种大公合一。……以不同方式属于或归向这合一的有：公教信徒、其他信仰基督的人，以及最后一切蒙神恩召得救的人类。」</w:t>
      </w:r>
      <w:r>
        <w:rPr>
          <w:rStyle w:val="FootnoteReference"/>
        </w:rPr>
        <w:footnoteReference w:id="1621"/>
      </w:r>
    </w:p>
    <w:p>
      <w:pPr>
        <w:pStyle w:val="BodyText"/>
      </w:pPr>
      <w:r>
        <w:t xml:space="preserve">「完全归入教会团体的，是那些具有基督之灵，接受教会的一切救恩方法和她的整个组织，并藉着信仰宣认、圣事、教会治理和共融的联系，在基督教会可见的结构中结合在一起的人，基督通过教宗和主教治理这教会。即使已归入教会，若不持守爱德的人也不能得救。这样的人虽留在教会怀中，但只是『形体上』而非『心灵上』。」</w:t>
      </w:r>
    </w:p>
    <w:p>
      <w:pPr>
        <w:pStyle w:val="BodyText"/>
      </w:pPr>
      <w:r>
        <w:t xml:space="preserve">「教会知道她以多种方式与那些虽享有基督徒之名，但不完全宣认公教信仰，或未在彼得继承人领导下保持合一或共融的受洗者相联系。那些信仰基督并已正当受洗的人，虽然不完全，但确实与公教会有某种共融。与东正教会的这种共融是如此深厚，离达到容许共同举行主的圣餐的圆满程度已所差无几。」</w:t>
      </w:r>
    </w:p>
    <w:p>
      <w:pPr>
        <w:pStyle w:val="BodyText"/>
      </w:pPr>
      <w:r>
        <w:rPr>
          <w:i/>
          <w:iCs/>
        </w:rPr>
        <w:t xml:space="preserve">教会与非基督徒</w:t>
      </w:r>
    </w:p>
    <w:p>
      <w:pPr>
        <w:pStyle w:val="BodyText"/>
      </w:pPr>
      <w:r>
        <w:t xml:space="preserve">那些尚未接受福音的人以不同方式与神的子民有关联。</w:t>
      </w:r>
    </w:p>
    <w:p>
      <w:pPr>
        <w:pStyle w:val="BodyText"/>
      </w:pPr>
      <w:r>
        <w:rPr>
          <w:i/>
          <w:iCs/>
        </w:rPr>
        <w:t xml:space="preserve">教会与犹太民族的关系</w:t>
      </w:r>
      <w:r>
        <w:t xml:space="preserve">。当教会深入探究自己的奥秘时，作为新约中神的子民的教会发现她与犹太民族的联系，</w:t>
      </w:r>
      <w:r>
        <w:rPr>
          <w:rStyle w:val="FootnoteReference"/>
        </w:rPr>
        <w:footnoteReference w:id="1622"/>
      </w:r>
      <w:r>
        <w:t xml:space="preserve">「最先听到神的道的人」。</w:t>
      </w:r>
      <w:r>
        <w:rPr>
          <w:rStyle w:val="FootnoteReference"/>
        </w:rPr>
        <w:footnoteReference w:id="1623"/>
      </w:r>
      <w:r>
        <w:t xml:space="preserve">犹太信仰与其他非基督宗教不同，已经是对神在旧约中启示的回应。属于犹太人的有「儿子的名分、荣耀、诸约、律法、敬拜和应许；列祖也是他们的，按肉身说，基督也是从他们出来的」，</w:t>
      </w:r>
      <w:r>
        <w:rPr>
          <w:rStyle w:val="FootnoteReference"/>
        </w:rPr>
        <w:footnoteReference w:id="1624"/>
      </w:r>
      <w:r>
        <w:t xml:space="preserve">「因为神的恩赐和选召是没有后悔的」。</w:t>
      </w:r>
      <w:r>
        <w:rPr>
          <w:rStyle w:val="FootnoteReference"/>
        </w:rPr>
        <w:footnoteReference w:id="1625"/>
      </w:r>
    </w:p>
    <w:p>
      <w:pPr>
        <w:pStyle w:val="BodyText"/>
      </w:pPr>
      <w:r>
        <w:t xml:space="preserve">当考虑到未来时，旧约的神的子民和新的神的子民趋向相似的目标：期待弥赛亚的来临（或回来）。但一个等待那位已死而复活、被认出为主和神的儿子的弥赛亚的回来；另一个等待一位特征直到时间终结仍然隐藏的弥赛亚的来临；后者的等待伴随着不认识或误解基督耶稣的戏剧性。</w:t>
      </w:r>
    </w:p>
    <w:p>
      <w:pPr>
        <w:pStyle w:val="BodyText"/>
      </w:pPr>
      <w:r>
        <w:rPr>
          <w:i/>
          <w:iCs/>
        </w:rPr>
        <w:t xml:space="preserve">教会与穆斯林的关系</w:t>
      </w:r>
      <w:r>
        <w:t xml:space="preserve">。「救恩计划也包括那些承认造物主的人，其中首先是穆斯林；他们宣称持守亚伯拉罕的信仰，与我们一起敬拜那位独一的、仁慈的神，人类在末日的审判者。」</w:t>
      </w:r>
      <w:r>
        <w:rPr>
          <w:rStyle w:val="FootnoteReference"/>
        </w:rPr>
        <w:footnoteReference w:id="1626"/>
      </w:r>
    </w:p>
    <w:p>
      <w:pPr>
        <w:pStyle w:val="BodyText"/>
      </w:pPr>
      <w:r>
        <w:rPr>
          <w:i/>
          <w:iCs/>
        </w:rPr>
        <w:t xml:space="preserve">教会与非基督宗教的联系</w:t>
      </w:r>
      <w:r>
        <w:t xml:space="preserve">首先在于人类共同的起源和终向：</w:t>
      </w:r>
    </w:p>
    <w:p>
      <w:pPr>
        <w:pStyle w:val="BodyText"/>
      </w:pPr>
      <w:r>
        <w:t xml:space="preserve">万国形成一个团体。这是因为所有人都源自神为充满全地而创造的同一族类，也因为所有人都共享同一终向，即神。他的眷顾、明显的善意和救恩计划延伸至所有人，直到选民聚集在圣城的那一天……</w:t>
      </w:r>
      <w:r>
        <w:rPr>
          <w:rStyle w:val="FootnoteReference"/>
        </w:rPr>
        <w:footnoteReference w:id="1627"/>
      </w:r>
    </w:p>
    <w:p>
      <w:pPr>
        <w:pStyle w:val="BodyText"/>
      </w:pPr>
      <w:r>
        <w:t xml:space="preserve">公教会承认其他宗教在影子和图像中寻找那位虽然未知却又临近的神，因为他赐予生命、气息和万物，愿意所有人得救。因此，教会视这些宗教中发现的一切善与真为「福音的准备，是那位光照万人使他们终能得生命者所赐」。</w:t>
      </w:r>
      <w:r>
        <w:rPr>
          <w:rStyle w:val="FootnoteReference"/>
        </w:rPr>
        <w:footnoteReference w:id="1628"/>
      </w:r>
    </w:p>
    <w:p>
      <w:pPr>
        <w:pStyle w:val="BodyText"/>
      </w:pPr>
      <w:r>
        <w:t xml:space="preserve">然而，在他们的宗教行为中，人也显示出使他们内在的神的形象受损的局限和错误：</w:t>
      </w:r>
    </w:p>
    <w:p>
      <w:pPr>
        <w:pStyle w:val="BodyText"/>
      </w:pPr>
      <w:r>
        <w:t xml:space="preserve">人常常被那恶者欺骗，在他们的推理上变为虚妄，将神的真实变为虚谎，去事奉受造之物，不事奉造物主。或者在这世上无神地生活、死亡，暴露在终极绝望之中。</w:t>
      </w:r>
      <w:r>
        <w:rPr>
          <w:rStyle w:val="FootnoteReference"/>
        </w:rPr>
        <w:footnoteReference w:id="1629"/>
      </w:r>
    </w:p>
    <w:p>
      <w:pPr>
        <w:pStyle w:val="BodyText"/>
      </w:pPr>
      <w:r>
        <w:t xml:space="preserve">为重聚他所有因罪而分散、迷失的儿女，圣父愿意召集全人类进入他圣子的教会。教会是人类必须重新发现其合一与救恩的地方。教会是「与神和好的世界」。她是那艘「在主十字架的满帆下，藉着圣灵的气息，在这世界上安全航行的方舟」。按照教父们所喜爱的另一个图像，她为诺亚方舟所预表，唯有它能从洪水中拯救。</w:t>
      </w:r>
    </w:p>
    <w:p>
      <w:pPr>
        <w:pStyle w:val="BodyText"/>
      </w:pPr>
      <w:r>
        <w:rPr>
          <w:i/>
          <w:iCs/>
        </w:rPr>
        <w:t xml:space="preserve">「教会之外无救恩」</w:t>
      </w:r>
    </w:p>
    <w:p>
      <w:pPr>
        <w:pStyle w:val="BodyText"/>
      </w:pPr>
      <w:r>
        <w:t xml:space="preserve">我们应如何理解这个常为教父们重复的断言？从积极的角度重新表述，这意味着所有救恩都是从作为元首的基督，通过作为他身体的教会而来：</w:t>
      </w:r>
    </w:p>
    <w:p>
      <w:pPr>
        <w:pStyle w:val="BodyText"/>
      </w:pPr>
      <w:r>
        <w:t xml:space="preserve">大公会议基于圣经和圣传教导说，现今在世旅途中的教会对救恩是必需的：唯一的基督是救恩的中保和道路；他藉着作为他身体的教会临在于我们中。他自己明确地断言信心和洗礼的必要性，由此同时确认了教会的必要性，人藉着洗礼如同通过一扇门进入教会。因此，凡知道公教会是神藉基督所建立的必需机构，而拒绝进入或留在其中的人，就不能得救。</w:t>
      </w:r>
    </w:p>
    <w:p>
      <w:pPr>
        <w:pStyle w:val="BodyText"/>
      </w:pPr>
      <w:r>
        <w:t xml:space="preserve">这个断言并非针对那些无过错而不认识基督和他的教会的人：</w:t>
      </w:r>
    </w:p>
    <w:p>
      <w:pPr>
        <w:pStyle w:val="BodyText"/>
      </w:pPr>
      <w:r>
        <w:t xml:space="preserve">那些无过错而不认识基督的福音或他的教会，但仍以诚心寻求神，并在恩典感动下，按照良心的指引尽力在行为上遵行他们所知的神的旨意的人——这些人也可能获得永恒的救恩。</w:t>
      </w:r>
      <w:r>
        <w:rPr>
          <w:rStyle w:val="FootnoteReference"/>
        </w:rPr>
        <w:footnoteReference w:id="1630"/>
      </w:r>
    </w:p>
    <w:p>
      <w:pPr>
        <w:pStyle w:val="BodyText"/>
      </w:pPr>
      <w:r>
        <w:t xml:space="preserve">「虽然神能用他自己知道的方式引导那些无过错而不知福音的人获得那没有就不能讨他喜悦的信心，教会仍有义务和神圣权利向所有人传福音。」</w:t>
      </w:r>
      <w:r>
        <w:rPr>
          <w:rStyle w:val="FootnoteReference"/>
        </w:rPr>
        <w:footnoteReference w:id="1631"/>
      </w:r>
    </w:p>
    <w:p>
      <w:pPr>
        <w:pStyle w:val="BodyText"/>
      </w:pPr>
      <w:r>
        <w:rPr>
          <w:i/>
          <w:iCs/>
        </w:rPr>
        <w:t xml:space="preserve">传教——教会大公性的要求</w:t>
      </w:r>
    </w:p>
    <w:p>
      <w:pPr>
        <w:pStyle w:val="BodyText"/>
      </w:pPr>
      <w:r>
        <w:t xml:space="preserve">「传教使命」。「教会被神派遣到万民中，作『普世救恩圣事』，为服从创立者的命令，也因其本质的普世性的要求，她努力向所有人传福音」：</w:t>
      </w:r>
      <w:r>
        <w:rPr>
          <w:rStyle w:val="FootnoteReference"/>
        </w:rPr>
        <w:footnoteReference w:id="1632"/>
      </w:r>
      <w:r>
        <w:t xml:space="preserve">「所以，你们要去，使万民作我的门徒，奉父、子、圣灵的名给他们施洗。凡我所吩咐你们的，都教训他们遵守，我就常与你们同在，直到世界的末了。」</w:t>
      </w:r>
      <w:r>
        <w:rPr>
          <w:rStyle w:val="FootnoteReference"/>
        </w:rPr>
        <w:footnoteReference w:id="1633"/>
      </w:r>
    </w:p>
    <w:p>
      <w:pPr>
        <w:pStyle w:val="BodyText"/>
      </w:pPr>
      <w:r>
        <w:t xml:space="preserve">「传教的起源和目的」。主的传教使命最终植根于至圣三位一体的永恒之爱：「在世的教会本质上就是传教性的，因为按照圣父的计划，她源自圣子和圣灵的使命。」</w:t>
      </w:r>
      <w:r>
        <w:rPr>
          <w:rStyle w:val="FootnoteReference"/>
        </w:rPr>
        <w:footnoteReference w:id="1634"/>
      </w:r>
      <w:r>
        <w:t xml:space="preserve">传教的终极目的无非是使人分享圣父与圣子在他们爱的圣灵内的共融。</w:t>
      </w:r>
      <w:r>
        <w:rPr>
          <w:rStyle w:val="FootnoteReference"/>
        </w:rPr>
        <w:footnoteReference w:id="1635"/>
      </w:r>
    </w:p>
    <w:p>
      <w:pPr>
        <w:pStyle w:val="BodyText"/>
      </w:pPr>
      <w:r>
        <w:t xml:space="preserve">「传教的动机」。教会在每个时代都从神对所有人的爱中领受她传教动力的责任和活力，「原来基督的爱激励我们」。</w:t>
      </w:r>
      <w:r>
        <w:rPr>
          <w:rStyle w:val="FootnoteReference"/>
        </w:rPr>
        <w:footnoteReference w:id="1636"/>
      </w:r>
      <w:r>
        <w:t xml:space="preserve">的确，神「愿意万人得救，明白真道」；</w:t>
      </w:r>
      <w:r>
        <w:rPr>
          <w:rStyle w:val="FootnoteReference"/>
        </w:rPr>
        <w:footnoteReference w:id="1637"/>
      </w:r>
      <w:r>
        <w:t xml:space="preserve">就是说，神愿意每个人通过认识真理而得救。救恩存在于真理中。那些顺从真理之灵感动的人已在救恩的道路上。但教会，这真理的受托者，必须主动满足他们的渴望，把真理带给他们。因为她相信神普世的救恩计划，教会必须是传教性的。</w:t>
      </w:r>
    </w:p>
    <w:p>
      <w:pPr>
        <w:pStyle w:val="BodyText"/>
      </w:pPr>
      <w:r>
        <w:t xml:space="preserve">「传教的道路」。圣灵是主角，是「教会整个使命的主要推动者」。</w:t>
      </w:r>
      <w:r>
        <w:rPr>
          <w:rStyle w:val="FootnoteReference"/>
        </w:rPr>
        <w:footnoteReference w:id="1638"/>
      </w:r>
      <w:r>
        <w:t xml:space="preserve">是他在传教的道路上引导教会。「这使命延续并在历史进程中展开基督的使命，他被派遣向穷人传福音；因此教会在基督圣灵的催促下，必须走基督自己所走的道路，一条贫穷和服从的道路，服务和自我牺牲以至于死的道路，他从这死亡中因复活而得胜。」</w:t>
      </w:r>
      <w:r>
        <w:rPr>
          <w:rStyle w:val="FootnoteReference"/>
        </w:rPr>
        <w:footnoteReference w:id="1639"/>
      </w:r>
      <w:r>
        <w:t xml:space="preserve">正如「殉道者的血是基督徒的种子」。</w:t>
      </w:r>
      <w:r>
        <w:rPr>
          <w:rStyle w:val="FootnoteReference"/>
        </w:rPr>
        <w:footnoteReference w:id="1640"/>
      </w:r>
    </w:p>
    <w:p>
      <w:pPr>
        <w:pStyle w:val="BodyText"/>
      </w:pPr>
      <w:r>
        <w:t xml:space="preserve">在她的朝圣旅途中，教会也经历了「她所宣讲的信息与那些受托传福音者的人性软弱之间的差距」。</w:t>
      </w:r>
      <w:r>
        <w:rPr>
          <w:rStyle w:val="FootnoteReference"/>
        </w:rPr>
        <w:footnoteReference w:id="1641"/>
      </w:r>
      <w:r>
        <w:t xml:space="preserve">神的子民只有走上「悔改和更新的道路」、「十字架的窄路」，才能扩展基督的国度。</w:t>
      </w:r>
      <w:r>
        <w:rPr>
          <w:rStyle w:val="FootnoteReference"/>
        </w:rPr>
        <w:footnoteReference w:id="1642"/>
      </w:r>
      <w:r>
        <w:t xml:space="preserve">因为「正如基督在贫穷和压迫中完成救赎工作，教会也蒙召走同样的道路，为要把救恩的果实传递给人」。</w:t>
      </w:r>
      <w:r>
        <w:rPr>
          <w:rStyle w:val="FootnoteReference"/>
        </w:rPr>
        <w:footnoteReference w:id="1643"/>
      </w:r>
    </w:p>
    <w:p>
      <w:pPr>
        <w:pStyle w:val="BodyText"/>
      </w:pPr>
      <w:r>
        <w:t xml:space="preserve">按其使命，「教会……与全人类同行，与世界共享同样的世上命运：她要在基督更新人类社会并将其转化为神的家庭的过程中，作酵母，作人类社会的灵魂」。</w:t>
      </w:r>
      <w:r>
        <w:rPr>
          <w:rStyle w:val="FootnoteReference"/>
        </w:rPr>
        <w:footnoteReference w:id="1644"/>
      </w:r>
      <w:r>
        <w:t xml:space="preserve">传教工作需要耐心。它始于向尚未信仰基督的民族和群体宣讲福音，</w:t>
      </w:r>
      <w:r>
        <w:rPr>
          <w:rStyle w:val="FootnoteReference"/>
        </w:rPr>
        <w:footnoteReference w:id="1645"/>
      </w:r>
      <w:r>
        <w:t xml:space="preserve">继而建立作为「神在世界临在标记」的基督徒团体，</w:t>
      </w:r>
      <w:r>
        <w:rPr>
          <w:rStyle w:val="FootnoteReference"/>
        </w:rPr>
        <w:footnoteReference w:id="1646"/>
      </w:r>
      <w:r>
        <w:t xml:space="preserve">并导向地方教会的建立。</w:t>
      </w:r>
      <w:r>
        <w:rPr>
          <w:rStyle w:val="FootnoteReference"/>
        </w:rPr>
        <w:footnoteReference w:id="1647"/>
      </w:r>
      <w:r>
        <w:t xml:space="preserve">如果福音要在每个民族的文化中成为血肉，就必须经过本地化的过程。</w:t>
      </w:r>
      <w:r>
        <w:rPr>
          <w:rStyle w:val="FootnoteReference"/>
        </w:rPr>
        <w:footnoteReference w:id="1648"/>
      </w:r>
      <w:r>
        <w:t xml:space="preserve">也会有失败的时候。「对于个人、群体和民族，教会只能逐步地接触和渗透他们，从而接纳他们进入大公的圆满中」。</w:t>
      </w:r>
      <w:r>
        <w:rPr>
          <w:rStyle w:val="FootnoteReference"/>
        </w:rPr>
        <w:footnoteReference w:id="1649"/>
      </w:r>
    </w:p>
    <w:p>
      <w:pPr>
        <w:pStyle w:val="BodyText"/>
      </w:pPr>
      <w:r>
        <w:t xml:space="preserve">教会的使命激励着为</w:t>
      </w:r>
      <w:r>
        <w:rPr>
          <w:i/>
          <w:iCs/>
        </w:rPr>
        <w:t xml:space="preserve">基督徒合一</w:t>
      </w:r>
      <w:r>
        <w:t xml:space="preserve">所作的努力。</w:t>
      </w:r>
      <w:r>
        <w:rPr>
          <w:rStyle w:val="FootnoteReference"/>
        </w:rPr>
        <w:footnoteReference w:id="1650"/>
      </w:r>
      <w:r>
        <w:t xml:space="preserve">确实，「基督徒之间的分裂使教会无法在那些虽因洗礼与她相连但尚未与她完全共融的子女身上实践其固有的大公性的圆满。此外，教会自己也更难在实际生活中完全表达其大公性的各个方面」。</w:t>
      </w:r>
      <w:r>
        <w:rPr>
          <w:rStyle w:val="FootnoteReference"/>
        </w:rPr>
        <w:footnoteReference w:id="1651"/>
      </w:r>
    </w:p>
    <w:p>
      <w:pPr>
        <w:pStyle w:val="BodyText"/>
      </w:pPr>
      <w:r>
        <w:t xml:space="preserve">传教任务意味着与那些尚未接受福音的人进行</w:t>
      </w:r>
      <w:r>
        <w:rPr>
          <w:i/>
          <w:iCs/>
        </w:rPr>
        <w:t xml:space="preserve">尊重的对话</w:t>
      </w:r>
      <w:r>
        <w:t xml:space="preserve">。</w:t>
      </w:r>
      <w:r>
        <w:rPr>
          <w:rStyle w:val="FootnoteReference"/>
        </w:rPr>
        <w:footnoteReference w:id="1652"/>
      </w:r>
      <w:r>
        <w:t xml:space="preserve">信徒能从这对话中获益，学会更好地欣赏「在各民族中发现的真理和恩典的因素，这些可以说是神隐秘的临在」。</w:t>
      </w:r>
      <w:r>
        <w:rPr>
          <w:rStyle w:val="FootnoteReference"/>
        </w:rPr>
        <w:footnoteReference w:id="1653"/>
      </w:r>
      <w:r>
        <w:t xml:space="preserve">他们向不知道福音的人宣讲好消息，为要巩固、完善并提升神分散在人类和各国中的真理与美善，并洁净其中的错误与邪恶，「为彰显神的荣耀，使魔鬼蒙羞，使人得到幸福」。</w:t>
      </w:r>
      <w:r>
        <w:rPr>
          <w:rStyle w:val="FootnoteReference"/>
        </w:rPr>
        <w:footnoteReference w:id="1654"/>
      </w:r>
    </w:p>
    <w:bookmarkEnd w:id="1655"/>
    <w:bookmarkStart w:id="1679" w:name="四教会是使徒的"/>
    <w:p>
      <w:pPr>
        <w:pStyle w:val="Heading6"/>
      </w:pPr>
      <w:r>
        <w:t xml:space="preserve">四、教会是使徒的</w:t>
      </w:r>
    </w:p>
    <w:p>
      <w:pPr>
        <w:pStyle w:val="FirstParagraph"/>
      </w:pPr>
      <w:r>
        <w:t xml:space="preserve">教会是使徒的，因为她以三种方式建立在使徒之上：</w:t>
      </w:r>
    </w:p>
    <w:p>
      <w:pPr>
        <w:numPr>
          <w:ilvl w:val="0"/>
          <w:numId w:val="1013"/>
        </w:numPr>
      </w:pPr>
      <w:r>
        <w:t xml:space="preserve">她过去并继续建立在「使徒的根基」上，</w:t>
      </w:r>
      <w:r>
        <w:rPr>
          <w:rStyle w:val="FootnoteReference"/>
        </w:rPr>
        <w:footnoteReference w:id="1656"/>
      </w:r>
      <w:r>
        <w:t xml:space="preserve">这些使徒是基督亲自拣选并差遣的见证人；</w:t>
      </w:r>
      <w:r>
        <w:rPr>
          <w:rStyle w:val="FootnoteReference"/>
        </w:rPr>
        <w:footnoteReference w:id="1657"/>
      </w:r>
    </w:p>
    <w:p>
      <w:pPr>
        <w:numPr>
          <w:ilvl w:val="0"/>
          <w:numId w:val="1013"/>
        </w:numPr>
      </w:pPr>
      <w:r>
        <w:t xml:space="preserve">藉着内住的圣灵的帮助，教会保存并传递教导，</w:t>
      </w:r>
      <w:r>
        <w:rPr>
          <w:rStyle w:val="FootnoteReference"/>
        </w:rPr>
        <w:footnoteReference w:id="1658"/>
      </w:r>
      <w:r>
        <w:t xml:space="preserve">「美好的托付」，就是她从使徒那里听到的有益的话；</w:t>
      </w:r>
      <w:r>
        <w:rPr>
          <w:rStyle w:val="FootnoteReference"/>
        </w:rPr>
        <w:footnoteReference w:id="1659"/>
      </w:r>
    </w:p>
    <w:p>
      <w:pPr>
        <w:numPr>
          <w:ilvl w:val="0"/>
          <w:numId w:val="1013"/>
        </w:numPr>
      </w:pPr>
      <w:r>
        <w:t xml:space="preserve">她继续接受使徒的教导、圣化和引导，直到基督再来，这是通过他们在牧职上的继承人：主教团，「在祭司的协助下，与教会的最高牧者——彼得的继承人联合」：</w:t>
      </w:r>
      <w:r>
        <w:rPr>
          <w:rStyle w:val="FootnoteReference"/>
        </w:rPr>
        <w:footnoteReference w:id="1660"/>
      </w:r>
    </w:p>
    <w:p>
      <w:pPr>
        <w:pStyle w:val="FirstParagraph"/>
      </w:pPr>
      <w:r>
        <w:t xml:space="preserve">你是永恒的牧者，</w:t>
      </w:r>
      <w:r>
        <w:br/>
      </w:r>
      <w:r>
        <w:t xml:space="preserve">从不撇下你的羊群无人照管。</w:t>
      </w:r>
      <w:r>
        <w:br/>
      </w:r>
      <w:r>
        <w:t xml:space="preserve">藉着使徒，</w:t>
      </w:r>
      <w:r>
        <w:br/>
      </w:r>
      <w:r>
        <w:t xml:space="preserve">你时常看顾并保护我们。</w:t>
      </w:r>
      <w:r>
        <w:br/>
      </w:r>
      <w:r>
        <w:t xml:space="preserve">你立他们作群羊的牧者，</w:t>
      </w:r>
      <w:r>
        <w:br/>
      </w:r>
      <w:r>
        <w:t xml:space="preserve">分担你圣子的工作……</w:t>
      </w:r>
      <w:r>
        <w:rPr>
          <w:rStyle w:val="FootnoteReference"/>
        </w:rPr>
        <w:footnoteReference w:id="1661"/>
      </w:r>
    </w:p>
    <w:p>
      <w:pPr>
        <w:pStyle w:val="BodyText"/>
      </w:pPr>
      <w:r>
        <w:rPr>
          <w:i/>
          <w:iCs/>
        </w:rPr>
        <w:t xml:space="preserve">使徒的使命</w:t>
      </w:r>
    </w:p>
    <w:p>
      <w:pPr>
        <w:pStyle w:val="BodyText"/>
      </w:pPr>
      <w:r>
        <w:t xml:space="preserve">耶稣是圣父的使者。从他开始传道时，他就「叫他所愿意的人来；……就设立十二个人，称他们为使徒，要他们常和自己同在，也要差他们去传道。」</w:t>
      </w:r>
      <w:r>
        <w:rPr>
          <w:rStyle w:val="FootnoteReference"/>
        </w:rPr>
        <w:footnoteReference w:id="1662"/>
      </w:r>
      <w:r>
        <w:t xml:space="preserve">从那时起，他们也成为他的「使者」（希腊文</w:t>
      </w:r>
      <w:r>
        <w:rPr>
          <w:i/>
          <w:iCs/>
        </w:rPr>
        <w:t xml:space="preserve">apostoloi</w:t>
      </w:r>
      <w:r>
        <w:t xml:space="preserve">）。基督在他们身上继续他自己的使命：「父怎样差遣了我，我也照样差遣你们。」</w:t>
      </w:r>
      <w:r>
        <w:rPr>
          <w:rStyle w:val="FootnoteReference"/>
        </w:rPr>
        <w:footnoteReference w:id="1663"/>
      </w:r>
      <w:r>
        <w:t xml:space="preserve">使徒的职务是他使命的延续；耶稣对十二使徒说：「接待你们就是接待我。」</w:t>
      </w:r>
      <w:r>
        <w:rPr>
          <w:rStyle w:val="FootnoteReference"/>
        </w:rPr>
        <w:footnoteReference w:id="1664"/>
      </w:r>
    </w:p>
    <w:p>
      <w:pPr>
        <w:pStyle w:val="BodyText"/>
      </w:pPr>
      <w:r>
        <w:t xml:space="preserve">耶稣使他们与他从父所领受的使命联合。正如「子凭着自己不能做什么」，而是从差他来的父领受一切，照样，耶稣所差遣的人离了他也不能做什么，</w:t>
      </w:r>
      <w:r>
        <w:rPr>
          <w:rStyle w:val="FootnoteReference"/>
        </w:rPr>
        <w:footnoteReference w:id="1665"/>
      </w:r>
      <w:r>
        <w:t xml:space="preserve">他们从他那里领受了使命的托付和执行使命的能力。基督的使徒知道他们蒙神呼召作「新约的执事」、「神的用人」、「基督的使者」、「基督的仆人，神奥秘事的管家」。</w:t>
      </w:r>
      <w:r>
        <w:rPr>
          <w:rStyle w:val="FootnoteReference"/>
        </w:rPr>
        <w:footnoteReference w:id="1666"/>
      </w:r>
    </w:p>
    <w:p>
      <w:pPr>
        <w:pStyle w:val="BodyText"/>
      </w:pPr>
      <w:r>
        <w:t xml:space="preserve">使徒职务有一个不能传递的方面：作为主复活的特选见证人，因而成为教会的基石。但他们的职务也有一个永久的方面。基督应许常与他们同在。耶稣托付给他们的神圣使命「将持续到时间的终结，因为他们所传下的福音是教会一切生命持久的源泉。因此，……使徒们谨慎地任命了继承人。」</w:t>
      </w:r>
      <w:r>
        <w:rPr>
          <w:rStyle w:val="FootnoteReference"/>
        </w:rPr>
        <w:footnoteReference w:id="1667"/>
      </w:r>
    </w:p>
    <w:p>
      <w:pPr>
        <w:pStyle w:val="BodyText"/>
      </w:pPr>
      <w:r>
        <w:rPr>
          <w:i/>
          <w:iCs/>
        </w:rPr>
        <w:t xml:space="preserve">主教——使徒的继承人</w:t>
      </w:r>
    </w:p>
    <w:p>
      <w:pPr>
        <w:pStyle w:val="BodyText"/>
      </w:pPr>
      <w:r>
        <w:t xml:space="preserve">「为使托付给他们的使命在他们死后得以继续，［使徒们］好像立遗嘱般地把完成和巩固他们所开始的工作的责任托付给他们的直接合作者，劝勉他们照管全群，就是圣灵立他们作神的教会牧者的群羊。因此他们指定了这样的人，并规定在这些人死后，其他经过考验的人要接替他们的职务。」</w:t>
      </w:r>
      <w:r>
        <w:rPr>
          <w:rStyle w:val="FootnoteReference"/>
        </w:rPr>
        <w:footnoteReference w:id="1668"/>
      </w:r>
    </w:p>
    <w:p>
      <w:pPr>
        <w:pStyle w:val="BodyText"/>
      </w:pPr>
      <w:r>
        <w:t xml:space="preserve">「正如主单独托付给作为首位使徒的彼得、注定要传给其继承人的职务是永久的，同样，使徒们所领受的牧养教会的职务也持续存在，这职责注定要由主教的圣秩不间断地执行。」</w:t>
      </w:r>
      <w:r>
        <w:rPr>
          <w:rStyle w:val="FootnoteReference"/>
        </w:rPr>
        <w:footnoteReference w:id="1669"/>
      </w:r>
      <w:r>
        <w:t xml:space="preserve">因此教会教导说：「主教们是由神的制定接替使徒作为教会的牧者，谁听从他们就是听从基督，谁轻视他们就是轻视基督和那差遣基督的。」</w:t>
      </w:r>
      <w:r>
        <w:rPr>
          <w:rStyle w:val="FootnoteReference"/>
        </w:rPr>
        <w:footnoteReference w:id="1670"/>
      </w:r>
    </w:p>
    <w:p>
      <w:pPr>
        <w:pStyle w:val="BodyText"/>
      </w:pPr>
      <w:r>
        <w:rPr>
          <w:i/>
          <w:iCs/>
        </w:rPr>
        <w:t xml:space="preserve">使徒工作</w:t>
      </w:r>
    </w:p>
    <w:p>
      <w:pPr>
        <w:pStyle w:val="BodyText"/>
      </w:pPr>
      <w:r>
        <w:t xml:space="preserve">整个教会都是使徒的，因为她通过圣彼得和其他使徒的继承人，与其源头保持信仰和生命的共融；也因为她被「差遣」到全世界。教会所有成员都以不同方式分享这使命。「基督徒的圣召本质上也是使徒工作的圣召。」实际上，我们称「奥体的一切活动」为使徒工作，其目的是「在全地扩展基督的国度」。</w:t>
      </w:r>
      <w:r>
        <w:rPr>
          <w:rStyle w:val="FootnoteReference"/>
        </w:rPr>
        <w:footnoteReference w:id="1671"/>
      </w:r>
    </w:p>
    <w:p>
      <w:pPr>
        <w:pStyle w:val="BodyText"/>
      </w:pPr>
      <w:r>
        <w:t xml:space="preserve">「基督，天父所差遣的，是教会整个使徒工作的源头」；因此，无论是圣职人员还是平信徒的使徒工作的果效，明显都取决于他们与基督的生命结合。</w:t>
      </w:r>
      <w:r>
        <w:rPr>
          <w:rStyle w:val="FootnoteReference"/>
        </w:rPr>
        <w:footnoteReference w:id="1672"/>
      </w:r>
      <w:r>
        <w:t xml:space="preserve">根据他们的圣召、时代的需要和圣灵各样的恩赐，使徒工作呈现出最多样的形式。但爱德，尤其是从圣餐汲取的爱德，始终是「整个使徒工作的灵魂」。</w:t>
      </w:r>
      <w:r>
        <w:rPr>
          <w:rStyle w:val="FootnoteReference"/>
        </w:rPr>
        <w:footnoteReference w:id="1673"/>
      </w:r>
    </w:p>
    <w:p>
      <w:pPr>
        <w:pStyle w:val="BodyText"/>
      </w:pPr>
      <w:r>
        <w:t xml:space="preserve">教会在其最深层和最终的身份上是</w:t>
      </w:r>
      <w:r>
        <w:rPr>
          <w:i/>
          <w:iCs/>
        </w:rPr>
        <w:t xml:space="preserve">独一、圣洁、大公、使徒的</w:t>
      </w:r>
      <w:r>
        <w:t xml:space="preserve">，因为「天国」、「神的国」</w:t>
      </w:r>
      <w:r>
        <w:rPr>
          <w:rStyle w:val="FootnoteReference"/>
        </w:rPr>
        <w:footnoteReference w:id="1674"/>
      </w:r>
      <w:r>
        <w:t xml:space="preserve">已在她内存在，并将在时间终结时完全实现。这国度在基督的位格中已经来临，并在那些与他结合者的心中奥秘地成长，直到其终末的完全彰显。那时，所有他所救赎并使之「在他面前成为圣洁，无有瑕疵」</w:t>
      </w:r>
      <w:r>
        <w:rPr>
          <w:rStyle w:val="FootnoteReference"/>
        </w:rPr>
        <w:footnoteReference w:id="1675"/>
      </w:r>
      <w:r>
        <w:t xml:space="preserve">的人，将聚集成为神的唯一子民，「羔羊的新妇」，</w:t>
      </w:r>
      <w:r>
        <w:rPr>
          <w:rStyle w:val="FootnoteReference"/>
        </w:rPr>
        <w:footnoteReference w:id="1676"/>
      </w:r>
      <w:r>
        <w:t xml:space="preserve">「那由神那里从天而降的圣城耶路撒冷，城中有神的荣耀」。</w:t>
      </w:r>
      <w:r>
        <w:rPr>
          <w:rStyle w:val="FootnoteReference"/>
        </w:rPr>
        <w:footnoteReference w:id="1677"/>
      </w:r>
      <w:r>
        <w:t xml:space="preserve">因为「城墙有十二根基，根基上有</w:t>
      </w:r>
      <w:r>
        <w:rPr>
          <w:i/>
          <w:iCs/>
        </w:rPr>
        <w:t xml:space="preserve">羔羊十二使徒</w:t>
      </w:r>
      <w:r>
        <w:t xml:space="preserve">的名字」。</w:t>
      </w:r>
      <w:r>
        <w:rPr>
          <w:rStyle w:val="FootnoteReference"/>
        </w:rPr>
        <w:footnoteReference w:id="1678"/>
      </w:r>
    </w:p>
    <w:bookmarkEnd w:id="1679"/>
    <w:bookmarkStart w:id="1680" w:name="撮要"/>
    <w:p>
      <w:pPr>
        <w:pStyle w:val="Heading6"/>
      </w:pPr>
      <w:r>
        <w:t xml:space="preserve">撮要</w:t>
      </w:r>
    </w:p>
    <w:p>
      <w:pPr>
        <w:pStyle w:val="FirstParagraph"/>
      </w:pPr>
      <w:r>
        <w:t xml:space="preserve">教会是独一的：她承认一主，宣认一信仰，由一洗礼而生，形成独一的身体，由一圣灵赋予生命，为了一个盼望（参</w:t>
      </w:r>
      <w:r>
        <w:rPr>
          <w:i/>
          <w:iCs/>
        </w:rPr>
        <w:t xml:space="preserve">弗</w:t>
      </w:r>
      <w:r>
        <w:t xml:space="preserve">4:3-5），在这盼望实现时，一切分裂都将被克服。</w:t>
      </w:r>
    </w:p>
    <w:p>
      <w:pPr>
        <w:pStyle w:val="BodyText"/>
      </w:pPr>
      <w:r>
        <w:t xml:space="preserve">教会是圣洁的：至圣的神是她的创立者；基督，她的新郎，为使她成圣舍己；圣洁的圣灵赐给她生命。虽然她仍包含罪人，她是「由罪人组成的无罪者」。她的圣洁在圣徒身上闪耀；在马利亚身上她已完全圣洁。</w:t>
      </w:r>
    </w:p>
    <w:p>
      <w:pPr>
        <w:pStyle w:val="BodyText"/>
      </w:pPr>
      <w:r>
        <w:t xml:space="preserve">教会是大公的：她宣讲完整的信仰。她承载并施行全部的救恩方法。她被差遣到万民中。她向所有人说话。她涵盖所有时代。她「本质上就是传教性的」（</w:t>
      </w:r>
      <w:r>
        <w:rPr>
          <w:i/>
          <w:iCs/>
        </w:rPr>
        <w:t xml:space="preserve">AG</w:t>
      </w:r>
      <w:r>
        <w:t xml:space="preserve"> </w:t>
      </w:r>
      <w:r>
        <w:t xml:space="preserve">2）。</w:t>
      </w:r>
    </w:p>
    <w:p>
      <w:pPr>
        <w:pStyle w:val="BodyText"/>
      </w:pPr>
      <w:r>
        <w:t xml:space="preserve">教会是使徒的。她建立在永久的根基上：「羔羊的十二使徒」（</w:t>
      </w:r>
      <w:r>
        <w:rPr>
          <w:i/>
          <w:iCs/>
        </w:rPr>
        <w:t xml:space="preserve">启</w:t>
      </w:r>
      <w:r>
        <w:t xml:space="preserve">21：14）。她是不可摧毁的（参</w:t>
      </w:r>
      <w:r>
        <w:rPr>
          <w:i/>
          <w:iCs/>
        </w:rPr>
        <w:t xml:space="preserve">太</w:t>
      </w:r>
      <w:r>
        <w:t xml:space="preserve">16：18）。她在真理中无误地被支持：基督通过彼得和其他使徒治理她，这些使徒在他们的继承人——教宗和主教团中临在。</w:t>
      </w:r>
    </w:p>
    <w:p>
      <w:pPr>
        <w:pStyle w:val="BodyText"/>
      </w:pPr>
      <w:r>
        <w:t xml:space="preserve">「我们在信经中所宣认的基督的独一教会是一个、圣洁、大公、从使徒传下来的，……这教会存在于由彼得的继承人及与他共融的主教们所治理的公教会内。然而在她可见的范围以外，仍存在着许多圣化和真理的因素」（</w:t>
      </w:r>
      <w:r>
        <w:rPr>
          <w:i/>
          <w:iCs/>
        </w:rPr>
        <w:t xml:space="preserve">LG</w:t>
      </w:r>
      <w:r>
        <w:t xml:space="preserve"> </w:t>
      </w:r>
      <w:r>
        <w:t xml:space="preserve">8）。</w:t>
      </w:r>
    </w:p>
    <w:p>
      <w:r>
        <w:br w:type="page"/>
      </w:r>
    </w:p>
    <w:bookmarkEnd w:id="1680"/>
    <w:bookmarkEnd w:id="1681"/>
    <w:bookmarkStart w:id="1762" w:name="第四段基督的信徒圣统制平信徒奉献生活"/>
    <w:p>
      <w:pPr>
        <w:pStyle w:val="Heading5"/>
      </w:pPr>
      <w:r>
        <w:t xml:space="preserve">第四段、基督的信徒——圣统制、平信徒、奉献生活</w:t>
      </w:r>
    </w:p>
    <w:p>
      <w:pPr>
        <w:pStyle w:val="FirstParagraph"/>
      </w:pPr>
      <w:r>
        <w:t xml:space="preserve">「基督的信徒是那些因洗礼而被结合于基督，成为神的子民的人；为此，他们以自己的方式分享基督的祭司、先知和君王的职务，按照各自的身份，被呼召去完成神托付给教会在世上的使命。」</w:t>
      </w:r>
      <w:r>
        <w:rPr>
          <w:rStyle w:val="FootnoteReference"/>
        </w:rPr>
        <w:footnoteReference w:id="1682"/>
      </w:r>
    </w:p>
    <w:p>
      <w:pPr>
        <w:pStyle w:val="BodyText"/>
      </w:pPr>
      <w:r>
        <w:t xml:space="preserve">「基于在基督里的重生，所有基督信徒在尊严和行动上都享有真正的平等，藉此各按其身份和职务，共同建树基督的身体。」</w:t>
      </w:r>
      <w:r>
        <w:rPr>
          <w:rStyle w:val="FootnoteReference"/>
        </w:rPr>
        <w:footnoteReference w:id="1683"/>
      </w:r>
    </w:p>
    <w:p>
      <w:pPr>
        <w:pStyle w:val="BodyText"/>
      </w:pPr>
      <w:r>
        <w:t xml:space="preserve">主所愿意在他身体的肢体之间设立的差异，正是为了服务于教会的合一与使命。因为「在教会内有着不同的职务，但使命却是一致的。基督将教导、圣化和治理的职务，以自己的名义并凭藉自己的权柄托付给使徒们及其继承人。而平信徒却分享基督的祭司、先知和君王的职务；因此，在教会内和世界上，他们在整个神子民的使命中，担负自己的任务。」</w:t>
      </w:r>
      <w:r>
        <w:rPr>
          <w:rStyle w:val="FootnoteReference"/>
        </w:rPr>
        <w:footnoteReference w:id="1684"/>
      </w:r>
      <w:r>
        <w:t xml:space="preserve">最后，「在这两个群体（圣统制和平信徒）中，都有以特殊方式献身于神，并藉宣认福音劝谕而服务于教会救恩使命的基督信徒。」</w:t>
      </w:r>
      <w:r>
        <w:rPr>
          <w:rStyle w:val="FootnoteReference"/>
        </w:rPr>
        <w:footnoteReference w:id="1685"/>
      </w:r>
    </w:p>
    <w:bookmarkStart w:id="1758" w:name="一教会的圣统制"/>
    <w:p>
      <w:pPr>
        <w:pStyle w:val="Heading6"/>
      </w:pPr>
      <w:r>
        <w:t xml:space="preserve">一、教会的圣统制</w:t>
      </w:r>
    </w:p>
    <w:p>
      <w:pPr>
        <w:pStyle w:val="FirstParagraph"/>
      </w:pPr>
      <w:r>
        <w:rPr>
          <w:i/>
          <w:iCs/>
        </w:rPr>
        <w:t xml:space="preserve">为何需要教会的圣职？</w:t>
      </w:r>
    </w:p>
    <w:p>
      <w:pPr>
        <w:pStyle w:val="BodyText"/>
      </w:pPr>
      <w:r>
        <w:t xml:space="preserve">基督自己是教会内圣职的根源。他建立了教会，赋予她权柄和使命，指引她的方向和目标：</w:t>
      </w:r>
    </w:p>
    <w:p>
      <w:pPr>
        <w:pStyle w:val="BodyText"/>
      </w:pPr>
      <w:r>
        <w:t xml:space="preserve">为了牧养神的子民，并使其数目不断增加，基督在他的教会内设立了各种职务，以谋求整个团体的益处。实际上，那些被授予圣洁权力的职位持有人，是献身于促进他们弟兄姐妹的利益，使所有属于神的子民的人……都能获得救恩。</w:t>
      </w:r>
      <w:r>
        <w:rPr>
          <w:rStyle w:val="FootnoteReference"/>
        </w:rPr>
        <w:footnoteReference w:id="1686"/>
      </w:r>
    </w:p>
    <w:p>
      <w:pPr>
        <w:pStyle w:val="BodyText"/>
      </w:pPr>
      <w:r>
        <w:t xml:space="preserve">「未曾听见他，怎能信他呢？没有传道的，怎能听见呢？若没有奉差遣，怎能传道呢？」</w:t>
      </w:r>
      <w:r>
        <w:rPr>
          <w:rStyle w:val="FootnoteReference"/>
        </w:rPr>
        <w:footnoteReference w:id="1687"/>
      </w:r>
      <w:r>
        <w:t xml:space="preserve">没有人——无论个人还是团体——能向自己宣讲福音：「可见信道是从听道来的。」</w:t>
      </w:r>
      <w:r>
        <w:rPr>
          <w:rStyle w:val="FootnoteReference"/>
        </w:rPr>
        <w:footnoteReference w:id="1688"/>
      </w:r>
      <w:r>
        <w:t xml:space="preserve">没有人能给自己权柄和使命去宣讲福音。蒙主派遣的人，不是凭自己的权柄，而是凭基督的权柄讲话和行事；不是作为团体的一员，而是以基督的名义向团体讲话。没有人能将恩典赐给自己，恩典必须被赐予和供献。这一事实预设了恩典的执事，由基督授权和授能。主教和祭司从基督领受使命和能力（「圣权」），以</w:t>
      </w:r>
      <w:r>
        <w:rPr>
          <w:i/>
          <w:iCs/>
        </w:rPr>
        <w:t xml:space="preserve">基督元首的身份</w:t>
      </w:r>
      <w:r>
        <w:t xml:space="preserve">行事；执事领受力量，以礼仪、道和爱的</w:t>
      </w:r>
      <w:r>
        <w:rPr>
          <w:i/>
          <w:iCs/>
        </w:rPr>
        <w:t xml:space="preserve">服务</w:t>
      </w:r>
      <w:r>
        <w:t xml:space="preserve">，与主教及其祭司团体一起服务于神的子民。基督的使者凭神的恩典所行所施的，非靠自己的力量所能行所能施的，教会传统称之为「圣事」。的确，教会的圣职是藉一特别圣事而授予的。</w:t>
      </w:r>
    </w:p>
    <w:p>
      <w:pPr>
        <w:pStyle w:val="BodyText"/>
      </w:pPr>
      <w:r>
        <w:t xml:space="preserve">教会圣职的圣事性与</w:t>
      </w:r>
      <w:r>
        <w:rPr>
          <w:i/>
          <w:iCs/>
        </w:rPr>
        <w:t xml:space="preserve">其服务特性</w:t>
      </w:r>
      <w:r>
        <w:t xml:space="preserve">有内在联系。圣职人员完全依赖于赋予使命和权柄的基督，他们真正是「作基督耶稣仆人的」，</w:t>
      </w:r>
      <w:r>
        <w:rPr>
          <w:rStyle w:val="FootnoteReference"/>
        </w:rPr>
        <w:footnoteReference w:id="1689"/>
      </w:r>
      <w:r>
        <w:t xml:space="preserve">效法那为我们甘愿取了「奴仆的形状」的基督。</w:t>
      </w:r>
      <w:r>
        <w:rPr>
          <w:rStyle w:val="FootnoteReference"/>
        </w:rPr>
        <w:footnoteReference w:id="1690"/>
      </w:r>
      <w:r>
        <w:t xml:space="preserve">因为他们所服事的道和恩典不是他们自己的，而是基督为了他人赐给他们的，所以他们必须甘愿作众人的仆人。</w:t>
      </w:r>
      <w:r>
        <w:rPr>
          <w:rStyle w:val="FootnoteReference"/>
        </w:rPr>
        <w:footnoteReference w:id="1691"/>
      </w:r>
    </w:p>
    <w:p>
      <w:pPr>
        <w:pStyle w:val="BodyText"/>
      </w:pPr>
      <w:r>
        <w:t xml:space="preserve">同样，教会圣职的圣事性也具有</w:t>
      </w:r>
      <w:r>
        <w:rPr>
          <w:i/>
          <w:iCs/>
        </w:rPr>
        <w:t xml:space="preserve">集体性特征</w:t>
      </w:r>
      <w:r>
        <w:t xml:space="preserve">。事实上，从他圣职的开始，主耶稣就设立了十二人，作为「新以色列的种子和圣统制的开端」。</w:t>
      </w:r>
      <w:r>
        <w:rPr>
          <w:rStyle w:val="FootnoteReference"/>
        </w:rPr>
        <w:footnoteReference w:id="1692"/>
      </w:r>
      <w:r>
        <w:t xml:space="preserve">他们一同被拣选，也一同被派遣，他们兄弟般的合一是为服务所有信徒的友爱共融：他们要反映并见证神位格的共融。</w:t>
      </w:r>
      <w:r>
        <w:rPr>
          <w:rStyle w:val="FootnoteReference"/>
        </w:rPr>
        <w:footnoteReference w:id="1693"/>
      </w:r>
      <w:r>
        <w:t xml:space="preserve">为此，每位主教都在主教团内，与罗马主教——圣彼得的继承人和主教团之首——共融，行使自己的圣职。同样，祭司们也在教区的</w:t>
      </w:r>
      <w:r>
        <w:rPr>
          <w:i/>
          <w:iCs/>
        </w:rPr>
        <w:t xml:space="preserve">祭司团</w:t>
      </w:r>
      <w:r>
        <w:t xml:space="preserve">内，在主教的带领下行使圣职。</w:t>
      </w:r>
    </w:p>
    <w:p>
      <w:pPr>
        <w:pStyle w:val="BodyText"/>
      </w:pPr>
      <w:r>
        <w:t xml:space="preserve">最后，教会圣职的圣事性还具有</w:t>
      </w:r>
      <w:r>
        <w:rPr>
          <w:i/>
          <w:iCs/>
        </w:rPr>
        <w:t xml:space="preserve">个人性特征</w:t>
      </w:r>
      <w:r>
        <w:t xml:space="preserve">。虽然基督的圣职人员彼此共融地行动，但他们也总是以个人方式行动。每个人都蒙受个别呼召：「你跟从我吧」，</w:t>
      </w:r>
      <w:r>
        <w:rPr>
          <w:rStyle w:val="FootnoteReference"/>
        </w:rPr>
        <w:footnoteReference w:id="1694"/>
      </w:r>
      <w:r>
        <w:t xml:space="preserve">为能在共同使命中作个人见证，在赋予使命者面前承担个人责任，以「基督的位格」及为他人行事：「我奉父、子、圣灵的名，给你施洗……」；「我赦免你……」。</w:t>
      </w:r>
    </w:p>
    <w:p>
      <w:pPr>
        <w:pStyle w:val="BodyText"/>
      </w:pPr>
      <w:r>
        <w:t xml:space="preserve">因此，教会内的圣事性圣职是以基督的名义行使的服务。它具有个人性和集体形式的特点。这一点从主教团与其首领——圣彼得的继承人——之间的联系，以及每位主教对其地方教会的牧灵责任与全体主教团对普世教会的共同关怀之间的关系中可以明显看出。</w:t>
      </w:r>
    </w:p>
    <w:p>
      <w:pPr>
        <w:pStyle w:val="BodyText"/>
      </w:pPr>
      <w:r>
        <w:rPr>
          <w:i/>
          <w:iCs/>
        </w:rPr>
        <w:t xml:space="preserve">主教团及其首领——教宗</w:t>
      </w:r>
    </w:p>
    <w:p>
      <w:pPr>
        <w:pStyle w:val="BodyText"/>
      </w:pPr>
      <w:r>
        <w:t xml:space="preserve">基督呼召十二使徒时，「以团体或常设集会的形式设立了他们，并从他们中挑选了彼得作他们的首领。」</w:t>
      </w:r>
      <w:r>
        <w:rPr>
          <w:rStyle w:val="FootnoteReference"/>
        </w:rPr>
        <w:footnoteReference w:id="1695"/>
      </w:r>
      <w:r>
        <w:t xml:space="preserve">正如「按照主的设立，圣彼得和其他使徒组成一个使徒团，同样，罗马教宗作为彼得的继承人，与诸位主教作为使徒的继承人，彼此互相联系，互相结合。」</w:t>
      </w:r>
      <w:r>
        <w:rPr>
          <w:rStyle w:val="FootnoteReference"/>
        </w:rPr>
        <w:footnoteReference w:id="1696"/>
      </w:r>
    </w:p>
    <w:p>
      <w:pPr>
        <w:pStyle w:val="BodyText"/>
      </w:pPr>
      <w:r>
        <w:t xml:space="preserve">主单独选择了西门，给他起名叫彼得，立他为自己教会的「磐石」。他将自己教会的钥匙交给他，立他为全羊群的牧人。</w:t>
      </w:r>
      <w:r>
        <w:rPr>
          <w:rStyle w:val="FootnoteReference"/>
        </w:rPr>
        <w:footnoteReference w:id="1697"/>
      </w:r>
      <w:r>
        <w:t xml:space="preserve">「给彼得的捆绑和释放的职权，也赋予了与首领相结合的使徒团。」</w:t>
      </w:r>
      <w:r>
        <w:rPr>
          <w:rStyle w:val="FootnoteReference"/>
        </w:rPr>
        <w:footnoteReference w:id="1698"/>
      </w:r>
      <w:r>
        <w:t xml:space="preserve">彼得和其他使徒的这一牧灵职责属于教会的根基，并由主教们在教宗首席权下延续下去。</w:t>
      </w:r>
    </w:p>
    <w:p>
      <w:pPr>
        <w:pStyle w:val="BodyText"/>
      </w:pPr>
      <w:r>
        <w:rPr>
          <w:i/>
          <w:iCs/>
        </w:rPr>
        <w:t xml:space="preserve">教宗</w:t>
      </w:r>
      <w:r>
        <w:t xml:space="preserve">，罗马主教和圣彼得的继承人，「无论对主教们或对全体信徒而言，他都是永恒而有形可见的合一泉源与基础。」</w:t>
      </w:r>
      <w:r>
        <w:rPr>
          <w:rStyle w:val="FootnoteReference"/>
        </w:rPr>
        <w:footnoteReference w:id="1699"/>
      </w:r>
      <w:r>
        <w:t xml:space="preserve">「罗马教宗以基督代表的身份，以及整个教会的牧者的身份，对整个教会拥有完全、至高、普世的权力，这权力他随时可以不受阻碍地行使。」</w:t>
      </w:r>
      <w:r>
        <w:rPr>
          <w:rStyle w:val="FootnoteReference"/>
        </w:rPr>
        <w:footnoteReference w:id="1700"/>
      </w:r>
    </w:p>
    <w:p>
      <w:pPr>
        <w:pStyle w:val="BodyText"/>
      </w:pPr>
      <w:r>
        <w:t xml:space="preserve">「</w:t>
      </w:r>
      <w:r>
        <w:rPr>
          <w:i/>
          <w:iCs/>
        </w:rPr>
        <w:t xml:space="preserve">主教团或主教团体</w:t>
      </w:r>
      <w:r>
        <w:t xml:space="preserve">若不与罗马教宗——彼得的继承人——这一元首结合，就没有任何权力。」因此，这主教团「对普世教会拥有最高和完全的权力；但若没有罗马教宗的同意，就不能行使这权力。」</w:t>
      </w:r>
      <w:r>
        <w:rPr>
          <w:rStyle w:val="FootnoteReference"/>
        </w:rPr>
        <w:footnoteReference w:id="1701"/>
      </w:r>
    </w:p>
    <w:p>
      <w:pPr>
        <w:pStyle w:val="BodyText"/>
      </w:pPr>
      <w:r>
        <w:t xml:space="preserve">「主教团以庄严方式在大公会议中对普世教会行使权力。」</w:t>
      </w:r>
      <w:r>
        <w:rPr>
          <w:rStyle w:val="FootnoteReference"/>
        </w:rPr>
        <w:footnoteReference w:id="1702"/>
      </w:r>
      <w:r>
        <w:t xml:space="preserve">但是「若一届大公会议不为彼得的继承人所确认，或至少不被他认可，就决不能成其为大公会议。」</w:t>
      </w:r>
      <w:r>
        <w:rPr>
          <w:rStyle w:val="FootnoteReference"/>
        </w:rPr>
        <w:footnoteReference w:id="1703"/>
      </w:r>
    </w:p>
    <w:p>
      <w:pPr>
        <w:pStyle w:val="BodyText"/>
      </w:pPr>
      <w:r>
        <w:t xml:space="preserve">「这主教团由于由多位成员组成，表达了神子民的多样性和普世性；但就其在一个元首下集合而言，则表达了基督羊群的合一性。」</w:t>
      </w:r>
      <w:r>
        <w:rPr>
          <w:rStyle w:val="FootnoteReference"/>
        </w:rPr>
        <w:footnoteReference w:id="1704"/>
      </w:r>
    </w:p>
    <w:p>
      <w:pPr>
        <w:pStyle w:val="BodyText"/>
      </w:pPr>
      <w:r>
        <w:t xml:space="preserve">「作为个体的</w:t>
      </w:r>
      <w:r>
        <w:rPr>
          <w:i/>
          <w:iCs/>
        </w:rPr>
        <w:t xml:space="preserve">主教</w:t>
      </w:r>
      <w:r>
        <w:t xml:space="preserve">是他们所属地方教会内团结合一的有形泉源与基础。」</w:t>
      </w:r>
      <w:r>
        <w:rPr>
          <w:rStyle w:val="FootnoteReference"/>
        </w:rPr>
        <w:footnoteReference w:id="1705"/>
      </w:r>
      <w:r>
        <w:t xml:space="preserve">因此，在祭司和执事的协助下，他们「对交托给他们的神的子民的一部分，行使其牧灵职责」。</w:t>
      </w:r>
      <w:r>
        <w:rPr>
          <w:rStyle w:val="FootnoteReference"/>
        </w:rPr>
        <w:footnoteReference w:id="1706"/>
      </w:r>
      <w:r>
        <w:t xml:space="preserve">但作为主教团的成员，每位主教都分担对所有教会的关怀。</w:t>
      </w:r>
      <w:r>
        <w:rPr>
          <w:rStyle w:val="FootnoteReference"/>
        </w:rPr>
        <w:footnoteReference w:id="1707"/>
      </w:r>
      <w:r>
        <w:t xml:space="preserve">主教们首先「藉着妥善治理自己的教会，作为普世教会的一部分」，来实践这种关怀，从而「有助于整个奥体的福祉，而从另一角度看，这奥体就是由众教会组成的共同体」。</w:t>
      </w:r>
      <w:r>
        <w:rPr>
          <w:rStyle w:val="FootnoteReference"/>
        </w:rPr>
        <w:footnoteReference w:id="1708"/>
      </w:r>
      <w:r>
        <w:t xml:space="preserve">他们尤其关怀穷人、</w:t>
      </w:r>
      <w:r>
        <w:rPr>
          <w:rStyle w:val="FootnoteReference"/>
        </w:rPr>
        <w:footnoteReference w:id="1709"/>
      </w:r>
      <w:r>
        <w:t xml:space="preserve">为信仰而受迫害的人，以及在世界各地工作的传教士。</w:t>
      </w:r>
    </w:p>
    <w:p>
      <w:pPr>
        <w:pStyle w:val="BodyText"/>
      </w:pPr>
      <w:r>
        <w:t xml:space="preserve">文化背景相同的邻近地方教会组成教会省或称为宗主教区或地区的更大团体。</w:t>
      </w:r>
      <w:r>
        <w:rPr>
          <w:rStyle w:val="FootnoteReference"/>
        </w:rPr>
        <w:footnoteReference w:id="1710"/>
      </w:r>
      <w:r>
        <w:t xml:space="preserve">这些团体的主教可在主教会议或省级会议中聚会。「同样，目前的主教团也能以多种富有成效的方式，对团体精神的具体实现作出贡献。」</w:t>
      </w:r>
      <w:r>
        <w:rPr>
          <w:rStyle w:val="FootnoteReference"/>
        </w:rPr>
        <w:footnoteReference w:id="1711"/>
      </w:r>
    </w:p>
    <w:p>
      <w:pPr>
        <w:pStyle w:val="BodyText"/>
      </w:pPr>
      <w:r>
        <w:rPr>
          <w:i/>
          <w:iCs/>
        </w:rPr>
        <w:t xml:space="preserve">训导职</w:t>
      </w:r>
    </w:p>
    <w:p>
      <w:pPr>
        <w:pStyle w:val="BodyText"/>
      </w:pPr>
      <w:r>
        <w:t xml:space="preserve">主教，与祭司为同工，首要的任务是「向众人宣讲神的福音」，遵照主的命令。</w:t>
      </w:r>
      <w:r>
        <w:rPr>
          <w:rStyle w:val="FootnoteReference"/>
        </w:rPr>
        <w:footnoteReference w:id="1712"/>
      </w:r>
      <w:r>
        <w:t xml:space="preserve">他们是「信仰的先驱，为基督赢得新门徒；他们是具有基督权威的」使徒信仰的「真正导师」。</w:t>
      </w:r>
      <w:r>
        <w:rPr>
          <w:rStyle w:val="FootnoteReference"/>
        </w:rPr>
        <w:footnoteReference w:id="1713"/>
      </w:r>
    </w:p>
    <w:p>
      <w:pPr>
        <w:pStyle w:val="BodyText"/>
      </w:pPr>
      <w:r>
        <w:t xml:space="preserve">为了保持教会对使徒所传信仰的纯正，作为真理的基督愿意赋予教会分享他自己的无谬性。藉着「超自然的信仰意识」，在教会活生生的训导权指引下，神的子民「无误地坚持这信仰」。</w:t>
      </w:r>
      <w:r>
        <w:rPr>
          <w:rStyle w:val="FootnoteReference"/>
        </w:rPr>
        <w:footnoteReference w:id="1714"/>
      </w:r>
    </w:p>
    <w:p>
      <w:pPr>
        <w:pStyle w:val="BodyText"/>
      </w:pPr>
      <w:r>
        <w:t xml:space="preserve">训导权的使命与神在基督里与他子民所立的约的本质有关。训导权的任务是保护神的子民免于背离和叛教，并保证他们有客观的可能性无误地宣认真正的信仰。因此，训导权的牧灵职责旨在确保神的子民持守那使人获得自由的真理。为履行这一职责，基督赋予教会的牧者们在信仰和道德事务上的无谬神恩。这一神恩的运用有几种形式：</w:t>
      </w:r>
    </w:p>
    <w:p>
      <w:pPr>
        <w:pStyle w:val="BodyText"/>
      </w:pPr>
      <w:r>
        <w:t xml:space="preserve">「罗马教宗作为主教团的首领，当他以全体信徒的最高牧人和导师的身份，以确定的行为宣布一项关乎信仰或道德的教义时，就凭借其职位享有这种无谬性……。当主教团与彼得的继承人一起行使最高训导权时，尤其是在大公会议中，教会所获许诺的无谬性也临在于主教团。」</w:t>
      </w:r>
      <w:r>
        <w:rPr>
          <w:rStyle w:val="FootnoteReference"/>
        </w:rPr>
        <w:footnoteReference w:id="1715"/>
      </w:r>
      <w:r>
        <w:t xml:space="preserve">当教会藉其最高训导权提出一项教义「作为神所启示的真理而令人信从」，</w:t>
      </w:r>
      <w:r>
        <w:rPr>
          <w:rStyle w:val="FootnoteReference"/>
        </w:rPr>
        <w:footnoteReference w:id="1716"/>
      </w:r>
      <w:r>
        <w:t xml:space="preserve">并作为基督的教导时，这些定义「必须以信心的服从予以坚持」。</w:t>
      </w:r>
      <w:r>
        <w:rPr>
          <w:rStyle w:val="FootnoteReference"/>
        </w:rPr>
        <w:footnoteReference w:id="1717"/>
      </w:r>
      <w:r>
        <w:t xml:space="preserve">这种无谬性延伸至神的启示的宝库本身。</w:t>
      </w:r>
      <w:r>
        <w:rPr>
          <w:rStyle w:val="FootnoteReference"/>
        </w:rPr>
        <w:footnoteReference w:id="1718"/>
      </w:r>
    </w:p>
    <w:p>
      <w:pPr>
        <w:pStyle w:val="BodyText"/>
      </w:pPr>
      <w:r>
        <w:t xml:space="preserve">神的助佑也赐予使徒的继承人，他们与彼得的继承人共融施教，尤其是赐予罗马主教，即普世教会的牧者。当他们在行使平常训导权时，虽未达至不可错误的定义，也没有以「决定性方式」宣示，但所提出的教导有助于更好地理解信仰和道德方面的启示。对这平常训导，信徒「要以宗教的服从」</w:t>
      </w:r>
      <w:r>
        <w:rPr>
          <w:rStyle w:val="FootnoteReference"/>
        </w:rPr>
        <w:footnoteReference w:id="1719"/>
      </w:r>
      <w:r>
        <w:t xml:space="preserve">予以坚持，虽有别于信心的服从，但仍是信心服从的延伸。</w:t>
      </w:r>
    </w:p>
    <w:p>
      <w:pPr>
        <w:pStyle w:val="BodyText"/>
      </w:pPr>
      <w:r>
        <w:rPr>
          <w:i/>
          <w:iCs/>
        </w:rPr>
        <w:t xml:space="preserve">圣化职</w:t>
      </w:r>
    </w:p>
    <w:p>
      <w:pPr>
        <w:pStyle w:val="BodyText"/>
      </w:pPr>
      <w:r>
        <w:t xml:space="preserve">主教是「最高祭司恩典的管家」，</w:t>
      </w:r>
      <w:r>
        <w:rPr>
          <w:rStyle w:val="FootnoteReference"/>
        </w:rPr>
        <w:footnoteReference w:id="1720"/>
      </w:r>
      <w:r>
        <w:t xml:space="preserve">尤其在圣餐中，他亲自奉献或通过与他合作的祭司确保奉献。圣餐圣事是地方教会生活的中心。主教和祭司藉他们的祈祷和工作，藉他们的圣言和圣事职务，圣化教会。他们以身作则圣化教会，「不是辖制所托付你们的，乃是作群羊的榜样」。</w:t>
      </w:r>
      <w:r>
        <w:rPr>
          <w:rStyle w:val="FootnoteReference"/>
        </w:rPr>
        <w:footnoteReference w:id="1721"/>
      </w:r>
      <w:r>
        <w:t xml:space="preserve">如此，「偕同托付给他们的羊群，他们就能达于永生」。</w:t>
      </w:r>
      <w:r>
        <w:rPr>
          <w:rStyle w:val="FootnoteReference"/>
        </w:rPr>
        <w:footnoteReference w:id="1722"/>
      </w:r>
    </w:p>
    <w:p>
      <w:pPr>
        <w:pStyle w:val="BodyText"/>
      </w:pPr>
      <w:r>
        <w:rPr>
          <w:i/>
          <w:iCs/>
        </w:rPr>
        <w:t xml:space="preserve">治理职</w:t>
      </w:r>
    </w:p>
    <w:p>
      <w:pPr>
        <w:pStyle w:val="BodyText"/>
      </w:pPr>
      <w:r>
        <w:t xml:space="preserve">「主教们作为基督的代表和使者，以他们的劝告、劝勉和表率治理托付给他们的地方教会，但除此之外，也以权威和神圣权力」治理，而这权力的行使确实应以建树为目的，本着他们导师服务的精神。</w:t>
      </w:r>
      <w:r>
        <w:rPr>
          <w:rStyle w:val="FootnoteReference"/>
        </w:rPr>
        <w:footnoteReference w:id="1723"/>
      </w:r>
    </w:p>
    <w:p>
      <w:pPr>
        <w:pStyle w:val="BodyText"/>
      </w:pPr>
      <w:r>
        <w:t xml:space="preserve">「他们以基督的名义亲自行使的权力，是固有的、普通的和直接的，虽然其行使最终受教会最高权力的控制。」</w:t>
      </w:r>
      <w:r>
        <w:rPr>
          <w:rStyle w:val="FootnoteReference"/>
        </w:rPr>
        <w:footnoteReference w:id="1724"/>
      </w:r>
      <w:r>
        <w:t xml:space="preserve">但主教不应被视为教宗的代表。教宗对整个教会的普通和直接权威，并没有取消而是相反地确认并维护主教的权威。主教的权威必须在教宗的指引下与整个教会共融中行使。</w:t>
      </w:r>
    </w:p>
    <w:p>
      <w:pPr>
        <w:pStyle w:val="BodyText"/>
      </w:pPr>
      <w:r>
        <w:t xml:space="preserve">好牧人应当成为主教牧职的典范和「形式」。主教意识到自己的软弱，「对无知和犯错的人就会怜悯。他不该拒绝聆听自己的子民，他提拔他们的福祉如同自己的亲生儿女……信众……应当紧密地依附主教，如同教会依附于耶稣基督，如同耶稣基督依附于圣父」：</w:t>
      </w:r>
      <w:r>
        <w:rPr>
          <w:rStyle w:val="FootnoteReference"/>
        </w:rPr>
        <w:footnoteReference w:id="1725"/>
      </w:r>
    </w:p>
    <w:p>
      <w:pPr>
        <w:pStyle w:val="BodyText"/>
      </w:pPr>
      <w:r>
        <w:t xml:space="preserve">众人要跟随主教，如同耶稣基督跟随他的父；要跟随祭司团，如同使徒们一样；要尊重执事，如同神的律法。除非有主教的同意，任何人不可擅自处理教会的事务。</w:t>
      </w:r>
      <w:r>
        <w:rPr>
          <w:rStyle w:val="FootnoteReference"/>
        </w:rPr>
        <w:footnoteReference w:id="1726"/>
      </w:r>
    </w:p>
    <w:p>
      <w:pPr>
        <w:pStyle w:val="BodyText"/>
      </w:pPr>
      <w:r>
        <w:rPr>
          <w:i/>
          <w:iCs/>
        </w:rPr>
        <w:t xml:space="preserve">二、平信徒</w:t>
      </w:r>
    </w:p>
    <w:p>
      <w:pPr>
        <w:pStyle w:val="BodyText"/>
      </w:pPr>
      <w:r>
        <w:t xml:space="preserve">「平信徒一词在此是指所有除圣秩人员和属于教会认可的奉献生活的人以外的信徒。也就是说，藉着洗礼被结合于基督并融入神子民的信徒，以他们特有的方式分享基督的祭司、先知和君王的职分，并在教会和世界中，履行整个基督徒团体的使命中属于自己的部分。」</w:t>
      </w:r>
      <w:r>
        <w:rPr>
          <w:rStyle w:val="FootnoteReference"/>
        </w:rPr>
        <w:footnoteReference w:id="1727"/>
      </w:r>
    </w:p>
    <w:p>
      <w:pPr>
        <w:pStyle w:val="BodyText"/>
      </w:pPr>
      <w:r>
        <w:rPr>
          <w:i/>
          <w:iCs/>
        </w:rPr>
        <w:t xml:space="preserve">平信徒的圣召</w:t>
      </w:r>
    </w:p>
    <w:p>
      <w:pPr>
        <w:pStyle w:val="BodyText"/>
      </w:pPr>
      <w:r>
        <w:t xml:space="preserve">「平信徒按其特殊圣召的本性，就是要在处理世俗事务并按照神的旨意来安排这些事务中，寻求神的国。……他们尤其负有特殊任务，就是要如此光照和安排与他们密切相关的一切世俗事物，使这些事物常能按照基督的精神实现和发展，并归于造物主和救赎主的荣耀。」</w:t>
      </w:r>
      <w:r>
        <w:rPr>
          <w:rStyle w:val="FootnoteReference"/>
        </w:rPr>
        <w:footnoteReference w:id="1728"/>
      </w:r>
    </w:p>
    <w:p>
      <w:pPr>
        <w:pStyle w:val="BodyText"/>
      </w:pPr>
      <w:r>
        <w:t xml:space="preserve">平信徒的主动性尤其在于发现或发明方法，使社会、政治和经济的现实渗透基督信仰和生活的要求时，是必不可少的。这种主动性是教会生活中正常的一环：</w:t>
      </w:r>
    </w:p>
    <w:p>
      <w:pPr>
        <w:pStyle w:val="BodyText"/>
      </w:pPr>
      <w:r>
        <w:t xml:space="preserve">平信徒处于教会生活的前线；对他们来说，教会是人类社会的激励原则。因此，他们尤其应当越来越清晰地意识到，自己不仅是属于教会，而且就是教会，也就是说，是在教宗——共同元首——以及与他共融的主教们领导下的地上信徒团体。他们就是教会。</w:t>
      </w:r>
      <w:r>
        <w:rPr>
          <w:rStyle w:val="FootnoteReference"/>
        </w:rPr>
        <w:footnoteReference w:id="1729"/>
      </w:r>
    </w:p>
    <w:p>
      <w:pPr>
        <w:pStyle w:val="BodyText"/>
      </w:pPr>
      <w:r>
        <w:t xml:space="preserve">既然平信徒和所有信徒一样，因着洗礼和坚振，蒙神委以使徒职分，所以他们无论以个人身份，或组织团体，都有权利和义务致力于使神的救恩信息为全球所有人所认识和接受。当只有通过他们，人们才能听到福音并认识基督时，这项义务就更加迫切。他们在教会团体中的活动是如此必要，以致牧者们的使徒工作若没有他们的参与，大多不能完全发挥效用。</w:t>
      </w:r>
      <w:r>
        <w:rPr>
          <w:rStyle w:val="FootnoteReference"/>
        </w:rPr>
        <w:footnoteReference w:id="1730"/>
      </w:r>
    </w:p>
    <w:p>
      <w:pPr>
        <w:pStyle w:val="BodyText"/>
      </w:pPr>
      <w:r>
        <w:rPr>
          <w:i/>
          <w:iCs/>
        </w:rPr>
        <w:t xml:space="preserve">平信徒参与基督的祭司职分</w:t>
      </w:r>
    </w:p>
    <w:p>
      <w:pPr>
        <w:pStyle w:val="BodyText"/>
      </w:pPr>
      <w:r>
        <w:t xml:space="preserve">「因此，平信徒既然献身于基督，且由圣灵傅油，就奇妙地蒙召选，为使更丰富的圣灵果实在他们身上产生。事实上，他们所有的工作、祈祷和使徒工作，家庭和婚姻生活，日常劳作，身心的休息，如果是在圣灵内完成的——甚至生活中的困难若能忍耐地承担——这一切都成为藉耶稣基督而可悦纳于神的属灵祭献。在举行圣餐时，这些祭品最适合与主的身体一起奉献给圣父。这样，平信徒以他们神圣的行动，随处朝拜神，他们以自己生活的圣洁，把世界本身奉献给神。」</w:t>
      </w:r>
      <w:r>
        <w:rPr>
          <w:rStyle w:val="FootnoteReference"/>
        </w:rPr>
        <w:footnoteReference w:id="1731"/>
      </w:r>
    </w:p>
    <w:p>
      <w:pPr>
        <w:pStyle w:val="BodyText"/>
      </w:pPr>
      <w:r>
        <w:t xml:space="preserve">父母以一种非常特殊的方式，「以基督徒的精神过夫妻生活，并负起子女基督化教育的责任」，分担圣化的职务。</w:t>
      </w:r>
      <w:r>
        <w:rPr>
          <w:rStyle w:val="FootnoteReference"/>
        </w:rPr>
        <w:footnoteReference w:id="1732"/>
      </w:r>
    </w:p>
    <w:p>
      <w:pPr>
        <w:pStyle w:val="BodyText"/>
      </w:pPr>
      <w:r>
        <w:t xml:space="preserve">具备所需素质的平信徒，可被长期接纳担任读经员和辅祭员的职务。</w:t>
      </w:r>
      <w:r>
        <w:rPr>
          <w:rStyle w:val="FootnoteReference"/>
        </w:rPr>
        <w:footnoteReference w:id="1733"/>
      </w:r>
      <w:r>
        <w:t xml:space="preserve">在教会有需要且缺少圣职人员时，即使不是读经员或辅祭员的平信徒，也可以代行他们的某些职务，即执行圣言职务、主持礼仪祈祷、施行洗礼，以及按照法律的规定分送圣餐。</w:t>
      </w:r>
      <w:r>
        <w:rPr>
          <w:rStyle w:val="FootnoteReference"/>
        </w:rPr>
        <w:footnoteReference w:id="1734"/>
      </w:r>
    </w:p>
    <w:p>
      <w:pPr>
        <w:pStyle w:val="BodyText"/>
      </w:pPr>
      <w:r>
        <w:rPr>
          <w:i/>
          <w:iCs/>
        </w:rPr>
        <w:t xml:space="preserve">参与基督的先知职分</w:t>
      </w:r>
    </w:p>
    <w:p>
      <w:pPr>
        <w:pStyle w:val="BodyText"/>
      </w:pPr>
      <w:r>
        <w:t xml:space="preserve">「基督……不仅藉圣统制……而且也藉平信徒来履行这先知的职务。为此，基督使他们成为自己的见证人，赋予他们信心的感知[</w:t>
      </w:r>
      <w:r>
        <w:rPr>
          <w:i/>
          <w:iCs/>
        </w:rPr>
        <w:t xml:space="preserve">sensus fidei</w:t>
      </w:r>
      <w:r>
        <w:t xml:space="preserve">]并言语的恩典」</w:t>
      </w:r>
      <w:r>
        <w:rPr>
          <w:rStyle w:val="FootnoteReference"/>
        </w:rPr>
        <w:footnoteReference w:id="1735"/>
      </w:r>
    </w:p>
    <w:p>
      <w:pPr>
        <w:pStyle w:val="BodyText"/>
      </w:pPr>
      <w:r>
        <w:t xml:space="preserve">教导他人以引领他们归向信仰，是每一位宣讲者和每一位信徒的任务。</w:t>
      </w:r>
      <w:r>
        <w:rPr>
          <w:rStyle w:val="FootnoteReference"/>
        </w:rPr>
        <w:footnoteReference w:id="1736"/>
      </w:r>
    </w:p>
    <w:p>
      <w:pPr>
        <w:pStyle w:val="BodyText"/>
      </w:pPr>
      <w:r>
        <w:t xml:space="preserve">平信徒也藉传福音来履行他们的先知使命，「即以言语和生活的见证宣扬基督」。对平信徒来说，「这传福音……获得一种特性和特殊的有效性，因为它是在世界的普通环境中完成的」。</w:t>
      </w:r>
      <w:r>
        <w:rPr>
          <w:rStyle w:val="FootnoteReference"/>
        </w:rPr>
        <w:footnoteReference w:id="1737"/>
      </w:r>
    </w:p>
    <w:p>
      <w:pPr>
        <w:pStyle w:val="BodyText"/>
      </w:pPr>
      <w:r>
        <w:t xml:space="preserve">然而，生活的见证并非使徒工作的唯一要素；真正的使徒总是留意借言语宣扬基督的时机，或对非信徒或对信徒。</w:t>
      </w:r>
      <w:r>
        <w:rPr>
          <w:rStyle w:val="FootnoteReference"/>
        </w:rPr>
        <w:footnoteReference w:id="1738"/>
      </w:r>
    </w:p>
    <w:p>
      <w:pPr>
        <w:pStyle w:val="BodyText"/>
      </w:pPr>
      <w:r>
        <w:t xml:space="preserve">有能力且经过培训的平信徒，也可在教理讲授、教导神圣学科和运用传播媒体方面进行合作。</w:t>
      </w:r>
      <w:r>
        <w:rPr>
          <w:rStyle w:val="FootnoteReference"/>
        </w:rPr>
        <w:footnoteReference w:id="1739"/>
      </w:r>
    </w:p>
    <w:p>
      <w:pPr>
        <w:pStyle w:val="BodyText"/>
      </w:pPr>
      <w:r>
        <w:t xml:space="preserve">「平信徒按照自己所具有的知识、能力和地位，有权利，有时甚至有义务就有关教会利益的事项，向圣职人员表达自己的意见，并在保持信仰和道德的完整，尊重牧者，关注公益和个人尊严的前提下，向其他基督信徒阐明自己的意见。」</w:t>
      </w:r>
      <w:r>
        <w:rPr>
          <w:rStyle w:val="FootnoteReference"/>
        </w:rPr>
        <w:footnoteReference w:id="1740"/>
      </w:r>
    </w:p>
    <w:p>
      <w:pPr>
        <w:pStyle w:val="BodyText"/>
      </w:pPr>
      <w:r>
        <w:rPr>
          <w:i/>
          <w:iCs/>
        </w:rPr>
        <w:t xml:space="preserve">参与基督的君王职分</w:t>
      </w:r>
    </w:p>
    <w:p>
      <w:pPr>
        <w:pStyle w:val="BodyText"/>
      </w:pPr>
      <w:r>
        <w:t xml:space="preserve">基督以致死的顺服，</w:t>
      </w:r>
      <w:r>
        <w:rPr>
          <w:rStyle w:val="FootnoteReference"/>
        </w:rPr>
        <w:footnoteReference w:id="1741"/>
      </w:r>
      <w:r>
        <w:t xml:space="preserve">将君王自由的恩赐传给他的门徒，使他们能够「以圣洁生活的克己，战胜自己内心的罪恶统治」：</w:t>
      </w:r>
      <w:r>
        <w:rPr>
          <w:rStyle w:val="FootnoteReference"/>
        </w:rPr>
        <w:footnoteReference w:id="1742"/>
      </w:r>
    </w:p>
    <w:p>
      <w:pPr>
        <w:pStyle w:val="BodyText"/>
      </w:pPr>
      <w:r>
        <w:t xml:space="preserve">那人堪称为君王，他使自己的身体成为顺从的臣仆，以适度的严格管治自己，拒绝让自己的情绪在灵魂中滋生叛逆，因为他对自己行使一种君王般的权力。而且因为他懂得如君王般统治自己，他也能如法官般审判自己。他不让自己被罪恶所囚禁，或被邪恶所颠覆。</w:t>
      </w:r>
      <w:r>
        <w:rPr>
          <w:rStyle w:val="FootnoteReference"/>
        </w:rPr>
        <w:footnoteReference w:id="1743"/>
      </w:r>
    </w:p>
    <w:p>
      <w:pPr>
        <w:pStyle w:val="BodyText"/>
      </w:pPr>
      <w:r>
        <w:t xml:space="preserve">此外，当世界的制度和环境引诱人犯罪时，平信徒应通过团结力量使之符合正义的标准，有利于而不是妨碍德行的实践。如此，他们要把道德价值灌输到文化和人的工作中。</w:t>
      </w:r>
    </w:p>
    <w:p>
      <w:pPr>
        <w:pStyle w:val="BodyText"/>
      </w:pPr>
      <w:r>
        <w:t xml:space="preserve">平信徒也能感到蒙召，或事实上被召，为教会团体的成长和生活，与他们的牧者合作服务。这可藉着按照主乐意赐予他们的恩典和神恩，行使不同的职务来完成。</w:t>
      </w:r>
    </w:p>
    <w:p>
      <w:pPr>
        <w:pStyle w:val="BodyText"/>
      </w:pPr>
      <w:r>
        <w:t xml:space="preserve">在教会内，基督信徒平信徒能按法律的规定，在行使这项［管理］权力上给予合作。为此，教会规定他们出席地方议会、教区会议、牧灵委员会；行使堂区的牧灵工作，在财务委员会中合作，以及参与教会法庭等。</w:t>
      </w:r>
    </w:p>
    <w:p>
      <w:pPr>
        <w:pStyle w:val="BodyText"/>
      </w:pPr>
      <w:r>
        <w:t xml:space="preserve">信徒应细心区分他们作为教会成员和作为人类社会成员所拥有的权利和义务。他们要努力协调两者，记住在从事任何世俗事务时，都要以基督徒的良心为指引，因为即使属于世俗的事，也没有一样能脱离神的主权。</w:t>
      </w:r>
    </w:p>
    <w:p>
      <w:pPr>
        <w:pStyle w:val="BodyText"/>
      </w:pPr>
      <w:r>
        <w:t xml:space="preserve">这样，每个人藉着赐予他的恩赐，同时成为教会使命本身的见证人和活生生的工具，『我们各人蒙恩，都是照基督所量给各人的恩赐』。</w:t>
      </w:r>
    </w:p>
    <w:p>
      <w:pPr>
        <w:pStyle w:val="BodyText"/>
      </w:pPr>
      <w:r>
        <w:rPr>
          <w:i/>
          <w:iCs/>
        </w:rPr>
        <w:t xml:space="preserve">三、奉献生活</w:t>
      </w:r>
    </w:p>
    <w:p>
      <w:pPr>
        <w:pStyle w:val="BodyText"/>
      </w:pPr>
      <w:r>
        <w:t xml:space="preserve">以宣认福音劝谕为本的生活形式，虽不属于教会的等级体制，但无可否认地属于教会的生活和圣洁。</w:t>
      </w:r>
    </w:p>
    <w:p>
      <w:pPr>
        <w:pStyle w:val="BodyText"/>
      </w:pPr>
      <w:r>
        <w:rPr>
          <w:i/>
          <w:iCs/>
        </w:rPr>
        <w:t xml:space="preserve">福音劝谕，奉献生活</w:t>
      </w:r>
    </w:p>
    <w:p>
      <w:pPr>
        <w:pStyle w:val="BodyText"/>
      </w:pPr>
      <w:r>
        <w:t xml:space="preserve">基督将多种多样的福音劝谕，向每一个门徒提出。所有信徒蒙召走向爱的完美，这对于那些自由跟随奉献生活圣召的人，就意味着为神的国度的缘故，有义务实践独身贞洁、贫穷和服从。正是在教会所承认的永久性生活形式内，宣认这些劝谕，构成了献身于神的生活特征。</w:t>
      </w:r>
    </w:p>
    <w:p>
      <w:pPr>
        <w:pStyle w:val="BodyText"/>
      </w:pPr>
      <w:r>
        <w:t xml:space="preserve">因此，奉献生活是体验「更亲密」献身的一种方式，扎根于洗礼，完全献身于神。在奉献生活中，基督的信徒在圣灵的推动下，立志更亲近地追随基督，将自己交给在万有之上受爱的神，在神的国度的服务中追求爱的完美，在教会内显示并宣告未来世界的荣耀。</w:t>
      </w:r>
    </w:p>
    <w:p>
      <w:pPr>
        <w:pStyle w:val="BodyText"/>
      </w:pPr>
      <w:r>
        <w:rPr>
          <w:i/>
          <w:iCs/>
        </w:rPr>
        <w:t xml:space="preserve">一棵大树，多枝繁茂</w:t>
      </w:r>
    </w:p>
    <w:p>
      <w:pPr>
        <w:pStyle w:val="BodyText"/>
      </w:pPr>
      <w:r>
        <w:t xml:space="preserve">在主的田地里，从神所赐的劝谕种子中，长出了一棵奇妙而茂密的大树，分枝为在独居或团体中献身生活的各种形式。不同的修会应运而生，在这些修会内，精神资源得以倍增，为会士们的圣洁进步，以及为整个基督的身体的益处服务。</w:t>
      </w:r>
    </w:p>
    <w:p>
      <w:pPr>
        <w:pStyle w:val="BodyText"/>
      </w:pPr>
      <w:r>
        <w:t xml:space="preserve">从教会之初，就有男女立志以更大的自由跟随基督，藉实践福音劝谕更亲密地效法基督。他们各以自己的方式，过献身于神的生活。他们当中有许多人，在圣灵的感动下，成为隐修士，或创立修会。教会以她的权柄，欣然接纳并认可这些修会。</w:t>
      </w:r>
      <w:r>
        <w:rPr>
          <w:rStyle w:val="FootnoteReference"/>
        </w:rPr>
        <w:footnoteReference w:id="1744"/>
      </w:r>
    </w:p>
    <w:p>
      <w:pPr>
        <w:pStyle w:val="BodyText"/>
      </w:pPr>
      <w:r>
        <w:t xml:space="preserve">主教们将始终努力辨别圣灵赐予教会的奉献生活的新恩赐；认可分别为圣的生活的新形式是使徒座的保留权利。</w:t>
      </w:r>
      <w:r>
        <w:rPr>
          <w:rStyle w:val="FootnoteReference"/>
        </w:rPr>
        <w:footnoteReference w:id="1745"/>
      </w:r>
    </w:p>
    <w:p>
      <w:pPr>
        <w:pStyle w:val="BodyText"/>
      </w:pPr>
      <w:r>
        <w:rPr>
          <w:i/>
          <w:iCs/>
        </w:rPr>
        <w:t xml:space="preserve">隐修生活</w:t>
      </w:r>
    </w:p>
    <w:p>
      <w:pPr>
        <w:pStyle w:val="BodyText"/>
      </w:pPr>
      <w:r>
        <w:t xml:space="preserve">隐修士虽然并非总是公开宣认三项福音劝谕，但他们「藉着与世界更严格的隔离、独处的静默、勤勉的祈祷和悔罪，献上自己的生命，为赞美神及世界的救恩」。</w:t>
      </w:r>
      <w:r>
        <w:rPr>
          <w:rStyle w:val="FootnoteReference"/>
        </w:rPr>
        <w:footnoteReference w:id="1746"/>
      </w:r>
    </w:p>
    <w:p>
      <w:pPr>
        <w:pStyle w:val="BodyText"/>
      </w:pPr>
      <w:r>
        <w:t xml:space="preserve">他们向众人彰显教会奥秘的内在层面，即与基督的个人亲密关系。隐修士的生活远离世人的目光，是默默宣讲主，他将自己的生命交付给主，因为主就是他的一切。这是一个特殊的召唤，要在沙漠中，在激烈的属灵战斗中，找到被钉十字架者的荣耀。</w:t>
      </w:r>
    </w:p>
    <w:p>
      <w:pPr>
        <w:pStyle w:val="BodyText"/>
      </w:pPr>
      <w:r>
        <w:rPr>
          <w:i/>
          <w:iCs/>
        </w:rPr>
        <w:t xml:space="preserve">奉献的童贞者和寡妇</w:t>
      </w:r>
    </w:p>
    <w:p>
      <w:pPr>
        <w:pStyle w:val="BodyText"/>
      </w:pPr>
      <w:r>
        <w:t xml:space="preserve">从使徒时代起，基督徒童女和寡妇，蒙主呼召以更自由的心、身和灵专属于他，就决定在教会的认可下，以童贞或终身贞洁的身份生活，「为天国的缘故」。</w:t>
      </w:r>
    </w:p>
    <w:p>
      <w:pPr>
        <w:pStyle w:val="BodyText"/>
      </w:pPr>
      <w:r>
        <w:t xml:space="preserve">童女为了更亲密追随基督的神圣计划而献身，由教区主教按照认可的礼仪，祝圣奉献于神，奥秘地订婚于神的儿子基督，并献身于教会的服务。藉这庄严礼仪（童贞祝圣礼），童女被构成「一个神性的位格，成为教会对基督之爱的卓越标记，以及这位基督的天上新娘和未来生命的末世图像。」</w:t>
      </w:r>
    </w:p>
    <w:p>
      <w:pPr>
        <w:pStyle w:val="BodyText"/>
      </w:pPr>
      <w:r>
        <w:t xml:space="preserve">「如同其他形式的奉献生活一样」，童贞会使生活在世界上的女性（或修女）以祈祷、补赎、服事弟兄姐妹和使徒工作的方式生活，根据她所领受的生活身份和属灵恩赐而定。</w:t>
      </w:r>
      <w:r>
        <w:rPr>
          <w:rStyle w:val="FootnoteReference"/>
        </w:rPr>
        <w:footnoteReference w:id="1747"/>
      </w:r>
      <w:r>
        <w:t xml:space="preserve">奉献童贞可组成团体，为能更忠信地履行其献身。</w:t>
      </w:r>
      <w:r>
        <w:rPr>
          <w:rStyle w:val="FootnoteReference"/>
        </w:rPr>
        <w:footnoteReference w:id="1748"/>
      </w:r>
    </w:p>
    <w:p>
      <w:pPr>
        <w:pStyle w:val="BodyText"/>
      </w:pPr>
      <w:r>
        <w:rPr>
          <w:i/>
          <w:iCs/>
        </w:rPr>
        <w:t xml:space="preserve">献身生活</w:t>
      </w:r>
    </w:p>
    <w:p>
      <w:pPr>
        <w:pStyle w:val="BodyText"/>
      </w:pPr>
      <w:r>
        <w:t xml:space="preserve">献身生活起源于基督教最初几个世纪的东方。它在教会依法建立的会院内生活，以其礼仪特征、公开宣认福音劝谕、共同生活的友爱生活，以及对基督与教会结合的见证，有别于其他形式的奉献生活。</w:t>
      </w:r>
      <w:r>
        <w:rPr>
          <w:rStyle w:val="FootnoteReference"/>
        </w:rPr>
        <w:footnoteReference w:id="1749"/>
      </w:r>
    </w:p>
    <w:p>
      <w:pPr>
        <w:pStyle w:val="BodyText"/>
      </w:pPr>
      <w:r>
        <w:t xml:space="preserve">献身生活源于教会的奥秘。它是教会从主领受的恩赐，是教会作为一种稳定的生活方式，提供给蒙神呼召宣认福音劝谕的信徒。如此，教会既能彰显基督，又能承认自己是救主的新娘。献身生活以其多种形式，被呼召以我们这个时代的语言，表达神的大爱。</w:t>
      </w:r>
    </w:p>
    <w:p>
      <w:pPr>
        <w:pStyle w:val="BodyText"/>
      </w:pPr>
      <w:r>
        <w:t xml:space="preserve">所有献身生活者，无论是否隶属教区，都在教区主教的牧灵职责中，与主教合作。</w:t>
      </w:r>
      <w:r>
        <w:rPr>
          <w:rStyle w:val="FootnoteReference"/>
        </w:rPr>
        <w:footnoteReference w:id="1750"/>
      </w:r>
      <w:r>
        <w:t xml:space="preserve">从传福音工作之初，传教士「植根」教会和教会的扩展，就需要献身生活以各种形式的存在。</w:t>
      </w:r>
      <w:r>
        <w:rPr>
          <w:rStyle w:val="FootnoteReference"/>
        </w:rPr>
        <w:footnoteReference w:id="1751"/>
      </w:r>
      <w:r>
        <w:t xml:space="preserve">「历史见证了献身生活团体在传扬信仰和建立新教会方面所提供的杰出服务：从古代的修道制度、中世纪的修会，直到近代的众多会省。」</w:t>
      </w:r>
      <w:r>
        <w:rPr>
          <w:rStyle w:val="FootnoteReference"/>
        </w:rPr>
        <w:footnoteReference w:id="1752"/>
      </w:r>
    </w:p>
    <w:p>
      <w:pPr>
        <w:pStyle w:val="BodyText"/>
      </w:pPr>
      <w:r>
        <w:rPr>
          <w:i/>
          <w:iCs/>
        </w:rPr>
        <w:t xml:space="preserve">在俗献身团体</w:t>
      </w:r>
    </w:p>
    <w:p>
      <w:pPr>
        <w:pStyle w:val="BodyText"/>
      </w:pPr>
      <w:r>
        <w:t xml:space="preserve">「在俗献身团体是一种奉献生活团体，其中生活在世界上的基督信徒，为追求爱的完美而努力，并致力于世界的圣化，尤其是由内而外地圣化世界。」</w:t>
      </w:r>
      <w:r>
        <w:rPr>
          <w:rStyle w:val="FootnoteReference"/>
        </w:rPr>
        <w:footnoteReference w:id="1753"/>
      </w:r>
    </w:p>
    <w:p>
      <w:pPr>
        <w:pStyle w:val="BodyText"/>
      </w:pPr>
      <w:r>
        <w:t xml:space="preserve">藉着「完全而全然奉献于［此］圣化的生活」，这些团体的成员分担教会的传福音任务，「在世界内并从世界内」，他们的存在就像「世界中的酵母」。</w:t>
      </w:r>
      <w:r>
        <w:rPr>
          <w:rStyle w:val="FootnoteReference"/>
        </w:rPr>
        <w:footnoteReference w:id="1754"/>
      </w:r>
      <w:r>
        <w:t xml:space="preserve">「他们基督徒生活的见证」旨在「按照神的旨意安排世俗事务，并以福音的力量陶冶世界」。他们以神圣的盟约承诺践行福音劝谕，并在彼此之间，保持适合其「特殊在俗生活方式」的共融与友爱。</w:t>
      </w:r>
      <w:r>
        <w:rPr>
          <w:rStyle w:val="FootnoteReference"/>
        </w:rPr>
        <w:footnoteReference w:id="1755"/>
      </w:r>
    </w:p>
    <w:p>
      <w:pPr>
        <w:pStyle w:val="BodyText"/>
      </w:pPr>
      <w:r>
        <w:rPr>
          <w:i/>
          <w:iCs/>
        </w:rPr>
        <w:t xml:space="preserve">使徒生活团</w:t>
      </w:r>
    </w:p>
    <w:p>
      <w:pPr>
        <w:pStyle w:val="BodyText"/>
      </w:pPr>
      <w:r>
        <w:t xml:space="preserve">与各种形式的分别为圣生活并列的，还有使徒生活团，其成员不发宗教愿，追求其团体特有的使徒目的，按照特定的生活方式过共同兄弟姐妹的生活，藉遵守会宪以追求爱的完美。其中有些团体，成员按照会宪遵行福音劝谕。</w:t>
      </w:r>
    </w:p>
    <w:p>
      <w:pPr>
        <w:pStyle w:val="BodyText"/>
      </w:pPr>
      <w:r>
        <w:rPr>
          <w:i/>
          <w:iCs/>
        </w:rPr>
        <w:t xml:space="preserve">奉献与使命：宣告即将来临的君王</w:t>
      </w:r>
    </w:p>
    <w:p>
      <w:pPr>
        <w:pStyle w:val="BodyText"/>
      </w:pPr>
      <w:r>
        <w:t xml:space="preserve">藉着洗礼已献身于基督的人，将自己交付给他所爱胜过一切的神，从而更亲密地献身于神的服务和教会的益处。藉着这种奉献于神的生活方式，教会彰显基督，并向我们展示圣灵在她内如何奇妙地工作。因此，宣认福音劝谕者的首要使命就是活出他们的奉献。此外，奉献生活团体的成员既藉奉献而献身于教会的服务，就有特殊的义务从事传教工作，按照其团体的特性而定。</w:t>
      </w:r>
    </w:p>
    <w:p>
      <w:pPr>
        <w:pStyle w:val="BodyText"/>
      </w:pPr>
      <w:r>
        <w:t xml:space="preserve">教会就像是神自己生命的圣事——标记和工具，在教会内，奉献生活被视为救赎奥秘的特殊标记。更亲密地追随和效法基督，更清晰地彰显他的自我空虚，就是要在基督的心中更深入地临在于同时代的人。因为那些走在这条「更窄」的道路上的人，以他们的榜样鼓励弟兄们，并作出醒目的见证：「若没有八福的精神，世界就不能变形，也不能奉献于神。」</w:t>
      </w:r>
      <w:r>
        <w:rPr>
          <w:rStyle w:val="FootnoteReference"/>
        </w:rPr>
        <w:footnoteReference w:id="1756"/>
      </w:r>
    </w:p>
    <w:p>
      <w:pPr>
        <w:pStyle w:val="BodyText"/>
      </w:pPr>
      <w:r>
        <w:t xml:space="preserve">因为神的子民在此并无常存的城邦，……［这种生活状态］更清楚地向众信徒显示：天国的福乐已临现今世，为我们藉基督的救赎工程所获得的崭新永生作证，预示我们未来的复活和天国的荣耀。</w:t>
      </w:r>
      <w:r>
        <w:rPr>
          <w:rStyle w:val="FootnoteReference"/>
        </w:rPr>
        <w:footnoteReference w:id="1757"/>
      </w:r>
    </w:p>
    <w:bookmarkEnd w:id="1758"/>
    <w:bookmarkStart w:id="1761" w:name="综述-24"/>
    <w:p>
      <w:pPr>
        <w:pStyle w:val="Heading6"/>
      </w:pPr>
      <w:r>
        <w:t xml:space="preserve">综述</w:t>
      </w:r>
    </w:p>
    <w:p>
      <w:pPr>
        <w:pStyle w:val="FirstParagraph"/>
      </w:pPr>
      <w:r>
        <w:t xml:space="preserve">「在基督信徒中，按照神的制定，在教会内有神圣职务人员，法律上也称之为圣职人员，以及其他基督信徒，也称为平信徒。」在这两个群体中，都有宣认福音劝谕而献身于神，并为教会的救恩使命服务的基督信徒（参看《教会法典》207 条 1、2 款）。</w:t>
      </w:r>
    </w:p>
    <w:p>
      <w:pPr>
        <w:pStyle w:val="BodyText"/>
      </w:pPr>
      <w:r>
        <w:t xml:space="preserve">为了宣扬信仰并建立他的国度，基督派遣他的使徒及其继承人。他使他们分享自己的使命。他们从基督领受权柄，以基督的位格行事。</w:t>
      </w:r>
    </w:p>
    <w:p>
      <w:pPr>
        <w:pStyle w:val="BodyText"/>
      </w:pPr>
      <w:r>
        <w:t xml:space="preserve">主立圣彼得为他教会有形的根基。他将教会的钥匙托付给彼得。罗马教会的主教，圣彼得的继承人，是「主教团的首领，基督的代表，以及地上普世教会的牧者」（《教会法典》331 条）。</w:t>
      </w:r>
    </w:p>
    <w:p>
      <w:pPr>
        <w:pStyle w:val="BodyText"/>
      </w:pPr>
      <w:r>
        <w:t xml:space="preserve">教宗依神的制定，享有「最高、完全、直接而普世性的灵魂牧养权」（《主教牧职法令》2）。</w:t>
      </w:r>
    </w:p>
    <w:p>
      <w:pPr>
        <w:pStyle w:val="BodyText"/>
      </w:pPr>
      <w:r>
        <w:t xml:space="preserve">主教由圣灵所设立，是使徒的继承人。他们是「自己所属地方教会内团结合一的有形泉源与基础」（《教会宪章》23）。</w:t>
      </w:r>
    </w:p>
    <w:p>
      <w:pPr>
        <w:pStyle w:val="BodyText"/>
      </w:pPr>
      <w:r>
        <w:t xml:space="preserve">在祭司——他们的合作者——和执事的帮助下，主教有责任以真理教导信仰，举行敬拜礼仪，尤其是圣餐，并以真正牧者的身份引导自己的教会。他们的责任还包括关心所有的教会，这与教宗同在，并在教宗之下。</w:t>
      </w:r>
    </w:p>
    <w:p>
      <w:pPr>
        <w:pStyle w:val="BodyText"/>
      </w:pPr>
      <w:r>
        <w:t xml:space="preserve">「平信徒身份的特点是生活在世界和俗世事务之中，平信徒蒙神呼召，要以其基督徒精神的活力，使他们的使徒工作成为世界的酵母」。</w:t>
      </w:r>
      <w:r>
        <w:rPr>
          <w:rStyle w:val="FootnoteReference"/>
        </w:rPr>
        <w:footnoteReference w:id="1759"/>
      </w:r>
    </w:p>
    <w:p>
      <w:pPr>
        <w:pStyle w:val="BodyText"/>
      </w:pPr>
      <w:r>
        <w:t xml:space="preserve">平信徒分享基督的祭司职：他们与基督结合得越来越紧密，就在其个人、家庭、社会和教会生活的各个层面，展示出洗礼和坚振的恩典，从而完成了向所有受洗者发出的成圣呼召。</w:t>
      </w:r>
    </w:p>
    <w:p>
      <w:pPr>
        <w:pStyle w:val="BodyText"/>
      </w:pPr>
      <w:r>
        <w:t xml:space="preserve">凭借他们的先知使命，平信徒「蒙召……在一切境遇中，在人类大家庭的内部，作基督的见证人」。</w:t>
      </w:r>
      <w:r>
        <w:rPr>
          <w:rStyle w:val="FootnoteReference"/>
        </w:rPr>
        <w:footnoteReference w:id="1760"/>
      </w:r>
    </w:p>
    <w:p>
      <w:pPr>
        <w:pStyle w:val="BodyText"/>
      </w:pPr>
      <w:r>
        <w:t xml:space="preserve">凭借他们的君王使命，平信徒有能力通过自我克己和圣善的生活，根除自己内心和世界上罪恶的统治（参阅《教会宪章》36）。</w:t>
      </w:r>
    </w:p>
    <w:p>
      <w:pPr>
        <w:pStyle w:val="BodyText"/>
      </w:pPr>
      <w:r>
        <w:t xml:space="preserve">献身于神的生活的特点是：在教会所承认的稳定生活状态中，公开宣认贫穷、贞洁和服从的福音劝谕。</w:t>
      </w:r>
    </w:p>
    <w:p>
      <w:pPr>
        <w:pStyle w:val="BodyText"/>
      </w:pPr>
      <w:r>
        <w:t xml:space="preserve">藉着洗礼已被定于神的人，将自己交付给他所爱胜过一切的神，从而更亲密地献身于神的服务和整个教会的益处。</w:t>
      </w:r>
    </w:p>
    <w:p>
      <w:r>
        <w:br w:type="page"/>
      </w:r>
    </w:p>
    <w:bookmarkEnd w:id="1761"/>
    <w:bookmarkEnd w:id="1762"/>
    <w:bookmarkStart w:id="1790" w:name="第五节圣徒相通"/>
    <w:p>
      <w:pPr>
        <w:pStyle w:val="Heading5"/>
      </w:pPr>
      <w:r>
        <w:t xml:space="preserve">第五节：圣徒相通</w:t>
      </w:r>
    </w:p>
    <w:p>
      <w:pPr>
        <w:pStyle w:val="FirstParagraph"/>
      </w:pPr>
      <w:r>
        <w:t xml:space="preserve">使徒信经在宣认「圣而公之教会」之后，加上「圣徒相通」。从某种意义上说，这一条是对前一条的进一步解释：「教会不就是众圣徒的集会吗？」</w:t>
      </w:r>
      <w:r>
        <w:rPr>
          <w:rStyle w:val="FootnoteReference"/>
        </w:rPr>
        <w:footnoteReference w:id="1763"/>
      </w:r>
      <w:r>
        <w:t xml:space="preserve">圣徒相通就是教会。</w:t>
      </w:r>
    </w:p>
    <w:p>
      <w:pPr>
        <w:pStyle w:val="BodyText"/>
      </w:pPr>
      <w:r>
        <w:t xml:space="preserve">「因为所有信徒都形成一个身体，每个人的益处都与他人共通……因此我们必须相信在教会中存在着恩惠的共融。但最重要的肢体是基督，因为他是头……所以，基督的丰富通过圣事传递给所有肢体。」</w:t>
      </w:r>
      <w:r>
        <w:rPr>
          <w:rStyle w:val="FootnoteReference"/>
        </w:rPr>
        <w:footnoteReference w:id="1764"/>
      </w:r>
      <w:r>
        <w:t xml:space="preserve">「既然这教会是由同一位圣灵所治理，她所领受的一切恩惠必然成为共同的财富。」</w:t>
      </w:r>
      <w:r>
        <w:rPr>
          <w:rStyle w:val="FootnoteReference"/>
        </w:rPr>
        <w:footnoteReference w:id="1765"/>
      </w:r>
    </w:p>
    <w:p>
      <w:pPr>
        <w:pStyle w:val="BodyText"/>
      </w:pPr>
      <w:r>
        <w:t xml:space="preserve">因此「圣徒相通」一词有两个密切相关的含义：在圣物中的共融（</w:t>
      </w:r>
      <w:r>
        <w:rPr>
          <w:i/>
          <w:iCs/>
        </w:rPr>
        <w:t xml:space="preserve">sancta</w:t>
      </w:r>
      <w:r>
        <w:t xml:space="preserve">）和在圣徒之间的共融（</w:t>
      </w:r>
      <w:r>
        <w:rPr>
          <w:i/>
          <w:iCs/>
        </w:rPr>
        <w:t xml:space="preserve">sancti</w:t>
      </w:r>
      <w:r>
        <w:t xml:space="preserve">）。</w:t>
      </w:r>
    </w:p>
    <w:p>
      <w:pPr>
        <w:pStyle w:val="BodyText"/>
      </w:pPr>
      <w:r>
        <w:rPr>
          <w:i/>
          <w:iCs/>
        </w:rPr>
        <w:t xml:space="preserve">Sancta sanctis!</w:t>
      </w:r>
      <w:r>
        <w:t xml:space="preserve">（「圣物归于圣徒」）是东方礼仪中，主礼在举扬圣物并分发圣餐之前的宣告。信徒（</w:t>
      </w:r>
      <w:r>
        <w:rPr>
          <w:i/>
          <w:iCs/>
        </w:rPr>
        <w:t xml:space="preserve">sancti</w:t>
      </w:r>
      <w:r>
        <w:t xml:space="preserve">）因领受基督的圣体和宝血（</w:t>
      </w:r>
      <w:r>
        <w:rPr>
          <w:i/>
          <w:iCs/>
        </w:rPr>
        <w:t xml:space="preserve">sancta</w:t>
      </w:r>
      <w:r>
        <w:t xml:space="preserve">）而在圣灵的共融（</w:t>
      </w:r>
      <w:r>
        <w:rPr>
          <w:i/>
          <w:iCs/>
        </w:rPr>
        <w:t xml:space="preserve">koinonia</w:t>
      </w:r>
      <w:r>
        <w:t xml:space="preserve">）中成长，并将这共融传达给世界。</w:t>
      </w:r>
    </w:p>
    <w:bookmarkStart w:id="1776" w:name="一属灵恩惠的共融"/>
    <w:p>
      <w:pPr>
        <w:pStyle w:val="Heading6"/>
      </w:pPr>
      <w:r>
        <w:t xml:space="preserve">一、属灵恩惠的共融</w:t>
      </w:r>
    </w:p>
    <w:p>
      <w:pPr>
        <w:pStyle w:val="FirstParagraph"/>
      </w:pPr>
      <w:r>
        <w:t xml:space="preserve">在耶路撒冷的初期教会中，门徒们「都恒心遵守使徒的教训，彼此交接，擘饼，祈祷。」</w:t>
      </w:r>
      <w:r>
        <w:rPr>
          <w:rStyle w:val="FootnoteReference"/>
        </w:rPr>
        <w:footnoteReference w:id="1766"/>
      </w:r>
    </w:p>
    <w:p>
      <w:pPr>
        <w:pStyle w:val="BodyText"/>
      </w:pPr>
      <w:r>
        <w:rPr>
          <w:i/>
          <w:iCs/>
        </w:rPr>
        <w:t xml:space="preserve">信仰的共融</w:t>
      </w:r>
      <w:r>
        <w:t xml:space="preserve">。信徒的信仰就是教会的信仰，是从使徒们领受的。信仰是生命的宝藏，在分享中得以丰富。</w:t>
      </w:r>
    </w:p>
    <w:p>
      <w:pPr>
        <w:pStyle w:val="BodyText"/>
      </w:pPr>
      <w:r>
        <w:rPr>
          <w:i/>
          <w:iCs/>
        </w:rPr>
        <w:t xml:space="preserve">圣事的共融</w:t>
      </w:r>
      <w:r>
        <w:t xml:space="preserve">。「所有圣事的果实都属于全体信徒。所有圣事都是神圣的纽带，既使信徒彼此联合，又使他们与耶稣基督结合，尤其是圣洗礼，它是我们进入教会的门户。圣徒相通必须被理解为圣事的共融……『共融』这个名称可以应用于所有圣事，因为它们使我们与神结合……但这名称最适合于圣餐礼，因为主要是圣餐礼实现了这种共融。」</w:t>
      </w:r>
      <w:r>
        <w:rPr>
          <w:rStyle w:val="FootnoteReference"/>
        </w:rPr>
        <w:footnoteReference w:id="1767"/>
      </w:r>
    </w:p>
    <w:p>
      <w:pPr>
        <w:pStyle w:val="BodyText"/>
      </w:pPr>
      <w:r>
        <w:rPr>
          <w:i/>
          <w:iCs/>
        </w:rPr>
        <w:t xml:space="preserve">灵恩的共融</w:t>
      </w:r>
      <w:r>
        <w:t xml:space="preserve">。在教会的共融中，圣灵「把特殊的恩典分给各等信徒」，为建立教会。</w:t>
      </w:r>
      <w:r>
        <w:rPr>
          <w:rStyle w:val="FootnoteReference"/>
        </w:rPr>
        <w:footnoteReference w:id="1768"/>
      </w:r>
      <w:r>
        <w:t xml:space="preserve">「圣灵显在各人身上，是叫人得益处。」</w:t>
      </w:r>
      <w:r>
        <w:rPr>
          <w:rStyle w:val="FootnoteReference"/>
        </w:rPr>
        <w:footnoteReference w:id="1769"/>
      </w:r>
    </w:p>
    <w:p>
      <w:pPr>
        <w:pStyle w:val="BodyText"/>
      </w:pPr>
      <w:r>
        <w:rPr>
          <w:i/>
          <w:iCs/>
        </w:rPr>
        <w:t xml:space="preserve">「凡物公用」</w:t>
      </w:r>
      <w:r>
        <w:rPr>
          <w:rStyle w:val="FootnoteReference"/>
        </w:rPr>
        <w:footnoteReference w:id="1770"/>
      </w:r>
      <w:r>
        <w:t xml:space="preserve">「真正的基督徒所拥有的一切都应被视为与他人共同拥有的财物。所有基督徒都应当随时准备并热切地帮助有需要的人……和贫困的邻舍。」</w:t>
      </w:r>
      <w:r>
        <w:rPr>
          <w:rStyle w:val="FootnoteReference"/>
        </w:rPr>
        <w:footnoteReference w:id="1771"/>
      </w:r>
      <w:r>
        <w:t xml:space="preserve">基督徒是主的财物的管家。</w:t>
      </w:r>
      <w:r>
        <w:rPr>
          <w:rStyle w:val="FootnoteReference"/>
        </w:rPr>
        <w:footnoteReference w:id="1772"/>
      </w:r>
    </w:p>
    <w:p>
      <w:pPr>
        <w:pStyle w:val="BodyText"/>
      </w:pPr>
      <w:r>
        <w:rPr>
          <w:i/>
          <w:iCs/>
        </w:rPr>
        <w:t xml:space="preserve">爱的共融</w:t>
      </w:r>
      <w:r>
        <w:t xml:space="preserve">。在圣徒相通中，「我们没有一个人为自己活，也没有一个人为自己死。」</w:t>
      </w:r>
      <w:r>
        <w:rPr>
          <w:rStyle w:val="FootnoteReference"/>
        </w:rPr>
        <w:footnoteReference w:id="1773"/>
      </w:r>
      <w:r>
        <w:t xml:space="preserve">「若一个肢体受苦，所有的肢体就一同受苦；若一个肢体得荣耀，所有的肢体就一同快乐。你们就是基督的身子，并且各自作肢体。」</w:t>
      </w:r>
      <w:r>
        <w:rPr>
          <w:rStyle w:val="FootnoteReference"/>
        </w:rPr>
        <w:footnoteReference w:id="1774"/>
      </w:r>
      <w:r>
        <w:t xml:space="preserve">「爱是不求自己的益处。」</w:t>
      </w:r>
      <w:r>
        <w:rPr>
          <w:rStyle w:val="FootnoteReference"/>
        </w:rPr>
        <w:footnoteReference w:id="1775"/>
      </w:r>
      <w:r>
        <w:t xml:space="preserve">在这种建基于圣徒相通的、与所有人（无论生死）的团结中，我们以爱所做的最小的善行都会使所有人受益。每一个罪都会损害这种共融。</w:t>
      </w:r>
    </w:p>
    <w:bookmarkEnd w:id="1776"/>
    <w:bookmarkStart w:id="1788" w:name="二天上和地上教会的共融"/>
    <w:p>
      <w:pPr>
        <w:pStyle w:val="Heading6"/>
      </w:pPr>
      <w:r>
        <w:t xml:space="preserve">二、天上和地上教会的共融</w:t>
      </w:r>
    </w:p>
    <w:p>
      <w:pPr>
        <w:pStyle w:val="FirstParagraph"/>
      </w:pPr>
      <w:r>
        <w:rPr>
          <w:i/>
          <w:iCs/>
        </w:rPr>
        <w:t xml:space="preserve">教会的三种状态</w:t>
      </w:r>
      <w:r>
        <w:t xml:space="preserve">。「当主在荣耀中同他的众天使降临时，死亡将不复存在，万物都要归服他。但在现今，他的门徒中有些是在世上朝圣的，有些已经死去正在净化中，还有些已在荣耀中，『在圆满的光明中，如实地瞻仰三位一体的神』。」</w:t>
      </w:r>
      <w:r>
        <w:rPr>
          <w:rStyle w:val="FootnoteReference"/>
        </w:rPr>
        <w:footnoteReference w:id="1777"/>
      </w:r>
    </w:p>
    <w:p>
      <w:pPr>
        <w:pStyle w:val="BodyText"/>
      </w:pPr>
      <w:r>
        <w:t xml:space="preserve">然而，我们所有人都以不同程度和不同方式分享同一个对神和近人的爱，我们都同声向我们的神唱荣耀的赞歌。的确，所有属于基督并有他圣灵的人都形成一个教会，在基督里紧密相连。</w:t>
      </w:r>
      <w:r>
        <w:rPr>
          <w:rStyle w:val="FootnoteReference"/>
        </w:rPr>
        <w:footnoteReference w:id="1778"/>
      </w:r>
    </w:p>
    <w:p>
      <w:pPr>
        <w:pStyle w:val="BodyText"/>
      </w:pPr>
      <w:r>
        <w:t xml:space="preserve">「因此，在世旅途中的信徒与在基督的平安中安息的弟兄之间的结合绝不会中断，相反地，按照教会恒常的信仰，这种结合通过属灵恩惠的交流而得到加强。」</w:t>
      </w:r>
      <w:r>
        <w:rPr>
          <w:rStyle w:val="FootnoteReference"/>
        </w:rPr>
        <w:footnoteReference w:id="1779"/>
      </w:r>
    </w:p>
    <w:p>
      <w:pPr>
        <w:pStyle w:val="BodyText"/>
      </w:pPr>
      <w:r>
        <w:rPr>
          <w:i/>
          <w:iCs/>
        </w:rPr>
        <w:t xml:space="preserve">圣徒的代祷</w:t>
      </w:r>
      <w:r>
        <w:t xml:space="preserve">。「那些居住在天上的人与基督更紧密地结合，使整个教会在圣洁上更加坚固……他们不断地通过神与人之间的唯一中保基督耶稣，向天父为我们代祷，献上他们在世上获得的功德……因着他们的手足之情，我们的软弱得到极大的帮助。」</w:t>
      </w:r>
      <w:r>
        <w:rPr>
          <w:rStyle w:val="FootnoteReference"/>
        </w:rPr>
        <w:footnoteReference w:id="1780"/>
      </w:r>
    </w:p>
    <w:p>
      <w:pPr>
        <w:pStyle w:val="BodyText"/>
      </w:pPr>
      <w:r>
        <w:t xml:space="preserve">不要哭泣，因为我死后将对你们更有用，那时我将比在世时更有效地帮助你们。</w:t>
      </w:r>
      <w:r>
        <w:rPr>
          <w:rStyle w:val="FootnoteReference"/>
        </w:rPr>
        <w:footnoteReference w:id="1781"/>
      </w:r>
    </w:p>
    <w:p>
      <w:pPr>
        <w:pStyle w:val="BodyText"/>
      </w:pPr>
      <w:r>
        <w:t xml:space="preserve">不要哭泣，因为我死后对你们会更有益处，那时我会比活着时更有效地帮助你们。</w:t>
      </w:r>
      <w:r>
        <w:rPr>
          <w:rStyle w:val="FootnoteReference"/>
        </w:rPr>
        <w:footnoteReference w:id="1782"/>
      </w:r>
      <w:r>
        <w:t xml:space="preserve"> </w:t>
      </w:r>
      <w:r>
        <w:t xml:space="preserve">{ }</w:t>
      </w:r>
    </w:p>
    <w:p>
      <w:pPr>
        <w:pStyle w:val="BodyText"/>
      </w:pPr>
      <w:r>
        <w:t xml:space="preserve">我要在天堂中继续在世上行善。</w:t>
      </w:r>
      <w:r>
        <w:rPr>
          <w:rStyle w:val="FootnoteReference"/>
        </w:rPr>
        <w:footnoteReference w:id="1783"/>
      </w:r>
    </w:p>
    <w:p>
      <w:pPr>
        <w:pStyle w:val="BodyText"/>
      </w:pPr>
      <w:r>
        <w:rPr>
          <w:i/>
          <w:iCs/>
        </w:rPr>
        <w:t xml:space="preserve">与圣徒的共融</w:t>
      </w:r>
      <w:r>
        <w:t xml:space="preserve">。「我们珍惜天上圣徒的记忆，不仅仅是因为他们树立了榜样；我们更是寻求通过这种手足之爱的实践来加强整个教会在圣灵内的合一。正如我们与同路朝圣者的基督徒共融使我们更接近基督，我们与圣徒的共融也使我们与基督结合，因为一切恩宠和天主子民的生命本身都是从他这泉源和元首涌流出来的」</w:t>
      </w:r>
      <w:r>
        <w:rPr>
          <w:rStyle w:val="FootnoteReference"/>
        </w:rPr>
        <w:footnoteReference w:id="1784"/>
      </w:r>
      <w:r>
        <w:t xml:space="preserve">：</w:t>
      </w:r>
    </w:p>
    <w:p>
      <w:pPr>
        <w:pStyle w:val="BodyText"/>
      </w:pPr>
      <w:r>
        <w:t xml:space="preserve">我们敬拜基督为神的儿子；我们爱殉道者，因为他们是主的门徒和效法者，这是理所当然的，因为他们对他们的君王和主人有无比的忠诚。愿我们也成为他们的同伴和同学！</w:t>
      </w:r>
      <w:r>
        <w:rPr>
          <w:rStyle w:val="FootnoteReference"/>
        </w:rPr>
        <w:footnoteReference w:id="1785"/>
      </w:r>
    </w:p>
    <w:p>
      <w:pPr>
        <w:pStyle w:val="BodyText"/>
      </w:pPr>
      <w:r>
        <w:rPr>
          <w:i/>
          <w:iCs/>
        </w:rPr>
        <w:t xml:space="preserve">与亡者的共融</w:t>
      </w:r>
      <w:r>
        <w:t xml:space="preserve">。「在完全意识到与整个基督奥体的这种共融的情况下，教会中在世旅途的成员从基督宗教最早期就以极大的敬意纪念亡者；并且『因为为亡者祈祷使他们脱离罪过是圣善和有益的想法』，教会为他们奉献祈祷。」</w:t>
      </w:r>
      <w:r>
        <w:rPr>
          <w:rStyle w:val="FootnoteReference"/>
        </w:rPr>
        <w:footnoteReference w:id="1786"/>
      </w:r>
      <w:r>
        <w:t xml:space="preserve">我们为他们的祈祷不仅能帮助他们，也能使他们为我们的代祷更有效。</w:t>
      </w:r>
    </w:p>
    <w:p>
      <w:pPr>
        <w:pStyle w:val="BodyText"/>
      </w:pPr>
      <w:r>
        <w:rPr>
          <w:i/>
          <w:iCs/>
        </w:rPr>
        <w:t xml:space="preserve">在神的一家中</w:t>
      </w:r>
      <w:r>
        <w:t xml:space="preserve">。「如果我们继续彼此相爱并同声赞美至圣三位一体——我们这些作神儿女并在基督里组成一家的人——我们就会忠于教会最深层的召叫。」</w:t>
      </w:r>
      <w:r>
        <w:rPr>
          <w:rStyle w:val="FootnoteReference"/>
        </w:rPr>
        <w:footnoteReference w:id="1787"/>
      </w:r>
    </w:p>
    <w:bookmarkEnd w:id="1788"/>
    <w:bookmarkStart w:id="1789" w:name="综述-25"/>
    <w:p>
      <w:pPr>
        <w:pStyle w:val="Heading6"/>
      </w:pPr>
      <w:r>
        <w:t xml:space="preserve">综述</w:t>
      </w:r>
    </w:p>
    <w:p>
      <w:pPr>
        <w:pStyle w:val="FirstParagraph"/>
      </w:pPr>
      <w:r>
        <w:t xml:space="preserve">教会是「圣徒相通」：这说法首先指「圣物」（</w:t>
      </w:r>
      <w:r>
        <w:rPr>
          <w:i/>
          <w:iCs/>
        </w:rPr>
        <w:t xml:space="preserve">sancta</w:t>
      </w:r>
      <w:r>
        <w:t xml:space="preserve">），尤其是圣餐，藉此「信徒合而为一，形成基督里的一个身体，这合一既被表达，也得以实现」（</w:t>
      </w:r>
      <w:r>
        <w:rPr>
          <w:i/>
          <w:iCs/>
        </w:rPr>
        <w:t xml:space="preserve">LG</w:t>
      </w:r>
      <w:r>
        <w:t xml:space="preserve"> </w:t>
      </w:r>
      <w:r>
        <w:t xml:space="preserve">3）。</w:t>
      </w:r>
    </w:p>
    <w:p>
      <w:pPr>
        <w:pStyle w:val="BodyText"/>
      </w:pPr>
      <w:r>
        <w:t xml:space="preserve">「圣徒相通」一词也指在基督里「圣者」（</w:t>
      </w:r>
      <w:r>
        <w:rPr>
          <w:i/>
          <w:iCs/>
        </w:rPr>
        <w:t xml:space="preserve">sancti</w:t>
      </w:r>
      <w:r>
        <w:t xml:space="preserve">）的共融，基督「为众人死」，因此每个人在基督里并为基督所做或所受的一切都结出惠及众人的果实。</w:t>
      </w:r>
    </w:p>
    <w:p>
      <w:pPr>
        <w:pStyle w:val="BodyText"/>
      </w:pPr>
      <w:r>
        <w:t xml:space="preserve">「我们相信所有基督信徒的共融，包括在世上朝圣的人、正在净化中的亡者，和在天上的真福者，他们一起形成一个教会；我们相信在这共融中，神的慈爱和他的圣徒们始终垂听我们的祈祷」（保禄六世，</w:t>
      </w:r>
      <w:r>
        <w:rPr>
          <w:i/>
          <w:iCs/>
        </w:rPr>
        <w:t xml:space="preserve">CPG</w:t>
      </w:r>
      <w:r>
        <w:t xml:space="preserve"> </w:t>
      </w:r>
      <w:r>
        <w:t xml:space="preserve">§ 30）。</w:t>
      </w:r>
    </w:p>
    <w:p>
      <w:r>
        <w:br w:type="page"/>
      </w:r>
    </w:p>
    <w:bookmarkEnd w:id="1789"/>
    <w:bookmarkEnd w:id="1790"/>
    <w:bookmarkStart w:id="1813" w:name="第六段马利亚基督之母教会之母"/>
    <w:p>
      <w:pPr>
        <w:pStyle w:val="Heading5"/>
      </w:pPr>
      <w:r>
        <w:t xml:space="preserve">第六段：马利亚——基督之母，教会之母</w:t>
      </w:r>
    </w:p>
    <w:p>
      <w:pPr>
        <w:pStyle w:val="FirstParagraph"/>
      </w:pPr>
      <w:r>
        <w:t xml:space="preserve">既然已经论述了马利亚在基督和圣灵奥秘中的角色，现在适合考虑她在教会奥秘中的地位。「马利亚……被承认并尊崇为神之母和救赎主之母……她『明显地是基督肢体之母』……因为她以爱参与了教会信徒的诞生，他们是教会元首的肢体。」</w:t>
      </w:r>
      <w:r>
        <w:rPr>
          <w:rStyle w:val="FootnoteReference"/>
        </w:rPr>
        <w:footnoteReference w:id="1791"/>
      </w:r>
      <w:r>
        <w:t xml:space="preserve">「马利亚，基督之母，教会之母。」</w:t>
      </w:r>
      <w:r>
        <w:rPr>
          <w:rStyle w:val="FootnoteReference"/>
        </w:rPr>
        <w:footnoteReference w:id="1792"/>
      </w:r>
    </w:p>
    <w:bookmarkStart w:id="1804" w:name="一马利亚作为教会的母亲"/>
    <w:p>
      <w:pPr>
        <w:pStyle w:val="Heading6"/>
      </w:pPr>
      <w:r>
        <w:t xml:space="preserve">一、马利亚作为教会的母亲</w:t>
      </w:r>
    </w:p>
    <w:p>
      <w:pPr>
        <w:pStyle w:val="FirstParagraph"/>
      </w:pPr>
      <w:r>
        <w:rPr>
          <w:i/>
          <w:iCs/>
        </w:rPr>
        <w:t xml:space="preserve">完全与她的儿子结合……</w:t>
      </w:r>
    </w:p>
    <w:p>
      <w:pPr>
        <w:pStyle w:val="BodyText"/>
      </w:pPr>
      <w:r>
        <w:t xml:space="preserve">马利亚在教会中的角色与她和基督的结合是分不开的，直接从其中流出。「母亲与圣子在救恩工程上的这种结合，从基督童贞成孕时起，直到他死亡时为止，是显而易见的」；</w:t>
      </w:r>
      <w:r>
        <w:rPr>
          <w:rStyle w:val="FootnoteReference"/>
        </w:rPr>
        <w:footnoteReference w:id="1793"/>
      </w:r>
      <w:r>
        <w:t xml:space="preserve">尤其在他受难时更加彰显：</w:t>
      </w:r>
    </w:p>
    <w:p>
      <w:pPr>
        <w:pStyle w:val="BodyText"/>
      </w:pPr>
      <w:r>
        <w:t xml:space="preserve">因此，在信心的朝圣旅程中，蒙福的马利亚不断前进，忠实地坚持到十字架下与圣子的结合。在那里，她站立着，按照神的计划，与她的独生子一起忍受他剧烈的苦难，以母亲的心与他的牺牲结合在一起，慈爱地同意将她所生的这位祭品献上：就是被钉死在十字架上的基督耶稣，把她赐给他的门徒作母亲，说：「妇人，看你的儿子。」</w:t>
      </w:r>
      <w:r>
        <w:rPr>
          <w:rStyle w:val="FootnoteReference"/>
        </w:rPr>
        <w:footnoteReference w:id="1794"/>
      </w:r>
    </w:p>
    <w:p>
      <w:pPr>
        <w:pStyle w:val="BodyText"/>
      </w:pPr>
      <w:r>
        <w:t xml:space="preserve">在她圣子升天后，马利亚「以她的祈祷帮助教会的开始」。</w:t>
      </w:r>
      <w:r>
        <w:rPr>
          <w:rStyle w:val="FootnoteReference"/>
        </w:rPr>
        <w:footnoteReference w:id="1795"/>
      </w:r>
      <w:r>
        <w:t xml:space="preserve">在她与使徒们和几位妇女的共融中，「我们也看到马利亚以她的祈祷恳求圣灵的恩赐，圣灵曾在预报时笼罩了她」。</w:t>
      </w:r>
      <w:r>
        <w:rPr>
          <w:rStyle w:val="FootnoteReference"/>
        </w:rPr>
        <w:footnoteReference w:id="1796"/>
      </w:r>
    </w:p>
    <w:p>
      <w:pPr>
        <w:pStyle w:val="BodyText"/>
      </w:pPr>
      <w:r>
        <w:rPr>
          <w:i/>
          <w:iCs/>
        </w:rPr>
        <w:t xml:space="preserve">……也在她的蒙召升天中</w:t>
      </w:r>
    </w:p>
    <w:p>
      <w:pPr>
        <w:pStyle w:val="BodyText"/>
      </w:pPr>
      <w:r>
        <w:t xml:space="preserve">「最后，当无玷的马利亚在世上生命行程终了时，蒙恩保护她免于原罪的一切玷污，灵魂肉身被接到天上的荣耀里，并被主举扬为普世之后，为能更圆满地肖似她的圣子，万主之主，罪恶与死亡的战胜者。」</w:t>
      </w:r>
      <w:r>
        <w:rPr>
          <w:rStyle w:val="FootnoteReference"/>
        </w:rPr>
        <w:footnoteReference w:id="1797"/>
      </w:r>
      <w:r>
        <w:t xml:space="preserve">蒙福马利亚的蒙召升天是以独特方式分享她圣子的复活，并预示其他基督徒的复活：</w:t>
      </w:r>
    </w:p>
    <w:p>
      <w:pPr>
        <w:pStyle w:val="BodyText"/>
      </w:pPr>
      <w:r>
        <w:t xml:space="preserve">诞生时，你保持了童贞；安息时，神之母啊，你没有离开这世界，却与生命的泉源结合。你孕育了永生的神，以你的祈祷，将我们的灵魂从死亡中拯救。</w:t>
      </w:r>
      <w:r>
        <w:rPr>
          <w:rStyle w:val="FootnoteReference"/>
        </w:rPr>
        <w:footnoteReference w:id="1798"/>
      </w:r>
    </w:p>
    <w:p>
      <w:pPr>
        <w:pStyle w:val="BodyText"/>
      </w:pPr>
      <w:r>
        <w:rPr>
          <w:i/>
          <w:iCs/>
        </w:rPr>
        <w:t xml:space="preserve">……在恩典的秩序中，她是我们的母亲</w:t>
      </w:r>
    </w:p>
    <w:p>
      <w:pPr>
        <w:pStyle w:val="BodyText"/>
      </w:pPr>
      <w:r>
        <w:t xml:space="preserve">马利亚完全服从圣父的旨意，完全顺从圣子的救赎工程，完全随从圣灵的感动，因此她是教会信心和爱的典范。这样，她是「教会卓越的……独特的成员」；的确，她是教会的「典型实现」（</w:t>
      </w:r>
      <w:r>
        <w:rPr>
          <w:i/>
          <w:iCs/>
        </w:rPr>
        <w:t xml:space="preserve">typus</w:t>
      </w:r>
      <w:r>
        <w:t xml:space="preserve">）。</w:t>
      </w:r>
      <w:r>
        <w:rPr>
          <w:rStyle w:val="FootnoteReference"/>
        </w:rPr>
        <w:footnoteReference w:id="1799"/>
      </w:r>
    </w:p>
    <w:p>
      <w:pPr>
        <w:pStyle w:val="BodyText"/>
      </w:pPr>
      <w:r>
        <w:t xml:space="preserve">她对教会和全人类的角色更进一步。「她以顺从、信心、盼望和炽热的爱，以完全独特的方式，在救主恢复超性生命于灵魂的工程上合作。为此，在恩典的秩序中，她是我们的母亲。」</w:t>
      </w:r>
      <w:r>
        <w:rPr>
          <w:rStyle w:val="FootnoteReference"/>
        </w:rPr>
        <w:footnoteReference w:id="1800"/>
      </w:r>
    </w:p>
    <w:p>
      <w:pPr>
        <w:pStyle w:val="BodyText"/>
      </w:pPr>
      <w:r>
        <w:t xml:space="preserve">「马利亚在恩典秩序中的母性，从领报时她忠诚地表示同意，并在十字架下坚定不移地持守，一直延续到所有蒙选者获得永恒圆满。她被接升天后，并没有放弃这救援的职务，而是以多种带求，继续为我们获得永生的恩惠……因此，在教会内，马利亚被称为护慰者、扶助者、恩惠施予者和中保。」</w:t>
      </w:r>
      <w:r>
        <w:rPr>
          <w:rStyle w:val="FootnoteReference"/>
        </w:rPr>
        <w:footnoteReference w:id="1801"/>
      </w:r>
    </w:p>
    <w:p>
      <w:pPr>
        <w:pStyle w:val="BodyText"/>
      </w:pPr>
      <w:r>
        <w:t xml:space="preserve">「马利亚作为人类之母的职责，绝不会遮蔽或减损基督的这一独特中保职分，反而彰显其功效。其实，马利亚对人的一切有益影响……都是从基督功绩的过盈中流溢出来的，以基督的中保职分为根基，完全依靠它，并从中汲取一切力量。」</w:t>
      </w:r>
      <w:r>
        <w:rPr>
          <w:rStyle w:val="FootnoteReference"/>
        </w:rPr>
        <w:footnoteReference w:id="1802"/>
      </w:r>
      <w:r>
        <w:t xml:space="preserve">「任何受造物都不能与降生成人的道和救赎主相提并论；但正如基督的祭司职分，以不同方式由他的仆人和信徒分享；又如神的一切美善，以不同方式流溢于受造物，照样，救主的独一中保职分，并不排斥而是引起各种不同形式的合作，分享这唯一泉源。」</w:t>
      </w:r>
      <w:r>
        <w:rPr>
          <w:rStyle w:val="FootnoteReference"/>
        </w:rPr>
        <w:footnoteReference w:id="1803"/>
      </w:r>
    </w:p>
    <w:bookmarkEnd w:id="1804"/>
    <w:bookmarkStart w:id="1808" w:name="二对蒙福马利亚的敬奉"/>
    <w:p>
      <w:pPr>
        <w:pStyle w:val="Heading6"/>
      </w:pPr>
      <w:r>
        <w:t xml:space="preserve">二、对蒙福马利亚的敬奉</w:t>
      </w:r>
    </w:p>
    <w:p>
      <w:pPr>
        <w:pStyle w:val="FirstParagraph"/>
      </w:pPr>
      <w:r>
        <w:rPr>
          <w:i/>
          <w:iCs/>
        </w:rPr>
        <w:t xml:space="preserve">万代要称我为有福</w:t>
      </w:r>
      <w:r>
        <w:t xml:space="preserve">：「教会对蒙福马利亚的敬奉是基督徒敬拜固有的一部分。」</w:t>
      </w:r>
      <w:r>
        <w:rPr>
          <w:rStyle w:val="FootnoteReference"/>
        </w:rPr>
        <w:footnoteReference w:id="1805"/>
      </w:r>
      <w:r>
        <w:t xml:space="preserve">教会理所当然地「以特殊的敬奉尊崇蒙福马利亚。自古以来，蒙福马利亚就以『神之母』的称号受到尊崇，信徒在各种危难和需要中，都投奔到她的庇护下……这种非常特殊的敬奉……本质上不同于对降生成人的道、圣父和圣灵所给予的敬拜，而且大大地促进这种敬拜。」</w:t>
      </w:r>
      <w:r>
        <w:rPr>
          <w:rStyle w:val="FootnoteReference"/>
        </w:rPr>
        <w:footnoteReference w:id="1806"/>
      </w:r>
      <w:r>
        <w:t xml:space="preserve">献给神之母的礼仪庆节和马利亚祈祷，如玫瑰经这「整部福音的摘要」，都表达了对马利亚的这种敬奉。</w:t>
      </w:r>
      <w:r>
        <w:rPr>
          <w:rStyle w:val="FootnoteReference"/>
        </w:rPr>
        <w:footnoteReference w:id="1807"/>
      </w:r>
    </w:p>
    <w:bookmarkEnd w:id="1808"/>
    <w:bookmarkStart w:id="1811" w:name="三马利亚教会的末世图像"/>
    <w:p>
      <w:pPr>
        <w:pStyle w:val="Heading6"/>
      </w:pPr>
      <w:r>
        <w:t xml:space="preserve">三、马利亚——教会的末世图像</w:t>
      </w:r>
    </w:p>
    <w:p>
      <w:pPr>
        <w:pStyle w:val="FirstParagraph"/>
      </w:pPr>
      <w:r>
        <w:t xml:space="preserve">在谈论了教会、她的起源、使命和终向之后，我们找不到比仰望马利亚更好的总结方式。在她身上，我们默观教会在她自己「信心的朝圣」中，在奥秘里已经是什么，以及在旅程终点的天乡将成为什么。在那里，「在至高和不可分的三位一体的荣耀中」，「在众圣徒的共融中」，</w:t>
      </w:r>
      <w:r>
        <w:rPr>
          <w:rStyle w:val="FootnoteReference"/>
        </w:rPr>
        <w:footnoteReference w:id="1809"/>
      </w:r>
      <w:r>
        <w:t xml:space="preserve">教会受到那位她尊敬为她的主和她自己的母亲的马利亚所期待。</w:t>
      </w:r>
    </w:p>
    <w:p>
      <w:pPr>
        <w:pStyle w:val="BodyText"/>
      </w:pPr>
      <w:r>
        <w:t xml:space="preserve">同时，耶稣的母亲马利亚，以她在天上所拥有的身灵荣耀，是未来世界中教会圆满境界的图像和开端。同样，她在地上光耀，直到主的日子来临，成为朝圣神的子民确实盼望和安慰的记号。</w:t>
      </w:r>
      <w:r>
        <w:rPr>
          <w:rStyle w:val="FootnoteReference"/>
        </w:rPr>
        <w:footnoteReference w:id="1810"/>
      </w:r>
    </w:p>
    <w:bookmarkEnd w:id="1811"/>
    <w:bookmarkStart w:id="1812" w:name="综述-26"/>
    <w:p>
      <w:pPr>
        <w:pStyle w:val="Heading6"/>
      </w:pPr>
      <w:r>
        <w:t xml:space="preserve">综述</w:t>
      </w:r>
    </w:p>
    <w:p>
      <w:pPr>
        <w:pStyle w:val="FirstParagraph"/>
      </w:pPr>
      <w:r>
        <w:t xml:space="preserve">马利亚在领报时说出「愿照你的话成就于我吧」，并同意道降生成人，她已经在与圣子将要完成的整个工程合作。无论在哪里，只要基督是救主和奥体的元首，她就是母亲。</w:t>
      </w:r>
    </w:p>
    <w:p>
      <w:pPr>
        <w:pStyle w:val="BodyText"/>
      </w:pPr>
      <w:r>
        <w:t xml:space="preserve">当蒙福马利亚在世生命行程完成时，她的灵魂肉身被接到天上的荣耀里，在那里她已经分享她圣子复活的荣耀，预示着他奥体所有肢体的复活。</w:t>
      </w:r>
    </w:p>
    <w:p>
      <w:pPr>
        <w:pStyle w:val="BodyText"/>
      </w:pPr>
      <w:r>
        <w:t xml:space="preserve">「我们相信，神之母、新夏娃、教会之母，在天上继续为基督的肢体执行她的母职」（保禄六世，《</w:t>
      </w:r>
      <w:r>
        <w:rPr>
          <w:i/>
          <w:iCs/>
        </w:rPr>
        <w:t xml:space="preserve">信仰的宣认</w:t>
      </w:r>
      <w:r>
        <w:t xml:space="preserve">》15）。</w:t>
      </w:r>
    </w:p>
    <w:p>
      <w:r>
        <w:br w:type="page"/>
      </w:r>
    </w:p>
    <w:bookmarkEnd w:id="1812"/>
    <w:bookmarkEnd w:id="1813"/>
    <w:bookmarkEnd w:id="1814"/>
    <w:bookmarkStart w:id="1834" w:name="第十条我信罪得赦免"/>
    <w:p>
      <w:pPr>
        <w:pStyle w:val="Heading4"/>
      </w:pPr>
      <w:r>
        <w:t xml:space="preserve">第十条：「我信罪得赦免」</w:t>
      </w:r>
    </w:p>
    <w:p>
      <w:pPr>
        <w:pStyle w:val="FirstParagraph"/>
      </w:pPr>
      <w:r>
        <w:t xml:space="preserve">使徒信经将罪得赦免的信仰，不仅与对圣灵的信心相连，也与对教会和圣徒相通的信心相连。当他把圣灵赐给他的使徒们时，复活的基督将他自己赦罪的神的大能交给了他们：「你们受圣灵。你们赦免谁的罪，谁的罪就赦免了；你们留下谁的罪，谁的罪就留下了。」</w:t>
      </w:r>
      <w:r>
        <w:rPr>
          <w:rStyle w:val="FootnoteReference"/>
        </w:rPr>
        <w:footnoteReference w:id="1815"/>
      </w:r>
    </w:p>
    <w:p>
      <w:pPr>
        <w:pStyle w:val="BodyText"/>
      </w:pPr>
      <w:r>
        <w:t xml:space="preserve">（教理的第二部分将会专门论及透过洗礼、和好圣事以及其他圣事，尤其是圣餐来获得罪之赦免。这里只要简述一些基本事实就够了。）</w:t>
      </w:r>
    </w:p>
    <w:bookmarkStart w:id="1821" w:name="第一节为罪得赦的独一洗礼"/>
    <w:p>
      <w:pPr>
        <w:pStyle w:val="Heading5"/>
      </w:pPr>
      <w:r>
        <w:t xml:space="preserve">第一节：为罪得赦的独一洗礼</w:t>
      </w:r>
    </w:p>
    <w:p>
      <w:pPr>
        <w:pStyle w:val="FirstParagraph"/>
      </w:pPr>
      <w:r>
        <w:t xml:space="preserve">我们的主把罪得赦免与信心和洗礼紧密相连：「你们往普天下去，传福音给万民听。信而受洗的必然得救。」</w:t>
      </w:r>
      <w:r>
        <w:rPr>
          <w:rStyle w:val="FootnoteReference"/>
        </w:rPr>
        <w:footnoteReference w:id="1816"/>
      </w:r>
      <w:r>
        <w:t xml:space="preserve"> </w:t>
      </w:r>
      <w:r>
        <w:t xml:space="preserve">洗礼是罪得赦免的首要圣事，因为它使我们与那位为我们的罪而死、又为叫我们成义而复活的基督同结合，好让「我们一举一动有新生的样式。」</w:t>
      </w:r>
      <w:r>
        <w:rPr>
          <w:rStyle w:val="FootnoteReference"/>
        </w:rPr>
        <w:footnoteReference w:id="1817"/>
      </w:r>
    </w:p>
    <w:p>
      <w:pPr>
        <w:pStyle w:val="BodyText"/>
      </w:pPr>
      <w:r>
        <w:t xml:space="preserve">「当我们领受圣洗、得以洁净，并首次宣认信仰时，我们所得到的赦免如此圆满彻底，以至于在我们内不再残留任何需要去消除的东西；无论是原罪，还是我们自己意愿所犯的过错，连因补赎它们而需受的罚也都不复存在……然而，洗礼的恩典并不会让任何人免于各种本性上的软弱。相反地，我们仍必须对抗私欲的冲动，这些冲动持续不断地将我们引向邪恶。」</w:t>
      </w:r>
      <w:r>
        <w:rPr>
          <w:rStyle w:val="FootnoteReference"/>
        </w:rPr>
        <w:footnoteReference w:id="1818"/>
      </w:r>
    </w:p>
    <w:p>
      <w:pPr>
        <w:pStyle w:val="BodyText"/>
      </w:pPr>
      <w:r>
        <w:t xml:space="preserve">在这场与我们趋向邪恶的内心倾向所进行的战斗中，谁能勇敢警醒到可以逃避一切罪的伤害呢？「若是教会有赦罪的权柄，那么洗礼就不可能是教会唯一运用从耶稣基督所领受的天国钥匙的途径。教会必须能够赦免所有忏悔者的过犯，即使他们在生命的最后一刻才犯罪。」</w:t>
      </w:r>
      <w:r>
        <w:rPr>
          <w:rStyle w:val="FootnoteReference"/>
        </w:rPr>
        <w:footnoteReference w:id="1819"/>
      </w:r>
    </w:p>
    <w:p>
      <w:pPr>
        <w:pStyle w:val="BodyText"/>
      </w:pPr>
      <w:r>
        <w:t xml:space="preserve">借着和好圣事，受洗者才能与神以及教会重归于好：</w:t>
      </w:r>
    </w:p>
    <w:p>
      <w:pPr>
        <w:pStyle w:val="BodyText"/>
      </w:pPr>
      <w:r>
        <w:t xml:space="preserve">教父们确实恰当地称悔罪为「一种辛劳的洗礼」。对于在洗礼后失足的人而言，这和好圣事对于得救是必要的，正如洗礼对于尚未重生的人来说是得救所必需的一样。</w:t>
      </w:r>
      <w:r>
        <w:rPr>
          <w:rStyle w:val="FootnoteReference"/>
        </w:rPr>
        <w:footnoteReference w:id="1820"/>
      </w:r>
    </w:p>
    <w:bookmarkEnd w:id="1821"/>
    <w:bookmarkStart w:id="1832" w:name="第二节钥匙的权柄"/>
    <w:p>
      <w:pPr>
        <w:pStyle w:val="Heading5"/>
      </w:pPr>
      <w:r>
        <w:t xml:space="preserve">第二节：钥匙的权柄</w:t>
      </w:r>
    </w:p>
    <w:p>
      <w:pPr>
        <w:pStyle w:val="FirstParagraph"/>
      </w:pPr>
      <w:r>
        <w:t xml:space="preserve">在他复活以后，基督差遣他的使徒们：「并且人要奉他的名传悔改、赦罪的道，直传到万邦。」</w:t>
      </w:r>
      <w:r>
        <w:rPr>
          <w:rStyle w:val="FootnoteReference"/>
        </w:rPr>
        <w:footnoteReference w:id="1822"/>
      </w:r>
      <w:r>
        <w:t xml:space="preserve"> </w:t>
      </w:r>
      <w:r>
        <w:t xml:space="preserve">使徒们和他们的继承人所执行的「劝人与神和好的职分」，不仅在于向人宣告基督为我们所赢得的神的赦免，并召唤他们悔改和信心；也在于将洗礼中的罪之赦免传递给他们，并藉着从基督所领受的钥匙权柄，使他们与神及教会重归于好：</w:t>
      </w:r>
      <w:r>
        <w:rPr>
          <w:rStyle w:val="FootnoteReference"/>
        </w:rPr>
        <w:footnoteReference w:id="1823"/>
      </w:r>
    </w:p>
    <w:p>
      <w:pPr>
        <w:pStyle w:val="BodyText"/>
      </w:pPr>
      <w:r>
        <w:t xml:space="preserve">「教会」领受了天国的钥匙，使人在其中靠着基督的宝血和圣灵的作为而得蒙罪之赦。在这教会里，因罪而死的灵魂复苏过来，与基督同生活；正是他的恩典拯救了我们。</w:t>
      </w:r>
      <w:r>
        <w:rPr>
          <w:rStyle w:val="FootnoteReference"/>
        </w:rPr>
        <w:footnoteReference w:id="1824"/>
      </w:r>
    </w:p>
    <w:p>
      <w:pPr>
        <w:pStyle w:val="BodyText"/>
      </w:pPr>
      <w:r>
        <w:t xml:space="preserve">无论罪多严重，教会都能赦免。「不管一个人多么可恶和有罪，只要他真心悔改，就可以满怀信心地盼望获得赦免。」</w:t>
      </w:r>
      <w:r>
        <w:rPr>
          <w:rStyle w:val="FootnoteReference"/>
        </w:rPr>
        <w:footnoteReference w:id="1825"/>
      </w:r>
      <w:r>
        <w:t xml:space="preserve"> </w:t>
      </w:r>
      <w:r>
        <w:t xml:space="preserve">那位为众人而死的基督，愿意在他的教会中，为任何悔改离罪的人常敞开赦罪之门。</w:t>
      </w:r>
      <w:r>
        <w:rPr>
          <w:rStyle w:val="FootnoteReference"/>
        </w:rPr>
        <w:footnoteReference w:id="1826"/>
      </w:r>
    </w:p>
    <w:p>
      <w:pPr>
        <w:pStyle w:val="BodyText"/>
      </w:pPr>
      <w:r>
        <w:t xml:space="preserve">教理讲授努力在信徒心中唤起并滋养对复活的基督所赐予教会之卓越恩典的信心：即藉使徒及其继承人所行的职务，去承担并施行赦罪的使命与权柄：</w:t>
      </w:r>
    </w:p>
    <w:p>
      <w:pPr>
        <w:pStyle w:val="BodyText"/>
      </w:pPr>
      <w:r>
        <w:t xml:space="preserve">主愿意他的门徒拥有巨大的能力：使他卑微的仆人们奉他的名成就他在世时所行的一切。</w:t>
      </w:r>
      <w:r>
        <w:rPr>
          <w:rStyle w:val="FootnoteReference"/>
        </w:rPr>
        <w:footnoteReference w:id="1827"/>
      </w:r>
    </w:p>
    <w:p>
      <w:pPr>
        <w:pStyle w:val="BodyText"/>
      </w:pPr>
      <w:r>
        <w:t xml:space="preserve">祭司们从神领受了一种能力，这能力他既没有赐给天使，也没有赐给大天使……天上的神认可祭司们在地上所行的。</w:t>
      </w:r>
      <w:r>
        <w:rPr>
          <w:rStyle w:val="FootnoteReference"/>
        </w:rPr>
        <w:footnoteReference w:id="1828"/>
      </w:r>
    </w:p>
    <w:p>
      <w:pPr>
        <w:pStyle w:val="BodyText"/>
      </w:pPr>
      <w:r>
        <w:t xml:space="preserve">主愿他的门徒拥有极大的权柄：让他卑微的仆人们奉他的名，完成他在世时所行的一切。</w:t>
      </w:r>
      <w:r>
        <w:rPr>
          <w:rStyle w:val="FootnoteReference"/>
        </w:rPr>
        <w:footnoteReference w:id="1829"/>
      </w:r>
      <w:r>
        <w:t xml:space="preserve"> </w:t>
      </w:r>
      <w:r>
        <w:t xml:space="preserve">{ }</w:t>
      </w:r>
    </w:p>
    <w:p>
      <w:pPr>
        <w:pStyle w:val="BodyText"/>
      </w:pPr>
      <w:r>
        <w:t xml:space="preserve">祭司从神那里领受了一种他未曾赐予天使或大天使的权力……天上的神印证了祭司在世上所行的事。</w:t>
      </w:r>
      <w:r>
        <w:rPr>
          <w:rStyle w:val="FootnoteReference"/>
        </w:rPr>
        <w:footnoteReference w:id="1830"/>
      </w:r>
      <w:r>
        <w:t xml:space="preserve"> </w:t>
      </w:r>
      <w:r>
        <w:t xml:space="preserve">{ }</w:t>
      </w:r>
    </w:p>
    <w:p>
      <w:pPr>
        <w:pStyle w:val="BodyText"/>
      </w:pPr>
      <w:r>
        <w:t xml:space="preserve">倘若教会里没有罪得赦免，就不会有来世生命的盼望或永远获得自由的希望。让我们感谢神，他将这样一份恩典赐给了他的教会。</w:t>
      </w:r>
      <w:r>
        <w:rPr>
          <w:rStyle w:val="FootnoteReference"/>
        </w:rPr>
        <w:footnoteReference w:id="1831"/>
      </w:r>
    </w:p>
    <w:bookmarkEnd w:id="1832"/>
    <w:bookmarkStart w:id="1833" w:name="综述-27"/>
    <w:p>
      <w:pPr>
        <w:pStyle w:val="Heading5"/>
      </w:pPr>
      <w:r>
        <w:t xml:space="preserve">综述</w:t>
      </w:r>
    </w:p>
    <w:p>
      <w:pPr>
        <w:pStyle w:val="FirstParagraph"/>
      </w:pPr>
      <w:r>
        <w:t xml:space="preserve">信经将「罪得赦免」与对圣灵的信仰宣认相连，因为复活的基督在将圣灵赐给使徒们时，就将赦罪的权柄托付给他们。</w:t>
      </w:r>
    </w:p>
    <w:p>
      <w:pPr>
        <w:pStyle w:val="BodyText"/>
      </w:pPr>
      <w:r>
        <w:t xml:space="preserve">洗礼是罪得赦免的首要且最主要的圣事：它使我们与那位死而复活的基督相结合，并将圣灵赐予我们。</w:t>
      </w:r>
    </w:p>
    <w:p>
      <w:pPr>
        <w:pStyle w:val="BodyText"/>
      </w:pPr>
      <w:r>
        <w:t xml:space="preserve">凭着基督的旨意，教会拥有赦免受洗者罪的权柄，并通常在和好圣事中借主教和祭司施行这权柄。</w:t>
      </w:r>
    </w:p>
    <w:p>
      <w:pPr>
        <w:pStyle w:val="BodyText"/>
      </w:pPr>
      <w:r>
        <w:t xml:space="preserve">「在罪得赦免中，祭司和圣事，都是我们的主耶稣基督——唯一的救恩创始者、慷慨赐与救恩者——所愿意使用的工具，为要涂抹我们的罪，并赐给我们成义的恩典」(</w:t>
      </w:r>
      <w:r>
        <w:rPr>
          <w:i/>
          <w:iCs/>
        </w:rPr>
        <w:t xml:space="preserve">《罗马教理》</w:t>
      </w:r>
      <w:r>
        <w:t xml:space="preserve">, I, 11, 6)。</w:t>
      </w:r>
    </w:p>
    <w:p>
      <w:r>
        <w:br w:type="page"/>
      </w:r>
    </w:p>
    <w:bookmarkEnd w:id="1833"/>
    <w:bookmarkEnd w:id="1834"/>
    <w:bookmarkStart w:id="1900" w:name="第十一条我信身体复活"/>
    <w:p>
      <w:pPr>
        <w:pStyle w:val="Heading4"/>
      </w:pPr>
      <w:r>
        <w:t xml:space="preserve">第十一条：「我信身体复活」</w:t>
      </w:r>
    </w:p>
    <w:p>
      <w:pPr>
        <w:pStyle w:val="FirstParagraph"/>
      </w:pPr>
      <w:r>
        <w:t xml:space="preserve">基督徒的信经——即我们对圣父、圣子及其创造、拯救与圣化作为的信仰宣认——以宣告在末日死者身体复活与永生作为高峰。</w:t>
      </w:r>
    </w:p>
    <w:p>
      <w:pPr>
        <w:pStyle w:val="BodyText"/>
      </w:pPr>
      <w:r>
        <w:t xml:space="preserve">我们坚信并因此盼望：正如基督确实从死里复活、永远活着，义人死后也将与复活的基督永远同活，基督末了必叫他们复活。</w:t>
      </w:r>
      <w:r>
        <w:rPr>
          <w:rStyle w:val="FootnoteReference"/>
        </w:rPr>
        <w:footnoteReference w:id="1835"/>
      </w:r>
      <w:r>
        <w:t xml:space="preserve">我们的复活正如他的复活，都是至圣三位一体的作为：</w:t>
      </w:r>
    </w:p>
    <w:p>
      <w:pPr>
        <w:pStyle w:val="BodyText"/>
      </w:pPr>
      <w:r>
        <w:t xml:space="preserve">叫耶稣从死里复活者的灵若住在你们里面，那叫基督耶稣从死里复活的，也必藉着住在你们里面的灵，使你们必死的身体活过来。</w:t>
      </w:r>
      <w:r>
        <w:rPr>
          <w:rStyle w:val="FootnoteReference"/>
        </w:rPr>
        <w:footnoteReference w:id="1836"/>
      </w:r>
    </w:p>
    <w:p>
      <w:pPr>
        <w:pStyle w:val="BodyText"/>
      </w:pPr>
      <w:r>
        <w:t xml:space="preserve">「肉体」一词指人在软弱与必死状态中的存在。</w:t>
      </w:r>
      <w:r>
        <w:rPr>
          <w:rStyle w:val="FootnoteReference"/>
        </w:rPr>
        <w:footnoteReference w:id="1837"/>
      </w:r>
      <w:r>
        <w:t xml:space="preserve">「肉体的复活」(使徒信经的字面表述)意指人那不朽的灵魂不但死后仍存活，连我们这「必死的身体」也要再活过来。</w:t>
      </w:r>
      <w:r>
        <w:rPr>
          <w:rStyle w:val="FootnoteReference"/>
        </w:rPr>
        <w:footnoteReference w:id="1838"/>
      </w:r>
    </w:p>
    <w:p>
      <w:pPr>
        <w:pStyle w:val="BodyText"/>
      </w:pPr>
      <w:r>
        <w:t xml:space="preserve">对死人复活的信仰自基督信仰开始就是其核心要素。「基督徒的盼望在于死人复活，我们因信这个而活。」</w:t>
      </w:r>
      <w:r>
        <w:rPr>
          <w:rStyle w:val="FootnoteReference"/>
        </w:rPr>
        <w:footnoteReference w:id="1839"/>
      </w:r>
    </w:p>
    <w:p>
      <w:pPr>
        <w:pStyle w:val="BodyText"/>
      </w:pPr>
      <w:r>
        <w:t xml:space="preserve">在你们中间有人说没有死人复活的事。若没有死人复活的事，基督也就没有复活了。若基督没有复活，我们所传的便是枉然，你们所信的也是枉然……但基督已经从死里复活，成为睡了之人初熟的果子。</w:t>
      </w:r>
      <w:r>
        <w:rPr>
          <w:rStyle w:val="FootnoteReference"/>
        </w:rPr>
        <w:footnoteReference w:id="1840"/>
      </w:r>
    </w:p>
    <w:bookmarkStart w:id="1868" w:name="一基督的复活与我们的复活"/>
    <w:p>
      <w:pPr>
        <w:pStyle w:val="Heading5"/>
      </w:pPr>
      <w:r>
        <w:t xml:space="preserve">一、基督的复活与我们的复活</w:t>
      </w:r>
    </w:p>
    <w:bookmarkStart w:id="1853" w:name="复活的逐步启示"/>
    <w:p>
      <w:pPr>
        <w:pStyle w:val="Heading6"/>
      </w:pPr>
      <w:r>
        <w:t xml:space="preserve">复活的逐步启示</w:t>
      </w:r>
    </w:p>
    <w:p>
      <w:pPr>
        <w:pStyle w:val="FirstParagraph"/>
      </w:pPr>
      <w:r>
        <w:t xml:space="preserve">神将死人复活的启示逐步彰显给他的子民。对肉身复活的盼望源于相信神是灵魂与肉体全人的创造主，成为这信仰的必然结果。那位创造天地的主，也是持守与亚伯拉罕及其后裔盟约的忠实者。正是在这双重视角下，复活的信仰得以显明。马加比殉道者在试炼中宣告：</w:t>
      </w:r>
    </w:p>
    <w:p>
      <w:pPr>
        <w:pStyle w:val="BodyText"/>
      </w:pPr>
      <w:r>
        <w:t xml:space="preserve">宇宙的君王必使我们这些为他的律法舍命的人复活，得享永远的新生命。</w:t>
      </w:r>
      <w:r>
        <w:rPr>
          <w:rStyle w:val="FootnoteReference"/>
        </w:rPr>
        <w:footnoteReference w:id="1841"/>
      </w:r>
      <w:r>
        <w:t xml:space="preserve">人宁可在世人之手就死，也要怀着神赐的复生盼望。</w:t>
      </w:r>
      <w:r>
        <w:rPr>
          <w:rStyle w:val="FootnoteReference"/>
        </w:rPr>
        <w:footnoteReference w:id="1842"/>
      </w:r>
    </w:p>
    <w:p>
      <w:pPr>
        <w:pStyle w:val="BodyText"/>
      </w:pPr>
      <w:r>
        <w:t xml:space="preserve">法利赛人与主同时代的许多人都盼望复活。耶稣对此作坚定教导，回应否认复活的撒都该人时说道：「你们所以错了，岂不是因为不明白圣经，不晓得神的大能吗？」</w:t>
      </w:r>
      <w:r>
        <w:rPr>
          <w:rStyle w:val="FootnoteReference"/>
        </w:rPr>
        <w:footnoteReference w:id="1843"/>
      </w:r>
      <w:r>
        <w:t xml:space="preserve">复活的信心基于对那位「原不是死人的神，乃是活人的神」的信仰。</w:t>
      </w:r>
      <w:r>
        <w:rPr>
          <w:rStyle w:val="FootnoteReference"/>
        </w:rPr>
        <w:footnoteReference w:id="1844"/>
      </w:r>
    </w:p>
    <w:p>
      <w:pPr>
        <w:pStyle w:val="BodyText"/>
      </w:pPr>
      <w:r>
        <w:t xml:space="preserve">不仅如此，耶稣更将复活的信仰与他本人联系起来：「复活在我，生命也在我。」</w:t>
      </w:r>
      <w:r>
        <w:rPr>
          <w:rStyle w:val="FootnoteReference"/>
        </w:rPr>
        <w:footnoteReference w:id="1845"/>
      </w:r>
      <w:r>
        <w:t xml:space="preserve">末后的日子，耶稣自己要叫那些信他、吃他肉喝他血的人复活。</w:t>
      </w:r>
      <w:r>
        <w:rPr>
          <w:rStyle w:val="FootnoteReference"/>
        </w:rPr>
        <w:footnoteReference w:id="1846"/>
      </w:r>
      <w:r>
        <w:t xml:space="preserve">他甚至在今世已藉着使死人复活，显明这事的预兆与凭据，</w:t>
      </w:r>
      <w:r>
        <w:rPr>
          <w:rStyle w:val="FootnoteReference"/>
        </w:rPr>
        <w:footnoteReference w:id="1847"/>
      </w:r>
      <w:r>
        <w:t xml:space="preserve">并称这独特事件为「约拿的记号」</w:t>
      </w:r>
      <w:r>
        <w:rPr>
          <w:rStyle w:val="FootnoteReference"/>
        </w:rPr>
        <w:footnoteReference w:id="1848"/>
      </w:r>
      <w:r>
        <w:t xml:space="preserve">与圣殿的记号：他预告自己将被处死，但第三日要复活。</w:t>
      </w:r>
      <w:r>
        <w:rPr>
          <w:rStyle w:val="FootnoteReference"/>
        </w:rPr>
        <w:footnoteReference w:id="1849"/>
      </w:r>
    </w:p>
    <w:p>
      <w:pPr>
        <w:pStyle w:val="BodyText"/>
      </w:pPr>
      <w:r>
        <w:t xml:space="preserve">作基督的见证人就是「作他复活的见证」，就是「在他复活以后和[他们]同吃同喝」的见证。</w:t>
      </w:r>
      <w:r>
        <w:rPr>
          <w:rStyle w:val="FootnoteReference"/>
        </w:rPr>
        <w:footnoteReference w:id="1850"/>
      </w:r>
      <w:r>
        <w:t xml:space="preserve">与复活的基督相遇是基督徒复活盼望的特征，我们将像基督一样、与他同在并藉着他复活。</w:t>
      </w:r>
    </w:p>
    <w:p>
      <w:pPr>
        <w:pStyle w:val="BodyText"/>
      </w:pPr>
      <w:r>
        <w:t xml:space="preserve">自始以来，基督徒对复活的信仰就遭遇误解与反对。</w:t>
      </w:r>
      <w:r>
        <w:rPr>
          <w:rStyle w:val="FootnoteReference"/>
        </w:rPr>
        <w:footnoteReference w:id="1851"/>
      </w:r>
      <w:r>
        <w:t xml:space="preserve">「基督徒信仰在身体复活这点上，所遭受的反对最为剧烈。」</w:t>
      </w:r>
      <w:r>
        <w:rPr>
          <w:rStyle w:val="FootnoteReference"/>
        </w:rPr>
        <w:footnoteReference w:id="1852"/>
      </w:r>
      <w:r>
        <w:t xml:space="preserve">人们比较普遍接受人死后灵魂继续以属灵方式存活，但这明显会朽坏的躯体怎能复活进入永生？</w:t>
      </w:r>
    </w:p>
    <w:bookmarkEnd w:id="1853"/>
    <w:bookmarkStart w:id="1859" w:name="死人怎样复活"/>
    <w:p>
      <w:pPr>
        <w:pStyle w:val="Heading6"/>
      </w:pPr>
      <w:r>
        <w:t xml:space="preserve">死人怎样复活？</w:t>
      </w:r>
    </w:p>
    <w:p>
      <w:pPr>
        <w:pStyle w:val="FirstParagraph"/>
      </w:pPr>
      <w:r>
        <w:rPr>
          <w:i/>
          <w:iCs/>
        </w:rPr>
        <w:t xml:space="preserve">何谓「复活」？</w:t>
      </w:r>
      <w:r>
        <w:t xml:space="preserve">死亡时，灵魂与身体分离，肉身归于腐朽，灵魂前去与神相遇，等候与得荣耀的身体重新结合。神必以其全能，藉基督复活的大能，将不朽的生命最终赐予我们的身体，使灵魂体重新联合。</w:t>
      </w:r>
    </w:p>
    <w:p>
      <w:pPr>
        <w:pStyle w:val="BodyText"/>
      </w:pPr>
      <w:r>
        <w:rPr>
          <w:i/>
          <w:iCs/>
        </w:rPr>
        <w:t xml:space="preserve">谁将复活？</w:t>
      </w:r>
      <w:r>
        <w:t xml:space="preserve">所有死人都要复活，「行善的，复活得生；作恶的，复活定罪。」</w:t>
      </w:r>
      <w:r>
        <w:rPr>
          <w:rStyle w:val="FootnoteReference"/>
        </w:rPr>
        <w:footnoteReference w:id="1854"/>
      </w:r>
    </w:p>
    <w:p>
      <w:pPr>
        <w:pStyle w:val="BodyText"/>
      </w:pPr>
      <w:r>
        <w:rPr>
          <w:i/>
          <w:iCs/>
        </w:rPr>
        <w:t xml:space="preserve">怎样复活？</w:t>
      </w:r>
      <w:r>
        <w:t xml:space="preserve">基督带着他原本的身体复活：「看我的手、我的脚，就知道实在是我了」；但他并未回到属世的生命。因此，凡在基督里的都要「带着现存的形体复活」，而基督将「使我们卑贱的身体改变形状，和他自己荣耀的身体相似」，成为「属灵的身体」：</w:t>
      </w:r>
      <w:r>
        <w:rPr>
          <w:rStyle w:val="FootnoteReference"/>
        </w:rPr>
        <w:footnoteReference w:id="1855"/>
      </w:r>
      <w:r>
        <w:rPr>
          <w:rStyle w:val="FootnoteReference"/>
        </w:rPr>
        <w:footnoteReference w:id="1856"/>
      </w:r>
    </w:p>
    <w:p>
      <w:pPr>
        <w:pStyle w:val="BodyText"/>
      </w:pPr>
      <w:r>
        <w:t xml:space="preserve">或有人问：「死人怎样复活？带着什么身体来呢？」无知的人哪！你所种的若不死就不能生。并且你所种的不是那将来的形体，不过是子粒……所种的是朽坏的，复活的是不朽坏的……死人要复活成为不朽坏的。</w:t>
      </w:r>
      <w:r>
        <w:rPr>
          <w:rStyle w:val="FootnoteReference"/>
        </w:rPr>
        <w:footnoteReference w:id="1857"/>
      </w:r>
    </w:p>
    <w:p>
      <w:pPr>
        <w:pStyle w:val="BodyText"/>
      </w:pPr>
      <w:r>
        <w:t xml:space="preserve">这种「怎样」超越我们的想象与理解，只能在信心中接触。然而我们参与圣餐时，便已预先体尝基督对我们身体的改变：</w:t>
      </w:r>
    </w:p>
    <w:p>
      <w:pPr>
        <w:pStyle w:val="BodyText"/>
      </w:pPr>
      <w:r>
        <w:t xml:space="preserve">正如地上的饼经神祝谢后，不再是普通的饼，而是圣餐——由属地与属天两种元素构成；照样，我们领受圣餐的身体，也不再是必朽坏的，而有复活盼望的保证。</w:t>
      </w:r>
      <w:r>
        <w:rPr>
          <w:rStyle w:val="FootnoteReference"/>
        </w:rPr>
        <w:footnoteReference w:id="1858"/>
      </w:r>
    </w:p>
    <w:bookmarkEnd w:id="1859"/>
    <w:bookmarkStart w:id="1867" w:name="与基督同复活"/>
    <w:p>
      <w:pPr>
        <w:pStyle w:val="Heading6"/>
      </w:pPr>
      <w:r>
        <w:t xml:space="preserve">与基督同复活</w:t>
      </w:r>
    </w:p>
    <w:p>
      <w:pPr>
        <w:pStyle w:val="FirstParagraph"/>
      </w:pPr>
      <w:r>
        <w:t xml:space="preserve">何时复活？确切地说是在「末日」、「世界的终结」时。</w:t>
      </w:r>
      <w:r>
        <w:rPr>
          <w:rStyle w:val="FootnoteReference"/>
        </w:rPr>
        <w:footnoteReference w:id="1860"/>
      </w:r>
    </w:p>
    <w:p>
      <w:pPr>
        <w:pStyle w:val="BodyText"/>
      </w:pPr>
      <w:r>
        <w:t xml:space="preserve">因为主必亲自从天降临，有发令的呼叫、天使长的声音和神的号声，那在基督里死了的人必先复活。</w:t>
      </w:r>
      <w:r>
        <w:rPr>
          <w:rStyle w:val="FootnoteReference"/>
        </w:rPr>
        <w:footnoteReference w:id="1861"/>
      </w:r>
    </w:p>
    <w:p>
      <w:pPr>
        <w:pStyle w:val="BodyText"/>
      </w:pPr>
      <w:r>
        <w:t xml:space="preserve">基督要「在末日」叫我们复活，但从某层面说，我们也已与基督同复活。因圣灵的大能，基督徒的生命现今在地上已参与基督的死与复活。</w:t>
      </w:r>
    </w:p>
    <w:p>
      <w:pPr>
        <w:pStyle w:val="BodyText"/>
      </w:pPr>
      <w:r>
        <w:t xml:space="preserve">你们既受洗与他一同埋葬，也就在此与他一同复活，都是因信那叫他从死里复活之神的大能……你们若真与基督一同复活，就当求在上面的事，那里有基督坐在神的右边。</w:t>
      </w:r>
      <w:r>
        <w:rPr>
          <w:rStyle w:val="FootnoteReference"/>
        </w:rPr>
        <w:footnoteReference w:id="1862"/>
      </w:r>
    </w:p>
    <w:p>
      <w:pPr>
        <w:pStyle w:val="BodyText"/>
      </w:pPr>
      <w:r>
        <w:t xml:space="preserve">信徒藉洗礼与基督联合，真实参与了复活基督属天的生命，但这生命「与基督一同藏在神里面」。</w:t>
      </w:r>
      <w:r>
        <w:rPr>
          <w:rStyle w:val="FootnoteReference"/>
        </w:rPr>
        <w:footnoteReference w:id="1863"/>
      </w:r>
      <w:r>
        <w:t xml:space="preserve">父神已「叫我们与基督一同复活，一同坐在天上，在基督耶稣里」。</w:t>
      </w:r>
      <w:r>
        <w:rPr>
          <w:rStyle w:val="FootnoteReference"/>
        </w:rPr>
        <w:footnoteReference w:id="1864"/>
      </w:r>
      <w:r>
        <w:t xml:space="preserve">我们既领受圣餐中的身体滋养，就属于基督的身体了。末日复活时，我们「也要与他一同显现在荣耀里」。</w:t>
      </w:r>
      <w:r>
        <w:rPr>
          <w:rStyle w:val="FootnoteReference"/>
        </w:rPr>
        <w:footnoteReference w:id="1865"/>
      </w:r>
    </w:p>
    <w:p>
      <w:pPr>
        <w:pStyle w:val="BodyText"/>
      </w:pPr>
      <w:r>
        <w:t xml:space="preserve">在等候那日时，信徒的身心灵已分享属于基督的尊贵。这尊贵要求我们不仅尊重自己的身体，也要尊重他人——尤其是受苦者的躯体：</w:t>
      </w:r>
    </w:p>
    <w:p>
      <w:pPr>
        <w:pStyle w:val="BodyText"/>
      </w:pPr>
      <w:r>
        <w:t xml:space="preserve">身体是为主，主也是为身体。神已经叫主复活，也要用自己的力量叫我们复活。岂不晓得你们的身体是基督的肢体吗？……你们不是属自己的……所以要在你们的身子上荣耀神。</w:t>
      </w:r>
      <w:r>
        <w:rPr>
          <w:rStyle w:val="FootnoteReference"/>
        </w:rPr>
        <w:footnoteReference w:id="1866"/>
      </w:r>
    </w:p>
    <w:bookmarkEnd w:id="1867"/>
    <w:bookmarkEnd w:id="1868"/>
    <w:bookmarkStart w:id="1898" w:name="二在基督耶稣里死"/>
    <w:p>
      <w:pPr>
        <w:pStyle w:val="Heading5"/>
      </w:pPr>
      <w:r>
        <w:t xml:space="preserve">二、在基督耶稣里死</w:t>
      </w:r>
    </w:p>
    <w:p>
      <w:pPr>
        <w:pStyle w:val="FirstParagraph"/>
      </w:pPr>
      <w:r>
        <w:t xml:space="preserve">要与基督同复活，我们必须与基督同死——必须「离开身体与主同住」。</w:t>
      </w:r>
      <w:r>
        <w:rPr>
          <w:rStyle w:val="FootnoteReference"/>
        </w:rPr>
        <w:footnoteReference w:id="1869"/>
      </w:r>
      <w:r>
        <w:t xml:space="preserve">在这称作「离世」的死亡中，灵魂与身体分离。</w:t>
      </w:r>
      <w:r>
        <w:rPr>
          <w:rStyle w:val="FootnoteReference"/>
        </w:rPr>
        <w:footnoteReference w:id="1870"/>
      </w:r>
      <w:r>
        <w:t xml:space="preserve">到了死人复活之日，灵魂将与身体重新结合。</w:t>
      </w:r>
      <w:r>
        <w:rPr>
          <w:rStyle w:val="FootnoteReference"/>
        </w:rPr>
        <w:footnoteReference w:id="1871"/>
      </w:r>
    </w:p>
    <w:bookmarkStart w:id="1897" w:name="死亡"/>
    <w:p>
      <w:pPr>
        <w:pStyle w:val="Heading6"/>
      </w:pPr>
      <w:r>
        <w:t xml:space="preserve">死亡</w:t>
      </w:r>
    </w:p>
    <w:p>
      <w:pPr>
        <w:pStyle w:val="FirstParagraph"/>
      </w:pPr>
      <w:r>
        <w:t xml:space="preserve">「在死亡问题上，人的处境最被疑云笼罩。」</w:t>
      </w:r>
      <w:r>
        <w:rPr>
          <w:rStyle w:val="FootnoteReference"/>
        </w:rPr>
        <w:footnoteReference w:id="1872"/>
      </w:r>
      <w:r>
        <w:t xml:space="preserve">从某意义上说肉身死亡是自然的，但对信仰而言这其实是「罪的工价」。</w:t>
      </w:r>
      <w:r>
        <w:rPr>
          <w:rStyle w:val="FootnoteReference"/>
        </w:rPr>
        <w:footnoteReference w:id="1873"/>
      </w:r>
      <w:r>
        <w:t xml:space="preserve">凡在基督恩典中死去的人，乃是参与主的死亡，因而也能分享他的复活。</w:t>
      </w:r>
      <w:r>
        <w:rPr>
          <w:rStyle w:val="FootnoteReference"/>
        </w:rPr>
        <w:footnoteReference w:id="1874"/>
      </w:r>
    </w:p>
    <w:p>
      <w:pPr>
        <w:pStyle w:val="BodyText"/>
      </w:pPr>
      <w:r>
        <w:rPr>
          <w:i/>
          <w:iCs/>
        </w:rPr>
        <w:t xml:space="preserve">死亡是现世生命的终结</w:t>
      </w:r>
      <w:r>
        <w:t xml:space="preserve">。我们的生命以时间衡量，在岁月中逐渐变化、衰老，对世上一切生物而言，死亡似是生命的自然终点。这视角赋予生活紧迫感：铭记必死性让我们明白实现人生价值的时间有限。</w:t>
      </w:r>
    </w:p>
    <w:p>
      <w:pPr>
        <w:pStyle w:val="BodyText"/>
      </w:pPr>
      <w:r>
        <w:t xml:space="preserve">你趁着年幼……当记念造你的主……尘土仍归于地，灵仍归于赐灵的神。</w:t>
      </w:r>
      <w:r>
        <w:rPr>
          <w:rStyle w:val="FootnoteReference"/>
        </w:rPr>
        <w:footnoteReference w:id="1875"/>
      </w:r>
    </w:p>
    <w:p>
      <w:pPr>
        <w:pStyle w:val="BodyText"/>
      </w:pPr>
      <w:r>
        <w:rPr>
          <w:i/>
          <w:iCs/>
        </w:rPr>
        <w:t xml:space="preserve">死亡是罪的后果</w:t>
      </w:r>
      <w:r>
        <w:t xml:space="preserve">。作为圣经与圣传的权威诠释者，教会训导权教导说死亡是因人的罪进入世界。</w:t>
      </w:r>
      <w:r>
        <w:rPr>
          <w:rStyle w:val="FootnoteReference"/>
        </w:rPr>
        <w:footnoteReference w:id="1876"/>
      </w:r>
      <w:r>
        <w:t xml:space="preserve">尽管人本必朽，神原非定意要他死亡。因此死亡违背造物主的计划，循罪进入世界。</w:t>
      </w:r>
      <w:r>
        <w:rPr>
          <w:rStyle w:val="FootnoteReference"/>
        </w:rPr>
        <w:footnoteReference w:id="1877"/>
      </w:r>
      <w:r>
        <w:t xml:space="preserve">「肉身死亡——人若不犯罪本可不经历——就成为人尚待征服的『最后的仇敌』。」</w:t>
      </w:r>
      <w:r>
        <w:rPr>
          <w:rStyle w:val="FootnoteReference"/>
        </w:rPr>
        <w:footnoteReference w:id="1878"/>
      </w:r>
    </w:p>
    <w:p>
      <w:pPr>
        <w:pStyle w:val="BodyText"/>
      </w:pPr>
      <w:r>
        <w:rPr>
          <w:i/>
          <w:iCs/>
        </w:rPr>
        <w:t xml:space="preserve">死亡被基督转化</w:t>
      </w:r>
      <w:r>
        <w:t xml:space="preserve">。身为神子的耶稣也亲尝人性注定之死亡。然而面对死亡时的忧苦虽极，他仍以全然自由的顺服接受父神旨意。</w:t>
      </w:r>
      <w:r>
        <w:rPr>
          <w:rStyle w:val="FootnoteReference"/>
        </w:rPr>
        <w:footnoteReference w:id="1879"/>
      </w:r>
      <w:r>
        <w:t xml:space="preserve">耶稣的顺服将死亡的咒诅转化为祝福。</w:t>
      </w:r>
      <w:r>
        <w:rPr>
          <w:rStyle w:val="FootnoteReference"/>
        </w:rPr>
        <w:footnoteReference w:id="1880"/>
      </w:r>
    </w:p>
    <w:p>
      <w:pPr>
        <w:pStyle w:val="BodyText"/>
      </w:pPr>
      <w:r>
        <w:rPr>
          <w:i/>
          <w:iCs/>
        </w:rPr>
        <w:t xml:space="preserve">基督徒死亡的意义</w:t>
      </w:r>
    </w:p>
    <w:p>
      <w:pPr>
        <w:pStyle w:val="BodyText"/>
      </w:pPr>
      <w:r>
        <w:t xml:space="preserve">因着基督，基督徒的死亡具有积极意义：「我活着就是基督，我死了就有益处。」</w:t>
      </w:r>
      <w:r>
        <w:rPr>
          <w:rStyle w:val="FootnoteReference"/>
        </w:rPr>
        <w:footnoteReference w:id="1881"/>
      </w:r>
      <w:r>
        <w:t xml:space="preserve">「有可信的话说：我们若与基督同死，也必与他同活。」</w:t>
      </w:r>
      <w:r>
        <w:rPr>
          <w:rStyle w:val="FootnoteReference"/>
        </w:rPr>
        <w:footnoteReference w:id="1882"/>
      </w:r>
      <w:r>
        <w:t xml:space="preserve">基督徒死亡的本质更新在于：藉着洗礼，基督徒已在圣事中「与基督同死」为要活出新生命；若我们在基督的恩典中去世，肉身的死亡便补全这「与基督同死」，从而完成我们在他救赎行动中的结合：</w:t>
      </w:r>
    </w:p>
    <w:p>
      <w:pPr>
        <w:pStyle w:val="BodyText"/>
      </w:pPr>
      <w:r>
        <w:t xml:space="preserve">我宁为基督耶稣而死，也不愿统治天下万邦。我所寻求的是为我们舍命的那位，我所渴慕的是为我们复活的那位。我已到了临产时刻……愿我得享纯净之光；到那时，我才成为完全的人。</w:t>
      </w:r>
      <w:r>
        <w:rPr>
          <w:rStyle w:val="FootnoteReference"/>
        </w:rPr>
        <w:footnoteReference w:id="1883"/>
      </w:r>
    </w:p>
    <w:p>
      <w:pPr>
        <w:pStyle w:val="BodyText"/>
      </w:pPr>
      <w:r>
        <w:t xml:space="preserve">神藉死亡召人归向自己。因此基督徒能像圣保罗般渴想死亡：「情愿离世与基督同在。」</w:t>
      </w:r>
      <w:r>
        <w:rPr>
          <w:rStyle w:val="FootnoteReference"/>
        </w:rPr>
        <w:footnoteReference w:id="1884"/>
      </w:r>
      <w:r>
        <w:t xml:space="preserve">人可效法基督的榜样，将自身的死亡转化为对父神的顺服与爱的行动：</w:t>
      </w:r>
      <w:r>
        <w:rPr>
          <w:rStyle w:val="FootnoteReference"/>
        </w:rPr>
        <w:footnoteReference w:id="1885"/>
      </w:r>
    </w:p>
    <w:p>
      <w:pPr>
        <w:pStyle w:val="BodyText"/>
      </w:pPr>
      <w:r>
        <w:t xml:space="preserve">我的属地欲念已被钉死……内有活水的泉源向我低语：到父那里去吧。</w:t>
      </w:r>
      <w:r>
        <w:rPr>
          <w:rStyle w:val="FootnoteReference"/>
        </w:rPr>
        <w:footnoteReference w:id="1886"/>
      </w:r>
      <w:r>
        <w:br/>
      </w:r>
      <w:r>
        <w:t xml:space="preserve">我渴望见神，要见他就必须经历死亡。</w:t>
      </w:r>
      <w:r>
        <w:rPr>
          <w:rStyle w:val="FootnoteReference"/>
        </w:rPr>
        <w:footnoteReference w:id="1887"/>
      </w:r>
      <w:r>
        <w:br/>
      </w:r>
      <w:r>
        <w:t xml:space="preserve">我不是在死，而是进入生命。</w:t>
      </w:r>
      <w:r>
        <w:rPr>
          <w:rStyle w:val="FootnoteReference"/>
        </w:rPr>
        <w:footnoteReference w:id="1888"/>
      </w:r>
    </w:p>
    <w:p>
      <w:pPr>
        <w:pStyle w:val="BodyText"/>
      </w:pPr>
      <w:r>
        <w:t xml:space="preserve">基督徒对死亡的领悟在教会礼仪中得到独特体现：</w:t>
      </w:r>
      <w:r>
        <w:rPr>
          <w:rStyle w:val="FootnoteReference"/>
        </w:rPr>
        <w:footnoteReference w:id="1889"/>
      </w:r>
    </w:p>
    <w:p>
      <w:pPr>
        <w:pStyle w:val="BodyText"/>
      </w:pPr>
      <w:r>
        <w:t xml:space="preserve">主啊，为你的子民而言，生命并非终止，而是改变。当今世寄居的帐棚毁坏，我们便得着天上永恒的居所。</w:t>
      </w:r>
      <w:r>
        <w:rPr>
          <w:rStyle w:val="FootnoteReference"/>
        </w:rPr>
        <w:footnoteReference w:id="1890"/>
      </w:r>
    </w:p>
    <w:p>
      <w:pPr>
        <w:pStyle w:val="BodyText"/>
      </w:pPr>
      <w:r>
        <w:t xml:space="preserve">死亡是人今世之旅的终结，是神赐下恩典与怜悯期的终止，人当照着神的旨意活出今世生命并决定最终归宿。一旦「今世的唯一旅程」结束，</w:t>
      </w:r>
      <w:r>
        <w:rPr>
          <w:rStyle w:val="FootnoteReference"/>
        </w:rPr>
        <w:footnoteReference w:id="1891"/>
      </w:r>
      <w:r>
        <w:t xml:space="preserve">我们不再归回别的今世生命：「按着定命，人人都有一死。」</w:t>
      </w:r>
      <w:r>
        <w:rPr>
          <w:rStyle w:val="FootnoteReference"/>
        </w:rPr>
        <w:footnoteReference w:id="1892"/>
      </w:r>
      <w:r>
        <w:t xml:space="preserve">死后没有「轮回转生」之事。</w:t>
      </w:r>
    </w:p>
    <w:p>
      <w:pPr>
        <w:pStyle w:val="BodyText"/>
      </w:pPr>
      <w:r>
        <w:t xml:space="preserve">教会鼓励我们为死亡时刻作预备。譬如在古老的圣人连祷文中，我们要祈求：「主啊，救我们脱离猝死」；在《圣母祷文》中请求神的母亲「在我们临终时」代祷；并将自己托付于好死的主保圣人圣约瑟。</w:t>
      </w:r>
    </w:p>
    <w:p>
      <w:pPr>
        <w:pStyle w:val="BodyText"/>
      </w:pPr>
      <w:r>
        <w:t xml:space="preserve">你的一切行为、每一个思想，都应该像一个指望在今日之内就要死去的人。若你有平安的良心，死亡就不会使你大为恐惧……那么，为什么不远离罪，而要逃避死亡呢？如果你今天都还不配面对死亡，很难想象明天就会预备好了……</w:t>
      </w:r>
      <w:r>
        <w:rPr>
          <w:rStyle w:val="FootnoteReference"/>
        </w:rPr>
        <w:footnoteReference w:id="1893"/>
      </w:r>
    </w:p>
    <w:p>
      <w:pPr>
        <w:pStyle w:val="BodyText"/>
      </w:pPr>
      <w:r>
        <w:t xml:space="preserve">你的一切行动、每一个念头，都应像那预备在今日结束前离世的人一样。若你的良心安静清明，死亡就不会可怕……既然如此，为什么不远离罪，而要逃避死亡呢？如果你今天尚不配面对死亡，明天很可能也不会……</w:t>
      </w:r>
      <w:r>
        <w:rPr>
          <w:rStyle w:val="FootnoteReference"/>
        </w:rPr>
        <w:footnoteReference w:id="1894"/>
      </w:r>
    </w:p>
    <w:p>
      <w:pPr>
        <w:pStyle w:val="BodyText"/>
      </w:pPr>
      <w:r>
        <w:t xml:space="preserve">你的每个行动、每个意念，都该像今天就要死去的人。良心若平安，死亡便不足惧……何不远离罪孽而非逃避死亡？今日未预备好面对死亡，明日也不会……</w:t>
      </w:r>
      <w:r>
        <w:rPr>
          <w:rStyle w:val="FootnoteReference"/>
        </w:rPr>
        <w:footnoteReference w:id="1895"/>
      </w:r>
      <w:r>
        <w:t xml:space="preserve"> </w:t>
      </w:r>
      <w:r>
        <w:t xml:space="preserve">{ }</w:t>
      </w:r>
    </w:p>
    <w:p>
      <w:pPr>
        <w:pStyle w:val="BodyText"/>
      </w:pPr>
      <w:r>
        <w:t xml:space="preserve">我的主，愿你受赞颂，因我们的姊妹——肉身死亡——凡活着的人都无法逃避。在致死的罪中死去的人有祸了！在你的至圣旨意中找到的人有福了，因为第二次的死不能害他。</w:t>
      </w:r>
      <w:r>
        <w:rPr>
          <w:rStyle w:val="FootnoteReference"/>
        </w:rPr>
        <w:footnoteReference w:id="1896"/>
      </w:r>
    </w:p>
    <w:bookmarkEnd w:id="1897"/>
    <w:bookmarkEnd w:id="1898"/>
    <w:bookmarkStart w:id="1899" w:name="综述-28"/>
    <w:p>
      <w:pPr>
        <w:pStyle w:val="Heading5"/>
      </w:pPr>
      <w:r>
        <w:t xml:space="preserve">综述</w:t>
      </w:r>
    </w:p>
    <w:p>
      <w:pPr>
        <w:pStyle w:val="FirstParagraph"/>
      </w:pPr>
      <w:r>
        <w:t xml:space="preserve">「肉身乃救恩的枢纽」（特土良，《论复活》8,2：PL 2,852）。我们相信神是肉身的创造者；信圣言成为肉身是为救赎肉身；信肉身复活是肉身受造与救赎的完全实现。</w:t>
      </w:r>
    </w:p>
    <w:p>
      <w:pPr>
        <w:pStyle w:val="BodyText"/>
      </w:pPr>
      <w:r>
        <w:t xml:space="preserve">死亡时灵魂与身体分离，但在复活中神将赐下不朽生命，使身体经与灵魂重联而成为全新。正如基督复活永远活着，我们众人也要在末日复活。</w:t>
      </w:r>
    </w:p>
    <w:p>
      <w:pPr>
        <w:pStyle w:val="BodyText"/>
      </w:pPr>
      <w:r>
        <w:t xml:space="preserve">「我们相信我们如今所拥有的肉身必要真实复活」（第二次里昂大公会议：DS 854）。我们埋葬的是会朽坏的肉身，但神将使它复活成为不朽的「属灵的身体」（参</w:t>
      </w:r>
      <w:r>
        <w:rPr>
          <w:i/>
          <w:iCs/>
        </w:rPr>
        <w:t xml:space="preserve">林前</w:t>
      </w:r>
      <w:r>
        <w:t xml:space="preserve">15:42-44）。</w:t>
      </w:r>
    </w:p>
    <w:p>
      <w:pPr>
        <w:pStyle w:val="BodyText"/>
      </w:pPr>
      <w:r>
        <w:t xml:space="preserve">由于原罪，人类必须承受「肉身的死亡——人若不犯罪本可免于经历的痛苦」（《牧职宪章》§18）。</w:t>
      </w:r>
    </w:p>
    <w:p>
      <w:pPr>
        <w:pStyle w:val="BodyText"/>
      </w:pPr>
      <w:r>
        <w:t xml:space="preserve">耶稣，神的儿子，为我们甘愿承受死亡，全然自由地顺服他父神的旨意。他借着死亡战胜了死亡，为全人类开启了救恩的可能。</w:t>
      </w:r>
    </w:p>
    <w:p>
      <w:r>
        <w:br w:type="page"/>
      </w:r>
    </w:p>
    <w:bookmarkEnd w:id="1899"/>
    <w:bookmarkEnd w:id="1900"/>
    <w:bookmarkStart w:id="1961" w:name="第十二条我信永生"/>
    <w:p>
      <w:pPr>
        <w:pStyle w:val="Heading4"/>
      </w:pPr>
      <w:r>
        <w:t xml:space="preserve">第十二条：「我信永生」</w:t>
      </w:r>
    </w:p>
    <w:p>
      <w:pPr>
        <w:pStyle w:val="FirstParagraph"/>
      </w:pPr>
      <w:r>
        <w:t xml:space="preserve">将自己的死亡与耶稣的死亡结合在一起的基督徒，看这死亡是迈向他的脚步，并进入永生。当教会最后一次在临终的基督徒身上宣告基督的宽恕和赦免之言，用加强的傅油最后一次封印他，并以临终圣餐把基督赐给他作为旅途的滋养时，教会便以温柔的确据宣告：</w:t>
      </w:r>
    </w:p>
    <w:p>
      <w:pPr>
        <w:pStyle w:val="BodyText"/>
      </w:pPr>
      <w:r>
        <w:t xml:space="preserve">基督徒的灵魂啊，从这世界起身前行，</w:t>
      </w:r>
      <w:r>
        <w:br/>
      </w:r>
      <w:r>
        <w:t xml:space="preserve">奉全能父神的名，</w:t>
      </w:r>
      <w:r>
        <w:br/>
      </w:r>
      <w:r>
        <w:t xml:space="preserve">他创造了你；</w:t>
      </w:r>
      <w:r>
        <w:br/>
      </w:r>
      <w:r>
        <w:t xml:space="preserve">奉永生神之子耶稣基督的名，</w:t>
      </w:r>
      <w:r>
        <w:br/>
      </w:r>
      <w:r>
        <w:t xml:space="preserve">他为你受苦；</w:t>
      </w:r>
      <w:r>
        <w:br/>
      </w:r>
      <w:r>
        <w:t xml:space="preserve">奉圣灵的名，</w:t>
      </w:r>
      <w:r>
        <w:br/>
      </w:r>
      <w:r>
        <w:t xml:space="preserve">他已浇灌在你身上。</w:t>
      </w:r>
      <w:r>
        <w:br/>
      </w:r>
      <w:r>
        <w:t xml:space="preserve">前行吧，忠信的基督徒！</w:t>
      </w:r>
    </w:p>
    <w:p>
      <w:pPr>
        <w:pStyle w:val="BodyText"/>
      </w:pPr>
      <w:r>
        <w:t xml:space="preserve">愿你今日在平安中生活，</w:t>
      </w:r>
      <w:r>
        <w:br/>
      </w:r>
      <w:r>
        <w:t xml:space="preserve">愿你的家在锡安与神同在，</w:t>
      </w:r>
      <w:r>
        <w:br/>
      </w:r>
      <w:r>
        <w:t xml:space="preserve">与童贞神母马利亚同在，</w:t>
      </w:r>
      <w:r>
        <w:br/>
      </w:r>
      <w:r>
        <w:t xml:space="preserve">与约瑟以及众天使和众圣徒同在……</w:t>
      </w:r>
    </w:p>
    <w:p>
      <w:pPr>
        <w:pStyle w:val="BodyText"/>
      </w:pPr>
      <w:r>
        <w:t xml:space="preserve">基督徒的灵魂啊，你要从这世界出发，</w:t>
      </w:r>
      <w:r>
        <w:br/>
      </w:r>
      <w:r>
        <w:t xml:space="preserve">奉全能圣父神之名，</w:t>
      </w:r>
      <w:r>
        <w:br/>
      </w:r>
      <w:r>
        <w:t xml:space="preserve">他创造了你；</w:t>
      </w:r>
      <w:r>
        <w:br/>
      </w:r>
      <w:r>
        <w:t xml:space="preserve">奉永生神之子耶稣基督之名，</w:t>
      </w:r>
      <w:r>
        <w:br/>
      </w:r>
      <w:r>
        <w:t xml:space="preserve">他为你受了苦；</w:t>
      </w:r>
      <w:r>
        <w:br/>
      </w:r>
      <w:r>
        <w:t xml:space="preserve">奉圣灵的名，</w:t>
      </w:r>
      <w:r>
        <w:br/>
      </w:r>
      <w:r>
        <w:t xml:space="preserve">他已浇灌在你身上。</w:t>
      </w:r>
      <w:r>
        <w:br/>
      </w:r>
      <w:r>
        <w:t xml:space="preserve">前行吧，忠信的基督徒！</w:t>
      </w:r>
    </w:p>
    <w:p>
      <w:pPr>
        <w:pStyle w:val="BodyText"/>
      </w:pPr>
      <w:r>
        <w:t xml:space="preserve">愿你今日安居在平安中，</w:t>
      </w:r>
      <w:r>
        <w:br/>
      </w:r>
      <w:r>
        <w:t xml:space="preserve">愿你的家与神同在锡安，</w:t>
      </w:r>
      <w:r>
        <w:br/>
      </w:r>
      <w:r>
        <w:t xml:space="preserve">与马利亚——童贞的神的母亲——同在，</w:t>
      </w:r>
      <w:r>
        <w:br/>
      </w:r>
      <w:r>
        <w:t xml:space="preserve">与约瑟以及众天使、众圣徒同在……</w:t>
      </w:r>
    </w:p>
    <w:p>
      <w:pPr>
        <w:pStyle w:val="BodyText"/>
      </w:pPr>
      <w:r>
        <w:t xml:space="preserve">「走吧，基督徒的灵魂，从这世界走出去，</w:t>
      </w:r>
      <w:r>
        <w:br/>
      </w:r>
      <w:r>
        <w:t xml:space="preserve">奉全能圣父神的名——</w:t>
      </w:r>
      <w:r>
        <w:br/>
      </w:r>
      <w:r>
        <w:t xml:space="preserve">他创造了你；</w:t>
      </w:r>
      <w:r>
        <w:br/>
      </w:r>
      <w:r>
        <w:t xml:space="preserve">奉永生神的儿子耶稣基督的名，</w:t>
      </w:r>
      <w:r>
        <w:br/>
      </w:r>
      <w:r>
        <w:t xml:space="preserve">他为你受难；</w:t>
      </w:r>
      <w:r>
        <w:br/>
      </w:r>
      <w:r>
        <w:t xml:space="preserve">奉圣灵的名，</w:t>
      </w:r>
      <w:r>
        <w:br/>
      </w:r>
      <w:r>
        <w:t xml:space="preserve">他曾浇灌在你身上。</w:t>
      </w:r>
      <w:r>
        <w:br/>
      </w:r>
      <w:r>
        <w:t xml:space="preserve">走吧，忠实的基督徒！ { }</w:t>
      </w:r>
    </w:p>
    <w:p>
      <w:pPr>
        <w:pStyle w:val="BodyText"/>
      </w:pPr>
      <w:r>
        <w:t xml:space="preserve">愿你今天安然而居，</w:t>
      </w:r>
      <w:r>
        <w:br/>
      </w:r>
      <w:r>
        <w:t xml:space="preserve">愿你的家在锡安与神同在，</w:t>
      </w:r>
      <w:r>
        <w:br/>
      </w:r>
      <w:r>
        <w:t xml:space="preserve">与童贞神母马利亚，</w:t>
      </w:r>
      <w:r>
        <w:br/>
      </w:r>
      <w:r>
        <w:t xml:space="preserve">与约瑟，以及所有众天使和圣徒为伴…… { }</w:t>
      </w:r>
    </w:p>
    <w:p>
      <w:pPr>
        <w:pStyle w:val="BodyText"/>
      </w:pPr>
      <w:r>
        <w:t xml:space="preserve">愿你回到［你的造物主］那里，</w:t>
      </w:r>
      <w:r>
        <w:br/>
      </w:r>
      <w:r>
        <w:t xml:space="preserve">他用地上的尘土塑造了你；</w:t>
      </w:r>
      <w:r>
        <w:br/>
      </w:r>
      <w:r>
        <w:t xml:space="preserve">愿圣马利亚、众天使和所有圣徒，</w:t>
      </w:r>
      <w:r>
        <w:br/>
      </w:r>
      <w:r>
        <w:t xml:space="preserve">在你离开今生时前来迎接你……</w:t>
      </w:r>
      <w:r>
        <w:br/>
      </w:r>
      <w:r>
        <w:t xml:space="preserve">愿你得见你的救赎主，面对面。」</w:t>
      </w:r>
      <w:r>
        <w:rPr>
          <w:rStyle w:val="FootnoteReference"/>
        </w:rPr>
        <w:footnoteReference w:id="1901"/>
      </w:r>
    </w:p>
    <w:bookmarkStart w:id="1908" w:name="一个别审判"/>
    <w:p>
      <w:pPr>
        <w:pStyle w:val="Heading5"/>
      </w:pPr>
      <w:r>
        <w:t xml:space="preserve">一、个别审判</w:t>
      </w:r>
    </w:p>
    <w:p>
      <w:pPr>
        <w:pStyle w:val="FirstParagraph"/>
      </w:pPr>
      <w:r>
        <w:t xml:space="preserve">死亡为人类的生命——人可以选择接受或拒绝由基督彰显的神的恩典的时期——划下句点。</w:t>
      </w:r>
      <w:r>
        <w:rPr>
          <w:rStyle w:val="FootnoteReference"/>
        </w:rPr>
        <w:footnoteReference w:id="1902"/>
      </w:r>
      <w:r>
        <w:t xml:space="preserve"> </w:t>
      </w:r>
      <w:r>
        <w:t xml:space="preserve">新约主要在基督再来时的终末相遇中谈论审判，但也多次宣示，每个人在死后都会立刻按照自己的行为与信心得到报应。那个穷人拉撒路的比喻，以及基督在十字架上对那个好强盗所说的话，以及其他新约经文，都论及灵魂的最终归宿——有些人与他人可能会不同的归宿。</w:t>
      </w:r>
      <w:r>
        <w:rPr>
          <w:rStyle w:val="FootnoteReference"/>
        </w:rPr>
        <w:footnoteReference w:id="1903"/>
      </w:r>
    </w:p>
    <w:p>
      <w:pPr>
        <w:pStyle w:val="BodyText"/>
      </w:pPr>
      <w:r>
        <w:t xml:space="preserve">人在死亡的那一刻，就在指向基督的特定审判中，在不朽的灵魂里得到他永恒的报应：要么经由净化而进入天堂中的福乐</w:t>
      </w:r>
      <w:r>
        <w:rPr>
          <w:rStyle w:val="FootnoteReference"/>
        </w:rPr>
        <w:footnoteReference w:id="1904"/>
      </w:r>
      <w:r>
        <w:t xml:space="preserve">，或直接</w:t>
      </w:r>
      <w:r>
        <w:rPr>
          <w:rStyle w:val="FootnoteReference"/>
        </w:rPr>
        <w:footnoteReference w:id="1905"/>
      </w:r>
      <w:r>
        <w:t xml:space="preserve">进入天堂，或者立即且永远地被定罪。</w:t>
      </w:r>
      <w:r>
        <w:rPr>
          <w:rStyle w:val="FootnoteReference"/>
        </w:rPr>
        <w:footnoteReference w:id="1906"/>
      </w:r>
    </w:p>
    <w:p>
      <w:pPr>
        <w:pStyle w:val="BodyText"/>
      </w:pPr>
      <w:r>
        <w:t xml:space="preserve">在我们生命的黄昏，我们要按照我们的爱受到审判。</w:t>
      </w:r>
      <w:r>
        <w:rPr>
          <w:rStyle w:val="FootnoteReference"/>
        </w:rPr>
        <w:footnoteReference w:id="1907"/>
      </w:r>
    </w:p>
    <w:bookmarkEnd w:id="1908"/>
    <w:bookmarkStart w:id="1917" w:name="二天堂"/>
    <w:p>
      <w:pPr>
        <w:pStyle w:val="Heading5"/>
      </w:pPr>
      <w:r>
        <w:t xml:space="preserve">二、天堂</w:t>
      </w:r>
    </w:p>
    <w:p>
      <w:pPr>
        <w:pStyle w:val="FirstParagraph"/>
      </w:pPr>
      <w:r>
        <w:t xml:space="preserve">那些在神的恩典与友爱中去世且被彻底净化的人，将永远与基督同在。他们永远像神，因为他们「得见他的真貌」，面对面：</w:t>
      </w:r>
      <w:r>
        <w:rPr>
          <w:rStyle w:val="FootnoteReference"/>
        </w:rPr>
        <w:footnoteReference w:id="1909"/>
      </w:r>
    </w:p>
    <w:p>
      <w:pPr>
        <w:pStyle w:val="BodyText"/>
      </w:pPr>
      <w:r>
        <w:t xml:space="preserve">以我们的使徒权柄，我们定义如下：按照神的一般安排，所有圣徒的灵魂……以及在接受基督的圣洗之后离世的其他信徒（如果他们死时不需要洁净，……或者如果他们当时需要或将需要某种洁净，在死后得到洁净后，……）在他们重新得回身体之前，在普世审判之前——这是从我们的主救主耶稣基督升天以来——一直在天上，在天国和天堂乐园中与基督同在，与圣天使们同列。自从我们的主耶稣基督受难与死亡以来，这些灵魂已经并继续以直接的方式观看并亲见神的本质，甚至面对面，而不经任何受造物的中介。</w:t>
      </w:r>
      <w:r>
        <w:rPr>
          <w:rStyle w:val="FootnoteReference"/>
        </w:rPr>
        <w:footnoteReference w:id="1910"/>
      </w:r>
    </w:p>
    <w:p>
      <w:pPr>
        <w:pStyle w:val="BodyText"/>
      </w:pPr>
      <w:r>
        <w:t xml:space="preserve">与至圣三位一体共度的这完美生命——与三位一体、童贞马利亚、众天使以及所有蒙福者共享的生命与爱的共融——被称为「天堂」。天堂是人最深切渴望的最后归宿和圆满，实现了终极且决定性的至高幸福。</w:t>
      </w:r>
    </w:p>
    <w:p>
      <w:pPr>
        <w:pStyle w:val="BodyText"/>
      </w:pPr>
      <w:r>
        <w:t xml:space="preserve">生活在天堂就是「与基督同在」。被拣选者「在基督里」</w:t>
      </w:r>
      <w:r>
        <w:rPr>
          <w:rStyle w:val="FootnoteReference"/>
        </w:rPr>
        <w:footnoteReference w:id="1911"/>
      </w:r>
      <w:r>
        <w:t xml:space="preserve">，但他们也保有，或者更确切地说，是发现了他们真正的身份与名字。</w:t>
      </w:r>
      <w:r>
        <w:rPr>
          <w:rStyle w:val="FootnoteReference"/>
        </w:rPr>
        <w:footnoteReference w:id="1912"/>
      </w:r>
    </w:p>
    <w:p>
      <w:pPr>
        <w:pStyle w:val="BodyText"/>
      </w:pPr>
      <w:r>
        <w:t xml:space="preserve">因为生命就是与基督同在；基督在那里，生命也在那里，王国也在那里。</w:t>
      </w:r>
      <w:r>
        <w:rPr>
          <w:rStyle w:val="FootnoteReference"/>
        </w:rPr>
        <w:footnoteReference w:id="1913"/>
      </w:r>
    </w:p>
    <w:p>
      <w:pPr>
        <w:pStyle w:val="BodyText"/>
      </w:pPr>
      <w:r>
        <w:t xml:space="preserve">借着他的死亡与复活，耶稣基督已经「开启」了天堂。蒙福者的生命，就是充分且完美地分享由基督所完成救赎的成果。他使所有相信他并忠于他旨意的人，在他天上的荣耀中有分。天堂就是所有完全融入基督者所形成的蒙福团体。</w:t>
      </w:r>
    </w:p>
    <w:p>
      <w:pPr>
        <w:pStyle w:val="BodyText"/>
      </w:pPr>
      <w:r>
        <w:t xml:space="preserve">与神以及所有在基督里的人共享的这种蒙福共融奥秘，超越我们一切的理解与言语所能描述。经上以若干意象谈到它：生命、光明、平安、婚宴、国度之酒、父家、天上的耶路撒冷、乐园：「神为爱他的人所预备的，是眼睛未曾看见、耳朵未曾听见、人心也未曾想到的。」</w:t>
      </w:r>
      <w:r>
        <w:rPr>
          <w:rStyle w:val="FootnoteReference"/>
        </w:rPr>
        <w:footnoteReference w:id="1914"/>
      </w:r>
    </w:p>
    <w:p>
      <w:pPr>
        <w:pStyle w:val="BodyText"/>
      </w:pPr>
      <w:r>
        <w:t xml:space="preserve">由于神的超越性，若非他亲自向人开启他的奥秘，让人得以直接默观，并赐予人这种能力，人就无法看见神的真貌。教会将人于天上的荣光中默观神的境界称为「真福直观」：</w:t>
      </w:r>
    </w:p>
    <w:p>
      <w:pPr>
        <w:pStyle w:val="BodyText"/>
      </w:pPr>
      <w:r>
        <w:t xml:space="preserve">「能够得见神，与你的主与神——基督共享救恩与永恒之光的喜乐……并与义者及神的朋友们在天国中享有不朽的欢乐，你的荣耀和幸福将是何等伟大啊。」</w:t>
      </w:r>
      <w:r>
        <w:rPr>
          <w:rStyle w:val="FootnoteReference"/>
        </w:rPr>
        <w:footnoteReference w:id="1915"/>
      </w:r>
    </w:p>
    <w:p>
      <w:pPr>
        <w:pStyle w:val="BodyText"/>
      </w:pPr>
      <w:r>
        <w:t xml:space="preserve">在天堂的荣光中，蒙福者继续以喜乐之心去成就神对其他人以及对所有受造物的旨意。他们早已与基督一同为王；并与他一同「执掌王权，直到永永远远」。</w:t>
      </w:r>
      <w:r>
        <w:rPr>
          <w:rStyle w:val="FootnoteReference"/>
        </w:rPr>
        <w:footnoteReference w:id="1916"/>
      </w:r>
    </w:p>
    <w:bookmarkEnd w:id="1917"/>
    <w:bookmarkStart w:id="1923" w:name="三最后的净化或炼狱"/>
    <w:p>
      <w:pPr>
        <w:pStyle w:val="Heading5"/>
      </w:pPr>
      <w:r>
        <w:t xml:space="preserve">三、最后的净化，或炼狱</w:t>
      </w:r>
    </w:p>
    <w:p>
      <w:pPr>
        <w:pStyle w:val="FirstParagraph"/>
      </w:pPr>
      <w:r>
        <w:t xml:space="preserve">所有在神的恩典与友爱中去世，却尚未完全净化的人，确实已经得到了永恒救恩的保证；但他们在死后还要经受净化，好使他们获得进入天堂之喜乐所必需的圣洁。</w:t>
      </w:r>
    </w:p>
    <w:p>
      <w:pPr>
        <w:pStyle w:val="BodyText"/>
      </w:pPr>
      <w:r>
        <w:t xml:space="preserve">教会将被拣选者的这种最后净化称为</w:t>
      </w:r>
      <w:r>
        <w:rPr>
          <w:i/>
          <w:iCs/>
        </w:rPr>
        <w:t xml:space="preserve">炼狱</w:t>
      </w:r>
      <w:r>
        <w:t xml:space="preserve">，这与被定罪者所受的惩罚完全不同。</w:t>
      </w:r>
      <w:r>
        <w:rPr>
          <w:rStyle w:val="FootnoteReference"/>
        </w:rPr>
        <w:footnoteReference w:id="1918"/>
      </w:r>
    </w:p>
    <w:p>
      <w:pPr>
        <w:pStyle w:val="BodyText"/>
      </w:pPr>
      <w:r>
        <w:t xml:space="preserve">至于一些较轻微的过失，我们必须相信，在最后审判之前，有一个净化之火。那位真理的主说：凡亵渎圣灵的，无论今世来世，总不得赦免。由这句话我们明白，有些罪在今世即可被赦免，而另一些罪则要在来世才得赦免。</w:t>
      </w:r>
      <w:r>
        <w:rPr>
          <w:rStyle w:val="FootnoteReference"/>
        </w:rPr>
        <w:footnoteReference w:id="1919"/>
      </w:r>
    </w:p>
    <w:p>
      <w:pPr>
        <w:pStyle w:val="BodyText"/>
      </w:pPr>
      <w:r>
        <w:t xml:space="preserve">这一教导同样基于为亡者祈祷的传统做法，圣经已有记载：「因此［犹大·马加比］为死者献祭赎罪，使他们得脱离罪恶。」</w:t>
      </w:r>
      <w:r>
        <w:rPr>
          <w:rStyle w:val="FootnoteReference"/>
        </w:rPr>
        <w:footnoteReference w:id="1920"/>
      </w:r>
      <w:r>
        <w:t xml:space="preserve"> </w:t>
      </w:r>
      <w:r>
        <w:t xml:space="preserve">自初期开始，教会便敬奉亡者的纪念，并为他们献上祈祷，特别是圣餐祭，好使他们因此得到净化，得以见到神的真福直观。</w:t>
      </w:r>
      <w:r>
        <w:rPr>
          <w:rStyle w:val="FootnoteReference"/>
        </w:rPr>
        <w:footnoteReference w:id="1921"/>
      </w:r>
    </w:p>
    <w:p>
      <w:pPr>
        <w:pStyle w:val="BodyText"/>
      </w:pPr>
      <w:r>
        <w:t xml:space="preserve">让我们帮助并纪念他们。若是约伯的儿子们能因他们父亲的祭献而得洁净，我们为何要怀疑我们为亡者献上的供奉会带给他们一些安慰呢？让我们毫不犹豫地帮助那些已经去世的人，并为他们献上祈祷。</w:t>
      </w:r>
      <w:r>
        <w:rPr>
          <w:rStyle w:val="FootnoteReference"/>
        </w:rPr>
        <w:footnoteReference w:id="1922"/>
      </w:r>
    </w:p>
    <w:bookmarkEnd w:id="1923"/>
    <w:bookmarkStart w:id="1930" w:name="四地狱"/>
    <w:p>
      <w:pPr>
        <w:pStyle w:val="Heading5"/>
      </w:pPr>
      <w:r>
        <w:t xml:space="preserve">四、地狱</w:t>
      </w:r>
    </w:p>
    <w:p>
      <w:pPr>
        <w:pStyle w:val="FirstParagraph"/>
      </w:pPr>
      <w:r>
        <w:t xml:space="preserve">人若非在自由选择中去爱神，就无法与神结合。如果我们严重地得罪神、得罪邻人或得罪自己，也就无法爱神：「没有爱心的，仍住在死中。凡恨他弟兄的，就是杀人的；你们晓得凡杀人的，没有永生存在他里面。」</w:t>
      </w:r>
      <w:r>
        <w:rPr>
          <w:rStyle w:val="FootnoteReference"/>
        </w:rPr>
        <w:footnoteReference w:id="1924"/>
      </w:r>
      <w:r>
        <w:t xml:space="preserve"> </w:t>
      </w:r>
      <w:r>
        <w:t xml:space="preserve">我们的主警告我们，如果我们忽视贫穷者和那些渺小的人——也是他的弟兄——的迫切需要，就要与他分离。</w:t>
      </w:r>
      <w:r>
        <w:rPr>
          <w:rStyle w:val="FootnoteReference"/>
        </w:rPr>
        <w:footnoteReference w:id="1925"/>
      </w:r>
      <w:r>
        <w:t xml:space="preserve"> </w:t>
      </w:r>
      <w:r>
        <w:t xml:space="preserve">在没有悔改、也没有接受神的慈爱中死亡，意味着自己选择与他永远分离。这种与神及蒙福者的共融彻底隔绝的状态称为「地狱」。</w:t>
      </w:r>
    </w:p>
    <w:p>
      <w:pPr>
        <w:pStyle w:val="BodyText"/>
      </w:pPr>
      <w:r>
        <w:t xml:space="preserve">耶稣常常提及「硫磺地狱」，那是「不灭的火」，为那些在生命终了之前仍拒绝相信并悔改的人预备的，灵魂和身体都在那里灭亡。</w:t>
      </w:r>
      <w:r>
        <w:rPr>
          <w:rStyle w:val="FootnoteReference"/>
        </w:rPr>
        <w:footnoteReference w:id="1926"/>
      </w:r>
    </w:p>
    <w:p>
      <w:pPr>
        <w:pStyle w:val="BodyText"/>
      </w:pPr>
      <w:r>
        <w:t xml:space="preserve">教会的教导肯定了地狱的存在及其永恒性。那些在致死的罪中去世的人，会在死后立即堕到地狱，在那里承受地狱的刑罚，「永火」。</w:t>
      </w:r>
      <w:r>
        <w:rPr>
          <w:rStyle w:val="FootnoteReference"/>
        </w:rPr>
        <w:footnoteReference w:id="1927"/>
      </w:r>
    </w:p>
    <w:p>
      <w:pPr>
        <w:pStyle w:val="BodyText"/>
      </w:pPr>
      <w:r>
        <w:t xml:space="preserve">圣经的宣示与教会关于地狱的教导，呼唤人担起责任，为了自己的永恒命运而善用自由。这同时也是一项迫切的悔改呼声：「你们要进窄门。因为引到灭亡，那门是宽的，路是大的，进去的人也多；引到永生，那门是窄的，路是小的，找着的人也少。」</w:t>
      </w:r>
      <w:r>
        <w:rPr>
          <w:rStyle w:val="FootnoteReference"/>
        </w:rPr>
        <w:footnoteReference w:id="1928"/>
      </w:r>
    </w:p>
    <w:p>
      <w:pPr>
        <w:pStyle w:val="BodyText"/>
      </w:pPr>
      <w:r>
        <w:t xml:space="preserve">既然我们不知道那日子与时辰，就应遵从主的劝告，常常醒寤，好让我们在独一无二的此生旅程结束时，配得与他同入婚宴，列数于蒙福者之中，而不是像那又懒又恶的仆人一样，被命令投进永远的火里，进入外面黑暗之处，在那里「人要哀哭切齿」。</w:t>
      </w:r>
      <w:r>
        <w:rPr>
          <w:rStyle w:val="FootnoteReference"/>
        </w:rPr>
        <w:footnoteReference w:id="1929"/>
      </w:r>
    </w:p>
    <w:bookmarkEnd w:id="1930"/>
    <w:bookmarkStart w:id="1937" w:name="五最后审判"/>
    <w:p>
      <w:pPr>
        <w:pStyle w:val="Heading5"/>
      </w:pPr>
      <w:r>
        <w:t xml:space="preserve">五、最后审判</w:t>
      </w:r>
    </w:p>
    <w:p>
      <w:pPr>
        <w:pStyle w:val="FirstParagraph"/>
      </w:pPr>
      <w:r>
        <w:t xml:space="preserve">所有死人的复活，「义的和不义的都要复活」，将在最后审判之前发生。那时「凡在坟墓里的，都要听见［人子的］声音就出来：行善的，复活得生；作恶的，复活定罪。」</w:t>
      </w:r>
      <w:r>
        <w:rPr>
          <w:rStyle w:val="FootnoteReference"/>
        </w:rPr>
        <w:footnoteReference w:id="1931"/>
      </w:r>
    </w:p>
    <w:p>
      <w:pPr>
        <w:pStyle w:val="BodyText"/>
      </w:pPr>
      <w:r>
        <w:t xml:space="preserve">在基督——他本身就是真理——面前，每个人与神之间关系的真相都将被彻底揭示。</w:t>
      </w:r>
      <w:r>
        <w:rPr>
          <w:rStyle w:val="FootnoteReference"/>
        </w:rPr>
        <w:footnoteReference w:id="1932"/>
      </w:r>
      <w:r>
        <w:t xml:space="preserve"> </w:t>
      </w:r>
      <w:r>
        <w:t xml:space="preserve">最后的审判将把每个人在今世所行或所未行的一切良善，乃至其最终后果，都予以昭示：</w:t>
      </w:r>
    </w:p>
    <w:p>
      <w:pPr>
        <w:pStyle w:val="BodyText"/>
      </w:pPr>
      <w:r>
        <w:t xml:space="preserve">恶人所行的一切都被记录，而他们却不知道。当「我们的神来临，他必不闭口」。。。他要转向那些在他左边的人：。。。「我把我的贫穷小子们安置在地上是为了你们。我作为他们的头，坐在天上我父的右边——但在地上我的肢体正在受苦，我在地上的肢体正在缺乏。如果你们给我的肢体什么，你们所给的就会达到他们的头。但愿你们知道，当我把我的小子们安置在地上，立他们作你们的管家，要把你们的善行带到我的库中时，他们是多么缺乏。但你们没有把任何东西放在他们手中，所以你们在我面前也找不到什么。」</w:t>
      </w:r>
      <w:r>
        <w:rPr>
          <w:rStyle w:val="FootnoteReference"/>
        </w:rPr>
        <w:footnoteReference w:id="1933"/>
      </w:r>
    </w:p>
    <w:p>
      <w:pPr>
        <w:pStyle w:val="BodyText"/>
      </w:pPr>
      <w:r>
        <w:t xml:space="preserve">当基督在荣光中再来时，最后的审判就会来到。只有圣父知道那日子与时辰，只有他决定它来临的时刻。到那时，他会借他的圣子耶稣基督，为整个历史发出最终宣判。我们将认识整个受造界之工程与全部救恩计划的终极意义，并明白他以奇妙的方式，通过他的上智安排，引导万有走向最终的目标。最后的审判将显示神的正义战胜了受造物所行的一切不义，并且神的爱比死亡更强大。</w:t>
      </w:r>
      <w:r>
        <w:rPr>
          <w:rStyle w:val="FootnoteReference"/>
        </w:rPr>
        <w:footnoteReference w:id="1934"/>
      </w:r>
    </w:p>
    <w:p>
      <w:pPr>
        <w:pStyle w:val="BodyText"/>
      </w:pPr>
      <w:r>
        <w:t xml:space="preserve">在神仍然赐下「悦纳的时候……救恩的日子」之际，关于最后审判的讯息便呼唤人心悔改。</w:t>
      </w:r>
      <w:r>
        <w:rPr>
          <w:rStyle w:val="FootnoteReference"/>
        </w:rPr>
        <w:footnoteReference w:id="1935"/>
      </w:r>
      <w:r>
        <w:t xml:space="preserve"> </w:t>
      </w:r>
      <w:r>
        <w:t xml:space="preserve">它也激发人对神的敬畏，并使人致力于神国的正义。它宣告主再来的「可蒙福的盼望」，在那日子，他要「在他的圣者中得荣耀，并在所有相信的人中受惊叹」。</w:t>
      </w:r>
      <w:r>
        <w:rPr>
          <w:rStyle w:val="FootnoteReference"/>
        </w:rPr>
        <w:footnoteReference w:id="1936"/>
      </w:r>
    </w:p>
    <w:bookmarkEnd w:id="1937"/>
    <w:bookmarkStart w:id="1952" w:name="六新天新地的盼望"/>
    <w:p>
      <w:pPr>
        <w:pStyle w:val="Heading5"/>
      </w:pPr>
      <w:r>
        <w:t xml:space="preserve">六、新天新地的盼望</w:t>
      </w:r>
    </w:p>
    <w:p>
      <w:pPr>
        <w:pStyle w:val="FirstParagraph"/>
      </w:pPr>
      <w:r>
        <w:t xml:space="preserve">在时间的尽头，神的国度将圆满来临。普世审判之后，义人将与基督同享永远的王权，在身体与灵魂上都荣耀更新。宇宙本身也将被更新：</w:t>
      </w:r>
    </w:p>
    <w:p>
      <w:pPr>
        <w:pStyle w:val="BodyText"/>
      </w:pPr>
      <w:r>
        <w:t xml:space="preserve">「教会……只有在天上的荣耀中，才会获得她的圆满，此时也正是万物更新的时刻。到那时候，与人类一同，这与人息息相关并透过人而实现其命运的宇宙本身，也将于基督里得到圆满的重建。」</w:t>
      </w:r>
      <w:r>
        <w:rPr>
          <w:rStyle w:val="FootnoteReference"/>
        </w:rPr>
        <w:footnoteReference w:id="1938"/>
      </w:r>
    </w:p>
    <w:p>
      <w:pPr>
        <w:pStyle w:val="BodyText"/>
      </w:pPr>
      <w:r>
        <w:t xml:space="preserve">圣经称这种使人类与世界焕然一新的神秘更新为「新天新地」。</w:t>
      </w:r>
      <w:r>
        <w:rPr>
          <w:rStyle w:val="FootnoteReference"/>
        </w:rPr>
        <w:footnoteReference w:id="1939"/>
      </w:r>
    </w:p>
    <w:p>
      <w:pPr>
        <w:pStyle w:val="BodyText"/>
      </w:pPr>
      <w:r>
        <w:t xml:space="preserve">在这个新天地里，即天上的耶路撒冷，神要与人同住。</w:t>
      </w:r>
      <w:r>
        <w:rPr>
          <w:rStyle w:val="FootnoteReference"/>
        </w:rPr>
        <w:footnoteReference w:id="1940"/>
      </w:r>
      <w:r>
        <w:t xml:space="preserve">「他要擦去他们一切的眼泪，不再有死亡，也不再有悲哀、哭号、疼痛，因为先前的事都过去了。」</w:t>
      </w:r>
      <w:r>
        <w:rPr>
          <w:rStyle w:val="FootnoteReference"/>
        </w:rPr>
        <w:footnoteReference w:id="1941"/>
      </w:r>
    </w:p>
    <w:p>
      <w:pPr>
        <w:pStyle w:val="BodyText"/>
      </w:pPr>
      <w:r>
        <w:t xml:space="preserve">对人而言，这个圆满境地，将是人类合一的最终实现，这是神自创造之初就所愿意的，而行旅中的教会一直是「有如圣事」的标记。</w:t>
      </w:r>
      <w:r>
        <w:rPr>
          <w:rStyle w:val="FootnoteReference"/>
        </w:rPr>
        <w:footnoteReference w:id="1942"/>
      </w:r>
      <w:r>
        <w:t xml:space="preserve"> </w:t>
      </w:r>
      <w:r>
        <w:t xml:space="preserve">凡与基督结合的人，将组成得赎者的团体，就是神的「圣城」「羔羊的新妇」。</w:t>
      </w:r>
      <w:r>
        <w:rPr>
          <w:rStyle w:val="FootnoteReference"/>
        </w:rPr>
        <w:footnoteReference w:id="1943"/>
      </w:r>
      <w:r>
        <w:t xml:space="preserve"> </w:t>
      </w:r>
      <w:r>
        <w:t xml:space="preserve">她将不再被罪恶、污点、自爱这些会摧毁或伤害属世团体的东西所伤。</w:t>
      </w:r>
      <w:r>
        <w:rPr>
          <w:rStyle w:val="FootnoteReference"/>
        </w:rPr>
        <w:footnoteReference w:id="1944"/>
      </w:r>
      <w:r>
        <w:t xml:space="preserve"> </w:t>
      </w:r>
      <w:r>
        <w:t xml:space="preserve">在真福直观中，神以取之不尽的方式向被拣选者显示自己，这将成为源源不断的幸福、和平与共融之泉。</w:t>
      </w:r>
    </w:p>
    <w:p>
      <w:pPr>
        <w:pStyle w:val="BodyText"/>
      </w:pPr>
      <w:r>
        <w:t xml:space="preserve">对宇宙而言，启示确认物质世界与人类有着深刻的共同命运：</w:t>
      </w:r>
    </w:p>
    <w:p>
      <w:pPr>
        <w:pStyle w:val="BodyText"/>
      </w:pPr>
      <w:r>
        <w:t xml:space="preserve">受造之物切望等候神的众子显出来。。。指望被造之物自己也要从败坏的辖制下得释放。。。我们知道一切受造之物一同叹息、劳苦，直到如今。不但如此，就是我们这有圣灵初结果子的，也是自己心里叹息，等候得着儿子的名分，就是我们的身体得赎。</w:t>
      </w:r>
      <w:r>
        <w:rPr>
          <w:rStyle w:val="FootnoteReference"/>
        </w:rPr>
        <w:footnoteReference w:id="1945"/>
      </w:r>
    </w:p>
    <w:p>
      <w:pPr>
        <w:pStyle w:val="BodyText"/>
      </w:pPr>
      <w:r>
        <w:t xml:space="preserve">因此，这可见的宇宙注定要被改变，「以便世界自身复原到最初的状态，不再有任何阻碍，能为义人效力」，并在复活的耶稣基督里分享他们的荣耀。</w:t>
      </w:r>
      <w:r>
        <w:rPr>
          <w:rStyle w:val="FootnoteReference"/>
        </w:rPr>
        <w:footnoteReference w:id="1946"/>
      </w:r>
    </w:p>
    <w:p>
      <w:pPr>
        <w:pStyle w:val="BodyText"/>
      </w:pPr>
      <w:r>
        <w:t xml:space="preserve">「我们既不知人间与大地圆满的时刻，也不知道宇宙要如何被改变。这个因罪而扭曲的世界正逐渐逝去，而我们获知，神正预备一个新居所和新天地，让公义在其中居住，幸福得以充满并超越人心中一切对和平的渴望。」</w:t>
      </w:r>
      <w:r>
        <w:rPr>
          <w:rStyle w:val="FootnoteReference"/>
        </w:rPr>
        <w:footnoteReference w:id="1947"/>
      </w:r>
    </w:p>
    <w:p>
      <w:pPr>
        <w:pStyle w:val="BodyText"/>
      </w:pPr>
      <w:r>
        <w:t xml:space="preserve">「对新天地的盼望并不应减少我们对发展这块土地的关注，反而应激励我们，因为正是在这里，一个新人类家庭的体逐渐成长，在某种程度上预示将来的时代。为此，虽然我们必须谨慎地区分今世的进步和基督国度的扩展，但只要这种前进能够帮助人类社会更好地井然有序，对于神的国度就至关重要。」</w:t>
      </w:r>
      <w:r>
        <w:rPr>
          <w:rStyle w:val="FootnoteReference"/>
        </w:rPr>
        <w:footnoteReference w:id="1948"/>
      </w:r>
    </w:p>
    <w:p>
      <w:pPr>
        <w:pStyle w:val="BodyText"/>
      </w:pPr>
      <w:r>
        <w:t xml:space="preserve">「当我们按照主的命令并在他的灵里，在地上传播我们本性和事业的果实。。。当基督将永恒和普世的国度呈现给他的父时，我们将再次找到这些果实，这次它们已经洁净，不再有罪的污点，被光照和改变。」</w:t>
      </w:r>
      <w:r>
        <w:rPr>
          <w:rStyle w:val="FootnoteReference"/>
        </w:rPr>
        <w:footnoteReference w:id="1949"/>
      </w:r>
      <w:r>
        <w:t xml:space="preserve">那时，在永生中，神将「在万物中成为一切」：</w:t>
      </w:r>
      <w:r>
        <w:rPr>
          <w:rStyle w:val="FootnoteReference"/>
        </w:rPr>
        <w:footnoteReference w:id="1950"/>
      </w:r>
    </w:p>
    <w:p>
      <w:pPr>
        <w:pStyle w:val="BodyText"/>
      </w:pPr>
      <w:r>
        <w:t xml:space="preserve">真正而长存的生命即在于此：圣父藉着圣子，并在圣灵内，将他天上的恩典倾注在万物之上，无一遗漏。借着他的怜悯，我们这些人也承受了不可剥夺的永生应许。</w:t>
      </w:r>
      <w:r>
        <w:rPr>
          <w:rStyle w:val="FootnoteReference"/>
        </w:rPr>
        <w:footnoteReference w:id="1951"/>
      </w:r>
    </w:p>
    <w:bookmarkEnd w:id="1952"/>
    <w:bookmarkStart w:id="1953" w:name="综述-29"/>
    <w:p>
      <w:pPr>
        <w:pStyle w:val="Heading5"/>
      </w:pPr>
      <w:r>
        <w:t xml:space="preserve">综述</w:t>
      </w:r>
    </w:p>
    <w:p>
      <w:pPr>
        <w:pStyle w:val="FirstParagraph"/>
      </w:pPr>
      <w:r>
        <w:t xml:space="preserve">在每个人死亡的那一刻，他就在永生者与死者的审判者——基督的个别审判中，于其不朽的灵魂里领受自己永恒的报偿。</w:t>
      </w:r>
    </w:p>
    <w:p>
      <w:pPr>
        <w:pStyle w:val="BodyText"/>
      </w:pPr>
      <w:r>
        <w:t xml:space="preserve">「我们相信，所有在基督的恩典中去世的灵魂……都是死后仍然属于神的子民。在复活的那日，死亡将被最终战胜，那时这些灵魂会与他们的身体重新结合。」（保禄六世，《CPG》§ 28）</w:t>
      </w:r>
    </w:p>
    <w:p>
      <w:pPr>
        <w:pStyle w:val="BodyText"/>
      </w:pPr>
      <w:r>
        <w:t xml:space="preserve">「我们相信，那在乐园里围绕耶稣与马利亚的无数人，组成了天上的教会。在那永恒的福乐中，他们得见神的本来面貌，同时他们也在不同程度上与圣天使一同参与基督在荣耀中所施行的治理，借着代祷与兄弟般的关爱帮助我们的软弱。」（保禄六世，《CPG》§ 29）</w:t>
      </w:r>
    </w:p>
    <w:p>
      <w:pPr>
        <w:pStyle w:val="BodyText"/>
      </w:pPr>
      <w:r>
        <w:t xml:space="preserve">那些在神的恩典与友谊中去世但尚未完全净化的人，虽然已确定得到永恒的救恩，但仍需在死后经历净化，好使他们获得进入神之喜乐所需的圣洁。</w:t>
      </w:r>
    </w:p>
    <w:p>
      <w:pPr>
        <w:pStyle w:val="BodyText"/>
      </w:pPr>
      <w:r>
        <w:t xml:space="preserve">基于「圣徒相通」的奥秘，教会将亡者托付于神的怜悯，并为他们献上祈祷，尤其是圣餐的祭献。</w:t>
      </w:r>
    </w:p>
    <w:p>
      <w:pPr>
        <w:pStyle w:val="BodyText"/>
      </w:pPr>
      <w:r>
        <w:t xml:space="preserve">依照基督的榜样，教会提醒信徒注意「悲惨且值得哀伤的永死现实」（《GCD》69），这也被称为「地狱」。</w:t>
      </w:r>
    </w:p>
    <w:p>
      <w:pPr>
        <w:pStyle w:val="BodyText"/>
      </w:pPr>
      <w:r>
        <w:t xml:space="preserve">地狱的主要刑罚在于与神永远分离；唯有在神内，人才能获得他受造与渴望的生命与幸福。</w:t>
      </w:r>
    </w:p>
    <w:p>
      <w:pPr>
        <w:pStyle w:val="BodyText"/>
      </w:pPr>
      <w:r>
        <w:t xml:space="preserve">教会祈祷愿无人丧亡：「主啊，愿我永远不与你分离。」如果说没有人能自救，那么同样确实的是神「愿意万人得救，明白真道」（提后 2:4），并且「在神凡事都能」（太 19:26）。</w:t>
      </w:r>
    </w:p>
    <w:p>
      <w:pPr>
        <w:pStyle w:val="BodyText"/>
      </w:pPr>
      <w:r>
        <w:t xml:space="preserve">「神圣的罗马教会坚信并宣认，在审判之日，所有人都要以各自的身体出现在基督的审判台前，为他们自身的所作所为交帐。」（里昂第二次大公会议[1274]：DS 859；参 DS 1549）</w:t>
      </w:r>
    </w:p>
    <w:p>
      <w:pPr>
        <w:pStyle w:val="BodyText"/>
      </w:pPr>
      <w:r>
        <w:t xml:space="preserve">在时间的尽头，神的国度将圆满地到来。那时，义人将永远与基督同治，身体与灵魂同得荣耀，整个物质宇宙也将被更新。届时，神将在永生里「成为万物中的一切」（林前 15:28）。</w:t>
      </w:r>
    </w:p>
    <w:bookmarkEnd w:id="1953"/>
    <w:bookmarkStart w:id="1960" w:name="阿们"/>
    <w:p>
      <w:pPr>
        <w:pStyle w:val="Heading5"/>
      </w:pPr>
      <w:r>
        <w:t xml:space="preserve">阿们</w:t>
      </w:r>
    </w:p>
    <w:p>
      <w:pPr>
        <w:pStyle w:val="FirstParagraph"/>
      </w:pPr>
      <w:r>
        <w:t xml:space="preserve">信经如同圣经的最后一本书一样，以希伯来语的「amen」结束。新约中也常以这个词来结束祈祷。教会同样在祈祷的末尾以「阿们」作结。</w:t>
      </w:r>
    </w:p>
    <w:p>
      <w:pPr>
        <w:pStyle w:val="BodyText"/>
      </w:pPr>
      <w:r>
        <w:t xml:space="preserve">在希伯来语中，「amen」与「相信」出自同一字根。这个字根表达稳固、可信与忠诚。因此，我们可以理解，为何「阿们」既可表达神对我们的信实，也可表达我们对神的信赖。</w:t>
      </w:r>
    </w:p>
    <w:p>
      <w:pPr>
        <w:pStyle w:val="BodyText"/>
      </w:pPr>
      <w:r>
        <w:t xml:space="preserve">在先知以赛亚书中，我们看见了「真实的神」这一表达（字面上是「阿们的神」），也就是对自己应许忠诚的神：「在这地上为自己祝福的，必凭这真实的神［阿们］自祝。」</w:t>
      </w:r>
      <w:r>
        <w:rPr>
          <w:rStyle w:val="FootnoteReference"/>
        </w:rPr>
        <w:footnoteReference w:id="1954"/>
      </w:r>
      <w:r>
        <w:t xml:space="preserve"> </w:t>
      </w:r>
      <w:r>
        <w:t xml:space="preserve">我们的主常常使用「阿们」一词，有时还会重复使用，</w:t>
      </w:r>
      <w:r>
        <w:rPr>
          <w:rStyle w:val="FootnoteReference"/>
        </w:rPr>
        <w:footnoteReference w:id="1955"/>
      </w:r>
      <w:r>
        <w:t xml:space="preserve"> </w:t>
      </w:r>
      <w:r>
        <w:t xml:space="preserve">以强调他教导的可靠性，以及他在神的真理上所立的权威。</w:t>
      </w:r>
    </w:p>
    <w:p>
      <w:pPr>
        <w:pStyle w:val="BodyText"/>
      </w:pPr>
      <w:r>
        <w:t xml:space="preserve">因此，信经结尾的「阿们」正好重复并确证了开头的「我信」。去相信，就是对神的言语、应许和诫命说「阿们」；将自己完全托付给这位无限之爱与完美信实的「阿们」。基督徒的日常生活，也将成为对我们在洗礼时所宣认的「我信」之「阿们」：</w:t>
      </w:r>
    </w:p>
    <w:p>
      <w:pPr>
        <w:pStyle w:val="BodyText"/>
      </w:pPr>
      <w:r>
        <w:t xml:space="preserve">「愿你的信经成为你的明镜。你当借此反照自己，看你是否真相信你嘴里所宣称的一切。并在每天就这信仰而欢欣。」</w:t>
      </w:r>
      <w:r>
        <w:rPr>
          <w:rStyle w:val="FootnoteReference"/>
        </w:rPr>
        <w:footnoteReference w:id="1956"/>
      </w:r>
    </w:p>
    <w:p>
      <w:pPr>
        <w:pStyle w:val="BodyText"/>
      </w:pPr>
      <w:r>
        <w:t xml:space="preserve">耶稣基督自己就是「阿们」。</w:t>
      </w:r>
      <w:r>
        <w:rPr>
          <w:rStyle w:val="FootnoteReference"/>
        </w:rPr>
        <w:footnoteReference w:id="1957"/>
      </w:r>
      <w:r>
        <w:t xml:space="preserve"> </w:t>
      </w:r>
      <w:r>
        <w:t xml:space="preserve">他是圣父对我们之爱的终极「阿们」。他领受并完成我们献给圣父的「阿们」：「神的一切应许在他都是真实的，因此我们也借着他向神说阿们，使神得荣耀。」</w:t>
      </w:r>
      <w:r>
        <w:rPr>
          <w:rStyle w:val="FootnoteReference"/>
        </w:rPr>
        <w:footnoteReference w:id="1958"/>
      </w:r>
    </w:p>
    <w:p>
      <w:pPr>
        <w:pStyle w:val="BodyText"/>
      </w:pPr>
      <w:r>
        <w:t xml:space="preserve">「愿一切荣耀与尊崇，</w:t>
      </w:r>
      <w:r>
        <w:br/>
      </w:r>
      <w:r>
        <w:t xml:space="preserve">因着他、与他、在他里面，</w:t>
      </w:r>
      <w:r>
        <w:br/>
      </w:r>
      <w:r>
        <w:t xml:space="preserve">借着圣灵的合一，</w:t>
      </w:r>
      <w:r>
        <w:br/>
      </w:r>
      <w:r>
        <w:t xml:space="preserve">都归于全能的圣父——</w:t>
      </w:r>
      <w:r>
        <w:br/>
      </w:r>
      <w:r>
        <w:t xml:space="preserve">神，直到永永远远。</w:t>
      </w:r>
      <w:r>
        <w:br/>
      </w:r>
      <w:r>
        <w:t xml:space="preserve">阿们。」</w:t>
      </w:r>
      <w:r>
        <w:rPr>
          <w:rStyle w:val="FootnoteReference"/>
        </w:rPr>
        <w:footnoteReference w:id="1959"/>
      </w:r>
    </w:p>
    <w:p>
      <w:r>
        <w:br w:type="page"/>
      </w:r>
    </w:p>
    <w:bookmarkEnd w:id="1960"/>
    <w:bookmarkEnd w:id="1961"/>
    <w:bookmarkEnd w:id="1962"/>
    <w:bookmarkEnd w:id="1963"/>
    <w:bookmarkEnd w:id="1964"/>
    <w:bookmarkStart w:id="2816" w:name="卷二基督奥秘的庆典"/>
    <w:p>
      <w:pPr>
        <w:pStyle w:val="Heading1"/>
      </w:pPr>
      <w:r>
        <w:t xml:space="preserve">卷二：基督奥秘的庆典</w:t>
      </w:r>
    </w:p>
    <w:bookmarkStart w:id="1969" w:name="为什么要礼仪"/>
    <w:p>
      <w:pPr>
        <w:pStyle w:val="Heading2"/>
      </w:pPr>
      <w:r>
        <w:t xml:space="preserve">为什么要礼仪？</w:t>
      </w:r>
    </w:p>
    <w:p>
      <w:pPr>
        <w:pStyle w:val="FirstParagraph"/>
      </w:pPr>
      <w:r>
        <w:t xml:space="preserve">在信经中，教会宣认圣三一的奥秘和神对一切受造物「美意」的计划：圣父藉着赐下他所爱的圣子和圣灵，为世界的救恩和他名的荣耀，完成了「他旨意的奥秘」。</w:t>
      </w:r>
      <w:r>
        <w:rPr>
          <w:rStyle w:val="FootnoteReference"/>
        </w:rPr>
        <w:footnoteReference w:id="1965"/>
      </w:r>
    </w:p>
    <w:p>
      <w:pPr>
        <w:pStyle w:val="BodyText"/>
      </w:pPr>
      <w:r>
        <w:t xml:space="preserve">这就是基督的奥秘，按照圣保罗所称的「奥秘的计划」</w:t>
      </w:r>
      <w:r>
        <w:rPr>
          <w:rStyle w:val="FootnoteReference"/>
        </w:rPr>
        <w:footnoteReference w:id="1966"/>
      </w:r>
      <w:r>
        <w:t xml:space="preserve">，在历史中被启示和实现的智慧安排，教父传统将之称为「道成肉身的经纶」或「救恩的经纶」。</w:t>
      </w:r>
    </w:p>
    <w:p>
      <w:pPr>
        <w:pStyle w:val="BodyText"/>
      </w:pPr>
      <w:r>
        <w:t xml:space="preserve">「神在旧约子民中所行的奇妙作为只是基督主赎回人类并完美地荣耀神的工作的前奏。他主要通过他受难、从死里复活和光荣升天的逾越奥秘完成了这项工作，藉此『他因死亡摧毁了我们的死亡，因复活恢复了我们的生命』。因为正是从基督在十字架上安睡于死亡之际的肋旁流出了『整个教会的奇妙圣事』。」</w:t>
      </w:r>
      <w:r>
        <w:rPr>
          <w:rStyle w:val="FootnoteReference"/>
        </w:rPr>
        <w:footnoteReference w:id="1967"/>
      </w:r>
      <w:r>
        <w:t xml:space="preserve">因此，教会在礼仪中特别庆祝基督藉以完成我们救恩工作的逾越奥秘。</w:t>
      </w:r>
    </w:p>
    <w:p>
      <w:pPr>
        <w:pStyle w:val="BodyText"/>
      </w:pPr>
      <w:r>
        <w:t xml:space="preserve">教会在其礼仪中宣告和庆祝的正是这基督的奥秘，为使信徒能从中汲取生命，并在世界上为之作见证：</w:t>
      </w:r>
    </w:p>
    <w:p>
      <w:pPr>
        <w:pStyle w:val="BodyText"/>
      </w:pPr>
      <w:r>
        <w:t xml:space="preserve">因为正是在礼仪中，尤其是在圣餐的神圣祭献中，「我们的救赎工作得以完成」，而且特别是通过礼仪，信徒才能在生活中表达并向他人彰显基督的奥秘和真教会的真实本质。</w:t>
      </w:r>
      <w:r>
        <w:rPr>
          <w:rStyle w:val="FootnoteReference"/>
        </w:rPr>
        <w:footnoteReference w:id="1968"/>
      </w:r>
    </w:p>
    <w:bookmarkEnd w:id="1969"/>
    <w:bookmarkStart w:id="1974" w:name="礼仪一词是什么意思"/>
    <w:p>
      <w:pPr>
        <w:pStyle w:val="Heading2"/>
      </w:pPr>
      <w:r>
        <w:t xml:space="preserve">「礼仪」一词是什么意思？</w:t>
      </w:r>
    </w:p>
    <w:p>
      <w:pPr>
        <w:pStyle w:val="FirstParagraph"/>
      </w:pPr>
      <w:r>
        <w:t xml:space="preserve">「礼仪」一词最初意指「公共工作」或「以众人的名义/代表众人的服务」。在基督教传统中，它意味着神的子民参与「神的工作」。</w:t>
      </w:r>
      <w:r>
        <w:rPr>
          <w:rStyle w:val="FootnoteReference"/>
        </w:rPr>
        <w:footnoteReference w:id="1970"/>
      </w:r>
      <w:r>
        <w:t xml:space="preserve">通过礼仪，基督——我们的救赎者和大祭司，在他的教会内，与教会一起，并通过教会继续进行救赎的工作。</w:t>
      </w:r>
    </w:p>
    <w:p>
      <w:pPr>
        <w:pStyle w:val="BodyText"/>
      </w:pPr>
      <w:r>
        <w:t xml:space="preserve">在新约中，「礼仪」一词不仅指敬拜神的庆典，也指福音的宣讲和积极的爱德行动。</w:t>
      </w:r>
      <w:r>
        <w:rPr>
          <w:rStyle w:val="FootnoteReference"/>
        </w:rPr>
        <w:footnoteReference w:id="1971"/>
      </w:r>
      <w:r>
        <w:t xml:space="preserve">在所有这些情况下，都涉及对神和邻人的服务。在礼仪庆典中，教会效法她的主——那唯一的『礼仪执行者』</w:t>
      </w:r>
      <w:r>
        <w:rPr>
          <w:rStyle w:val="FootnoteReference"/>
        </w:rPr>
        <w:footnoteReference w:id="1972"/>
      </w:r>
      <w:r>
        <w:t xml:space="preserve">——的形象而成为仆人，她分享基督的祭司职务（敬拜），这职务既是先知性的（宣讲），又是君王性的（爱的服事）：</w:t>
      </w:r>
    </w:p>
    <w:p>
      <w:pPr>
        <w:pStyle w:val="BodyText"/>
      </w:pPr>
      <w:r>
        <w:t xml:space="preserve">因此，礼仪恰当地被视为耶稣基督司祭职务的行使。它包括以感官可感知的标记呈现人的成圣，并以适合每个标记的方式完成。在礼仪中，耶稣基督的奥体，即元首和他的肢体，进行完整的公共敬拜。由此可见，每次礼仪庆典，因为是祭司基督和他的身体——教会的行动，都是超越其他一切的神圣行动。教会的其他任何行动都无法以同样的名义和同样的程度达到其功效。</w:t>
      </w:r>
      <w:r>
        <w:rPr>
          <w:rStyle w:val="FootnoteReference"/>
        </w:rPr>
        <w:footnoteReference w:id="1973"/>
      </w:r>
    </w:p>
    <w:bookmarkEnd w:id="1974"/>
    <w:bookmarkStart w:id="1977" w:name="生命之源的礼仪"/>
    <w:p>
      <w:pPr>
        <w:pStyle w:val="Heading2"/>
      </w:pPr>
      <w:r>
        <w:t xml:space="preserve">生命之源的礼仪</w:t>
      </w:r>
    </w:p>
    <w:p>
      <w:pPr>
        <w:pStyle w:val="FirstParagraph"/>
      </w:pPr>
      <w:r>
        <w:t xml:space="preserve">作为基督的工作，礼仪也是他</w:t>
      </w:r>
      <w:r>
        <w:rPr>
          <w:i/>
          <w:iCs/>
        </w:rPr>
        <w:t xml:space="preserve">教会</w:t>
      </w:r>
      <w:r>
        <w:t xml:space="preserve">的行动。它使教会临在并将其彰显为神与人在基督里共融的可见标记。它使信徒投入到团体的新生活中，并包含每个人「有意识的、积极的和富有成效的参与」。</w:t>
      </w:r>
      <w:r>
        <w:rPr>
          <w:rStyle w:val="FootnoteReference"/>
        </w:rPr>
        <w:footnoteReference w:id="1975"/>
      </w:r>
    </w:p>
    <w:p>
      <w:pPr>
        <w:pStyle w:val="BodyText"/>
      </w:pPr>
      <w:r>
        <w:t xml:space="preserve">「圣礼仪并不包含教会的全部活动」：</w:t>
      </w:r>
      <w:r>
        <w:rPr>
          <w:rStyle w:val="FootnoteReference"/>
        </w:rPr>
        <w:footnoteReference w:id="1976"/>
      </w:r>
      <w:r>
        <w:t xml:space="preserve">它必须由福音宣讲、信仰和皈依在先。然后它才能在信徒的生活中结出果实：在圣灵内的新生命，参与教会的使命，以及为其合一服务。</w:t>
      </w:r>
    </w:p>
    <w:bookmarkEnd w:id="1977"/>
    <w:bookmarkStart w:id="1980" w:name="祈祷与礼仪"/>
    <w:p>
      <w:pPr>
        <w:pStyle w:val="Heading2"/>
      </w:pPr>
      <w:r>
        <w:t xml:space="preserve">祈祷与礼仪</w:t>
      </w:r>
    </w:p>
    <w:p>
      <w:pPr>
        <w:pStyle w:val="FirstParagraph"/>
      </w:pPr>
      <w:r>
        <w:t xml:space="preserve">礼仪也是参与基督自己在圣灵内向圣父所作的祈祷。在礼仪中，所有基督徒的祈祷找到其源头和目标。通过礼仪，内在的人在圣父「爱我们的大爱」中，在他所爱的圣子内，扎根并奠基。</w:t>
      </w:r>
      <w:r>
        <w:rPr>
          <w:rStyle w:val="FootnoteReference"/>
        </w:rPr>
        <w:footnoteReference w:id="1978"/>
      </w:r>
      <w:r>
        <w:t xml:space="preserve">这与所有祈祷所体验和内化的「神的奇妙工作」相同，「随时在圣灵里」。</w:t>
      </w:r>
      <w:r>
        <w:rPr>
          <w:rStyle w:val="FootnoteReference"/>
        </w:rPr>
        <w:footnoteReference w:id="1979"/>
      </w:r>
    </w:p>
    <w:bookmarkEnd w:id="1980"/>
    <w:bookmarkStart w:id="1984" w:name="教理讲授与礼仪"/>
    <w:p>
      <w:pPr>
        <w:pStyle w:val="Heading2"/>
      </w:pPr>
      <w:r>
        <w:t xml:space="preserve">教理讲授与礼仪</w:t>
      </w:r>
    </w:p>
    <w:p>
      <w:pPr>
        <w:pStyle w:val="FirstParagraph"/>
      </w:pPr>
      <w:r>
        <w:t xml:space="preserve">「礼仪是教会活动所指向的顶峰，也是她一切力量的源泉。」</w:t>
      </w:r>
      <w:r>
        <w:rPr>
          <w:rStyle w:val="FootnoteReference"/>
        </w:rPr>
        <w:footnoteReference w:id="1981"/>
      </w:r>
      <w:r>
        <w:t xml:space="preserve">因此，它是为神的子民施行教理讲授的特殊场所。「教理讲授与整个礼仪和圣事活动有着内在的联系，因为正是在圣事中，特别是在圣餐中，基督耶稣充分地为人类的转变而工作。」</w:t>
      </w:r>
      <w:r>
        <w:rPr>
          <w:rStyle w:val="FootnoteReference"/>
        </w:rPr>
        <w:footnoteReference w:id="1982"/>
      </w:r>
    </w:p>
    <w:p>
      <w:pPr>
        <w:pStyle w:val="BodyText"/>
      </w:pPr>
      <w:r>
        <w:t xml:space="preserve">礼仪教理讲授旨在引导人们进入基督的奥秘（这是「奥秘入门」），从有形到无形，从记号到所标记的，从「圣事」到「奥秘」。这种教理讲授应由地方和区域性的教理来呈现。本《教理》旨在服务于全教会，尊重其礼仪和文化的多样性，</w:t>
      </w:r>
      <w:r>
        <w:rPr>
          <w:rStyle w:val="FootnoteReference"/>
        </w:rPr>
        <w:footnoteReference w:id="1983"/>
      </w:r>
      <w:r>
        <w:t xml:space="preserve">将呈现作为奥秘和庆典的礼仪中对全教会来说根本和共通的内容（</w:t>
      </w:r>
      <w:r>
        <w:rPr>
          <w:i/>
          <w:iCs/>
        </w:rPr>
        <w:t xml:space="preserve">第一部分</w:t>
      </w:r>
      <w:r>
        <w:t xml:space="preserve">），然后是七件圣事和圣仪（</w:t>
      </w:r>
      <w:r>
        <w:rPr>
          <w:i/>
          <w:iCs/>
        </w:rPr>
        <w:t xml:space="preserve">第二部分</w:t>
      </w:r>
      <w:r>
        <w:t xml:space="preserve">）。</w:t>
      </w:r>
    </w:p>
    <w:bookmarkEnd w:id="1984"/>
    <w:bookmarkStart w:id="2151" w:name="第一部分圣事的经纶"/>
    <w:p>
      <w:pPr>
        <w:pStyle w:val="Heading2"/>
      </w:pPr>
      <w:r>
        <w:t xml:space="preserve">第一部分：圣事的经纶</w:t>
      </w:r>
    </w:p>
    <w:p>
      <w:pPr>
        <w:pStyle w:val="FirstParagraph"/>
      </w:pPr>
      <w:r>
        <w:t xml:space="preserve">教会是藉着圣灵的倾注在五旬节那天向世界显现的。圣灵的恩赐开启了「奥秘的分施」的新纪元——教会的时代，在此期间，基督通过他的教会的礼仪显示、临在并传达他的救恩工作，「直到他来临」。在教会的这个时代，基督现在以一种适合这个新时代的新方式在教会内和教会一起生活和行动。他通过圣事行动，这就是东西方共同的圣传所称的「圣事经纶」；这是在教会的「圣事」礼仪庆典中传达（或「分施」）基督逾越奥秘果实的方式。</w:t>
      </w:r>
    </w:p>
    <w:p>
      <w:pPr>
        <w:pStyle w:val="BodyText"/>
      </w:pPr>
      <w:r>
        <w:t xml:space="preserve">因此，首先解释这种「圣事分施」</w:t>
      </w:r>
      <w:r>
        <w:rPr>
          <w:i/>
          <w:iCs/>
        </w:rPr>
        <w:t xml:space="preserve">（第一章）</w:t>
      </w:r>
      <w:r>
        <w:t xml:space="preserve">很重要。然后，礼仪庆典的本质和基本特征将更加清晰地显现</w:t>
      </w:r>
      <w:r>
        <w:rPr>
          <w:i/>
          <w:iCs/>
        </w:rPr>
        <w:t xml:space="preserve">（第二章）</w:t>
      </w:r>
      <w:r>
        <w:t xml:space="preserve">。</w:t>
      </w:r>
    </w:p>
    <w:p>
      <w:r>
        <w:br w:type="page"/>
      </w:r>
    </w:p>
    <w:bookmarkStart w:id="2057" w:name="第一章教会时代的逾越奥秘"/>
    <w:p>
      <w:pPr>
        <w:pStyle w:val="Heading3"/>
      </w:pPr>
      <w:r>
        <w:t xml:space="preserve">第一章：教会时代的逾越奥秘</w:t>
      </w:r>
    </w:p>
    <w:bookmarkStart w:id="2019" w:name="第一条礼仪圣三一的工作"/>
    <w:p>
      <w:pPr>
        <w:pStyle w:val="Heading4"/>
      </w:pPr>
      <w:r>
        <w:t xml:space="preserve">第一条：「礼仪——圣三一的工作」</w:t>
      </w:r>
    </w:p>
    <w:bookmarkStart w:id="1990" w:name="一圣父礼仪的源头和目标"/>
    <w:p>
      <w:pPr>
        <w:pStyle w:val="Heading5"/>
      </w:pPr>
      <w:r>
        <w:t xml:space="preserve">一、圣父——礼仪的源头和目标</w:t>
      </w:r>
    </w:p>
    <w:p>
      <w:pPr>
        <w:pStyle w:val="FirstParagraph"/>
      </w:pPr>
      <w:r>
        <w:t xml:space="preserve">「愿颂赞归与我们主耶稣基督的父神，他在基督里曾赐给我们天上各样属灵的福气。就如神从创立世界以前，在基督里拣选了我们，使我们在他面前成为圣洁，无有瑕疵。又因爱我们，就按着自己意旨所喜悦的，预定我们借着耶稣基督得儿子的名分，使他荣耀的恩典得着称赞。这恩典是他在爱子里所赐给我们的。」</w:t>
      </w:r>
      <w:r>
        <w:rPr>
          <w:rStyle w:val="FootnoteReference"/>
        </w:rPr>
        <w:footnoteReference w:id="1985"/>
      </w:r>
    </w:p>
    <w:p>
      <w:pPr>
        <w:pStyle w:val="BodyText"/>
      </w:pPr>
      <w:r>
        <w:t xml:space="preserve">祝福是一种赐予生命的行动，其源头是圣父；他的祝福既是言语也是恩赐。</w:t>
      </w:r>
      <w:r>
        <w:rPr>
          <w:rStyle w:val="FootnoteReference"/>
        </w:rPr>
        <w:footnoteReference w:id="1986"/>
      </w:r>
      <w:r>
        <w:t xml:space="preserve">当应用于人时，「祝福」一词意味着人对造物主的崇拜和臣服，以表达感恩。</w:t>
      </w:r>
    </w:p>
    <w:p>
      <w:pPr>
        <w:pStyle w:val="BodyText"/>
      </w:pPr>
      <w:r>
        <w:t xml:space="preserve">从起初直到时间的终结，神的整个工作都是一种</w:t>
      </w:r>
      <w:r>
        <w:rPr>
          <w:i/>
          <w:iCs/>
        </w:rPr>
        <w:t xml:space="preserve">祝福</w:t>
      </w:r>
      <w:r>
        <w:t xml:space="preserve">。从第一次创造的礼仪诗篇到天上耶路撒冷的圣歌，受默示的作者宣告救恩计划是一个宏大的神的祝福。</w:t>
      </w:r>
    </w:p>
    <w:p>
      <w:pPr>
        <w:pStyle w:val="BodyText"/>
      </w:pPr>
      <w:r>
        <w:t xml:space="preserve">从一开始，神就祝福了所有生灵，尤其是男人和女人。尽管人的罪使大地受诅咒，但与挪亚和所有生物所立的约更新了这生育繁衍的祝福。而通过亚伯拉罕，神的祝福进入了走向死亡的人类历史，将其引向生命，引向其源头。通过「万民之父」的信心，他接受了这祝福，救恩的历史由此开启。</w:t>
      </w:r>
    </w:p>
    <w:p>
      <w:pPr>
        <w:pStyle w:val="BodyText"/>
      </w:pPr>
      <w:r>
        <w:t xml:space="preserve">神的祝福在一系列令人惊叹的救恩事件中显明：以撒的诞生，出埃及（逾越节和出埃及），应许之地的恩赐，大卫的拣选，神在圣殿中的同在，净化的流放，以及「小余民」的归回。律法、先知书和诗篇，交织在选民的礼仪中，既回顾这些神的祝福，同时也以赞美和感恩的祝福回应这些祝福。</w:t>
      </w:r>
    </w:p>
    <w:p>
      <w:pPr>
        <w:pStyle w:val="BodyText"/>
      </w:pPr>
      <w:r>
        <w:t xml:space="preserve">在教会的礼仪中，神的祝福得到充分的启示和传达。圣父被承认和敬拜为创造和救赎一切祝福的源头和终点。在他那位为我们成了肉身、死亡并复活的道中，他用他的祝福充满我们。通过他的道，他将包含一切恩赐的恩赐——圣灵——注入我们的心中。</w:t>
      </w:r>
    </w:p>
    <w:p>
      <w:pPr>
        <w:pStyle w:val="BodyText"/>
      </w:pPr>
      <w:r>
        <w:t xml:space="preserve">基督教礼仪作为对圣父赐予我们的属灵祝福以信心和爱回应的双重维度因此显而易见。一方面，教会与她的主联合，「被圣灵感动」</w:t>
      </w:r>
      <w:r>
        <w:rPr>
          <w:rStyle w:val="FootnoteReference"/>
        </w:rPr>
        <w:footnoteReference w:id="1987"/>
      </w:r>
      <w:r>
        <w:t xml:space="preserve">，在她的敬拜、赞美和感恩中，因「他有说不尽的恩赐」</w:t>
      </w:r>
      <w:r>
        <w:rPr>
          <w:rStyle w:val="FootnoteReference"/>
        </w:rPr>
        <w:footnoteReference w:id="1988"/>
      </w:r>
      <w:r>
        <w:t xml:space="preserve">而颂赞圣父。另一方面，直到神计划的完成，教会从不停止向圣父呈献他自己的恩赐，并恳求他将圣灵降临在这奉献之上，降临在她自己身上，降临在信徒身上，降临在全世界上，好使通过与基督这位祭司的死亡和复活的共融，并藉着圣灵的能力，这些神的祝福能结出生命的果实，「使他荣耀的恩典得着称赞」</w:t>
      </w:r>
      <w:r>
        <w:rPr>
          <w:rStyle w:val="FootnoteReference"/>
        </w:rPr>
        <w:footnoteReference w:id="1989"/>
      </w:r>
      <w:r>
        <w:t xml:space="preserve">。</w:t>
      </w:r>
    </w:p>
    <w:bookmarkEnd w:id="1990"/>
    <w:bookmarkStart w:id="1997" w:name="二基督在礼仪中的工作"/>
    <w:p>
      <w:pPr>
        <w:pStyle w:val="Heading5"/>
      </w:pPr>
      <w:r>
        <w:t xml:space="preserve">二、基督在礼仪中的工作</w:t>
      </w:r>
    </w:p>
    <w:p>
      <w:pPr>
        <w:pStyle w:val="FirstParagraph"/>
      </w:pPr>
      <w:r>
        <w:t xml:space="preserve">基督得荣耀……</w:t>
      </w:r>
    </w:p>
    <w:p>
      <w:pPr>
        <w:pStyle w:val="BodyText"/>
      </w:pPr>
      <w:r>
        <w:t xml:space="preserve">「坐在圣父右边」并将圣灵倾注在他的身体——教会上，基督现在通过他所设立的圣事施行行动以传达他的恩典。圣事是符合我们人性所能理解的，可感知的标记（言语和行动）。通过基督的行动和圣灵的能力，它们有效地呈现它们所指向的恩典。</w:t>
      </w:r>
    </w:p>
    <w:p>
      <w:pPr>
        <w:pStyle w:val="BodyText"/>
      </w:pPr>
      <w:r>
        <w:t xml:space="preserve">在教会的礼仪中，基督主要是表达并呈现他自己的逾越奥秘。在他在世的生活中，耶稣通过他的教导宣告了他的逾越奥秘，并通过他的行动预示了它。当他的时辰来到，他经历了历史上这个不会过去的独特事件：耶稣死了，被埋葬，从死里复活，并坐在圣父的右边，「一次而永远地」。</w:t>
      </w:r>
      <w:r>
        <w:rPr>
          <w:rStyle w:val="FootnoteReference"/>
        </w:rPr>
        <w:footnoteReference w:id="1991"/>
      </w:r>
      <w:r>
        <w:t xml:space="preserve">他的逾越奥秘是发生在我们历史中的真实事件，但它是独特的：所有其他历史事件只发生一次，然后它们就过去了，被湮没在过去之中。相比之下，基督的逾越奥秘不能仅仅停留在过去，因为他通过自己的死亡摧毁了死亡，而且基督的一切——他为所有人所做和所受的一切——都参与到神的永恒中，因此超越所有时间，同时在所有时间中显现。十字架和复活的事件</w:t>
      </w:r>
      <w:r>
        <w:rPr>
          <w:i/>
          <w:iCs/>
        </w:rPr>
        <w:t xml:space="preserve">长存</w:t>
      </w:r>
      <w:r>
        <w:t xml:space="preserve">并吸引万物走向生命。</w:t>
      </w:r>
    </w:p>
    <w:p>
      <w:pPr>
        <w:pStyle w:val="BodyText"/>
      </w:pPr>
      <w:r>
        <w:t xml:space="preserve">……从使徒的教会时代起……</w:t>
      </w:r>
    </w:p>
    <w:p>
      <w:pPr>
        <w:pStyle w:val="BodyText"/>
      </w:pPr>
      <w:r>
        <w:t xml:space="preserve">「因此，正如基督被圣父差遣，他也差遣使徒，充满了圣灵。他这样做是为了让他们向万物传扬福音，并宣告神的儿子藉着他的死亡和复活已经使我们脱离了撒但的权势和死亡，并带领我们进入他圣父的国度。但他也旨在使他们所传讲的救恩工作，通过祭献和圣事开始实行，整个礼仪生活都围绕着这些展开。」</w:t>
      </w:r>
      <w:r>
        <w:rPr>
          <w:rStyle w:val="FootnoteReference"/>
        </w:rPr>
        <w:footnoteReference w:id="1992"/>
      </w:r>
    </w:p>
    <w:p>
      <w:pPr>
        <w:pStyle w:val="BodyText"/>
      </w:pPr>
      <w:r>
        <w:t xml:space="preserve">因此，复活的基督通过将圣灵赐给使徒，将他使人成圣的权柄托付给他们：</w:t>
      </w:r>
      <w:r>
        <w:rPr>
          <w:rStyle w:val="FootnoteReference"/>
        </w:rPr>
        <w:footnoteReference w:id="1993"/>
      </w:r>
      <w:r>
        <w:t xml:space="preserve">他们成为基督的圣事标记。藉着同一圣灵的能力，他们将这权柄传给他们的继承者。这种「使徒继承」构建了教会整个礼仪生活的结构，它本身就是圣事性的，通过圣秩圣事传递。</w:t>
      </w:r>
    </w:p>
    <w:p>
      <w:pPr>
        <w:pStyle w:val="BodyText"/>
      </w:pPr>
      <w:r>
        <w:t xml:space="preserve">……在地上的礼仪中临在……</w:t>
      </w:r>
    </w:p>
    <w:p>
      <w:pPr>
        <w:pStyle w:val="BodyText"/>
      </w:pPr>
      <w:r>
        <w:t xml:space="preserve">「为完成如此伟大的工作」——即他救恩工作的分施或传达——「基督始终临在于他的教会中，尤其是在她的礼仪庆典中。他不仅通过他的仆役临在于弥撒祭献中，『现在通过祭司的职务奉献，如同他曾在十字架上奉献自己』，而且特别临在于圣餐的形态中。通过他的能力，他临在于圣事中，以至于当任何人施洗时，实际上是基督自己在施洗。当在教会中诵读圣经时，是他自己在说话，因此他临在于他的圣言中。最后，当教会祈祷和歌唱时，他也临在，因为他曾应许『无论在哪里，有两三个人奉我的名聚会，那里就有我在他们中间。』」</w:t>
      </w:r>
      <w:r>
        <w:rPr>
          <w:rStyle w:val="FootnoteReference"/>
        </w:rPr>
        <w:footnoteReference w:id="1994"/>
      </w:r>
    </w:p>
    <w:p>
      <w:pPr>
        <w:pStyle w:val="BodyText"/>
      </w:pPr>
      <w:r>
        <w:t xml:space="preserve">「基督确实总是将教会与自己联合在这伟大的工作中，在其中神得到完全的荣耀，人也得以成圣。教会是他心爱的新娘，她呼求她的主，并通过他向永恒的圣父献上敬拜。」</w:t>
      </w:r>
      <w:r>
        <w:rPr>
          <w:rStyle w:val="FootnoteReference"/>
        </w:rPr>
        <w:footnoteReference w:id="1995"/>
      </w:r>
    </w:p>
    <w:p>
      <w:pPr>
        <w:pStyle w:val="BodyText"/>
      </w:pPr>
      <w:r>
        <w:t xml:space="preserve">……参与天上的礼仪</w:t>
      </w:r>
    </w:p>
    <w:p>
      <w:pPr>
        <w:pStyle w:val="BodyText"/>
      </w:pPr>
      <w:r>
        <w:t xml:space="preserve">「在地上的礼仪中，我们分享那天上礼仪的预尝，那礼仪是在圣城耶路撒冷中庆祝的，我们作为朝圣者向那里迈进，那里基督坐在神的右边，作为圣所和真帐幕的执事。与天军的所有战士一起，我们向主唱颂荣耀的诗歌；敬奉着圣徒的记忆，我们希望与他们有份并相交；我们热切等待救主，我们的主耶稣基督，直到他，我们的生命，显现，我们也与他一同在荣耀中显现。」</w:t>
      </w:r>
      <w:r>
        <w:rPr>
          <w:rStyle w:val="FootnoteReference"/>
        </w:rPr>
        <w:footnoteReference w:id="1996"/>
      </w:r>
    </w:p>
    <w:bookmarkEnd w:id="1997"/>
    <w:bookmarkStart w:id="2017" w:name="三圣灵与在礼仪中的教会"/>
    <w:p>
      <w:pPr>
        <w:pStyle w:val="Heading5"/>
      </w:pPr>
      <w:r>
        <w:t xml:space="preserve">三、圣灵与在礼仪中的教会</w:t>
      </w:r>
    </w:p>
    <w:bookmarkStart w:id="2003" w:name="圣灵为接受基督做准备"/>
    <w:p>
      <w:pPr>
        <w:pStyle w:val="Heading6"/>
      </w:pPr>
      <w:r>
        <w:t xml:space="preserve">圣灵为接受基督做准备</w:t>
      </w:r>
    </w:p>
    <w:p>
      <w:pPr>
        <w:pStyle w:val="FirstParagraph"/>
      </w:pPr>
      <w:r>
        <w:t xml:space="preserve">在圣事的体制中，圣灵实现了在</w:t>
      </w:r>
      <w:r>
        <w:rPr>
          <w:i/>
          <w:iCs/>
        </w:rPr>
        <w:t xml:space="preserve">旧约</w:t>
      </w:r>
      <w:r>
        <w:t xml:space="preserve">中所预表的。由于基督的教会是「在以色列人民的历史和旧约中以奇妙的方式预备的」，</w:t>
      </w:r>
      <w:r>
        <w:rPr>
          <w:rStyle w:val="FootnoteReference"/>
        </w:rPr>
        <w:footnoteReference w:id="1998"/>
      </w:r>
      <w:r>
        <w:t xml:space="preserve">教会的礼仪保留了旧约敬拜的某些要素，将它们作为不可或缺、不可替代的部分，纳入自己的传统：</w:t>
      </w:r>
    </w:p>
    <w:p>
      <w:pPr>
        <w:pStyle w:val="BodyText"/>
      </w:pPr>
      <w:r>
        <w:t xml:space="preserve">-尤其是诵读旧约；</w:t>
      </w:r>
    </w:p>
    <w:p>
      <w:pPr>
        <w:pStyle w:val="BodyText"/>
      </w:pPr>
      <w:r>
        <w:t xml:space="preserve">-诵念诗篇；</w:t>
      </w:r>
    </w:p>
    <w:p>
      <w:pPr>
        <w:pStyle w:val="BodyText"/>
      </w:pPr>
      <w:r>
        <w:t xml:space="preserve">-最重要的是，回顾那些在基督奥秘中找到实现的救恩事件和重要现实（应许和盟约，出埃及和逾越节，国度和圣殿，流放和归回）。</w:t>
      </w:r>
    </w:p>
    <w:p>
      <w:pPr>
        <w:pStyle w:val="BodyText"/>
      </w:pPr>
      <w:r>
        <w:t xml:space="preserve">主的逾越教理讲授正是建立在两约的这种和谐上，</w:t>
      </w:r>
      <w:r>
        <w:rPr>
          <w:rStyle w:val="FootnoteReference"/>
        </w:rPr>
        <w:footnoteReference w:id="1999"/>
      </w:r>
      <w:r>
        <w:t xml:space="preserve">之后，使徒和教父们的教理讲授也是如此。这种教理讲授揭示了隐藏在旧约字面下的内容：基督的奥秘。它被称为「预表论的」，因为它在第一个约的行为、言语和象征所宣告的「预表」的基础上，揭示了基督的新意。通过在真理之灵中的重新解读，从基督开始，这些预表被揭示出来。</w:t>
      </w:r>
      <w:r>
        <w:rPr>
          <w:rStyle w:val="FootnoteReference"/>
        </w:rPr>
        <w:footnoteReference w:id="2000"/>
      </w:r>
      <w:r>
        <w:t xml:space="preserve">因此，洪水和挪亚方舟预表了洗礼的救恩，</w:t>
      </w:r>
      <w:r>
        <w:rPr>
          <w:rStyle w:val="FootnoteReference"/>
        </w:rPr>
        <w:footnoteReference w:id="2001"/>
      </w:r>
      <w:r>
        <w:t xml:space="preserve">云柱和过红海也是如此。从磐石流出的水是基督属灵恩赐的预表，旷野中的吗哪预表圣餐，「从天上来的真粮」。</w:t>
      </w:r>
      <w:r>
        <w:rPr>
          <w:rStyle w:val="FootnoteReference"/>
        </w:rPr>
        <w:footnoteReference w:id="2002"/>
      </w:r>
    </w:p>
    <w:p>
      <w:pPr>
        <w:pStyle w:val="BodyText"/>
      </w:pPr>
      <w:r>
        <w:t xml:space="preserve">因此，教会，特别是在将临期和四旬期，而最重要是在复活节守夜礼中，在她礼仪的「今天」中重新阅读和重新体验救恩历史的伟大事件。但这也要求教理讲授帮助信徒向救恩体制的这种属灵理解敞开自己，正如教会的礼仪所揭示的，并使我们能够活出它。</w:t>
      </w:r>
    </w:p>
    <w:p>
      <w:pPr>
        <w:pStyle w:val="BodyText"/>
      </w:pPr>
      <w:r>
        <w:rPr>
          <w:i/>
          <w:iCs/>
        </w:rPr>
        <w:t xml:space="preserve">犹太礼仪和基督教礼仪。</w:t>
      </w:r>
      <w:r>
        <w:t xml:space="preserve">更好地了解犹太民族的信仰和宗教生活，即使是他们现在所宣认和生活的，可以帮助我们更好地理解基督教礼仪的某些方面。对于犹太人和基督徒来说，圣经都是各自礼仪的基本部分：在宣告神的道，对这道的回应，为生者和死者的赞美和代祷，对神怜悯的祈求。圣道礼在其特征结构上源于犹太人的祈祷。时辰礼仪和其他礼仪文本和程式，以及我们最受尊崇的祈祷，包括主祷文，在犹太祈祷中都有相似之处。感恩祷词也从犹太传统中汲取灵感。犹太礼仪和基督教礼仪之间的关系，以及它们在内容上的差异，在礼仪年的重大庆节中尤为明显，如逾越节。基督徒和犹太人都庆祝逾越节。对犹太人来说，它是历史的逾越节，趋向未来；对基督徒来说，它是在基督的死亡和复活中实现的逾越节，尽管总是期待着它的最终完成。</w:t>
      </w:r>
    </w:p>
    <w:p>
      <w:pPr>
        <w:pStyle w:val="BodyText"/>
      </w:pPr>
      <w:r>
        <w:t xml:space="preserve">在新约的礼仪中，每一个礼仪行动，特别是圣餐和其它圣事的庆祝，都是基督与教会之间的相遇。礼仪集会从「圣灵的共融」中获得其合一性，圣灵将神的儿女聚集成基督的一个身体。</w:t>
      </w:r>
    </w:p>
    <w:p>
      <w:pPr>
        <w:pStyle w:val="BodyText"/>
      </w:pPr>
      <w:r>
        <w:t xml:space="preserve">会众应当</w:t>
      </w:r>
      <w:r>
        <w:rPr>
          <w:i/>
          <w:iCs/>
        </w:rPr>
        <w:t xml:space="preserve">准备</w:t>
      </w:r>
      <w:r>
        <w:t xml:space="preserve">自己迎接其主，成为「准备好的子民」。心灵的准备是圣灵和会众，特别是其执事的共同工作。圣灵的恩典寻求唤醒信心，心灵的皈依，和对圣父旨意的遵从。这种内心状态是接受庆典本身所赐予的恩典，以及庆典旨在之后产生的新生命果实的先决条件。</w:t>
      </w:r>
    </w:p>
    <w:bookmarkEnd w:id="2003"/>
    <w:bookmarkStart w:id="2008" w:name="圣灵回忆基督的奥秘"/>
    <w:p>
      <w:pPr>
        <w:pStyle w:val="Heading6"/>
      </w:pPr>
      <w:r>
        <w:t xml:space="preserve">圣灵回忆基督的奥秘</w:t>
      </w:r>
    </w:p>
    <w:p>
      <w:pPr>
        <w:pStyle w:val="FirstParagraph"/>
      </w:pPr>
      <w:r>
        <w:t xml:space="preserve">圣灵和教会的合作在礼仪中显明基督和他的救恩工作。主要在圣餐中，以及类比地在其他圣事中，礼仪是救恩奥秘的</w:t>
      </w:r>
      <w:r>
        <w:rPr>
          <w:i/>
          <w:iCs/>
        </w:rPr>
        <w:t xml:space="preserve">纪念</w:t>
      </w:r>
      <w:r>
        <w:t xml:space="preserve">。圣灵是教会的活的记忆。</w:t>
      </w:r>
      <w:r>
        <w:rPr>
          <w:rStyle w:val="FootnoteReference"/>
        </w:rPr>
        <w:footnoteReference w:id="2004"/>
      </w:r>
    </w:p>
    <w:p>
      <w:pPr>
        <w:pStyle w:val="BodyText"/>
      </w:pPr>
      <w:r>
        <w:rPr>
          <w:i/>
          <w:iCs/>
        </w:rPr>
        <w:t xml:space="preserve">神的道</w:t>
      </w:r>
      <w:r>
        <w:t xml:space="preserve">。圣灵首先通过赋予神的道以生命，向礼仪会众回忆救恩事件的意义，神的道被宣告，好使它被接受和活出：</w:t>
      </w:r>
    </w:p>
    <w:p>
      <w:pPr>
        <w:pStyle w:val="BodyText"/>
      </w:pPr>
      <w:r>
        <w:t xml:space="preserve">在礼仪庆典中，圣经极其重要。从中而来的是在讲道中被阅读和解释的教导，以及被歌唱的诗篇。正是从圣经中，祈祷、集祷和圣歌汲取它们的灵感和力量，行动和标记获得它们的意义。</w:t>
      </w:r>
      <w:r>
        <w:rPr>
          <w:rStyle w:val="FootnoteReference"/>
        </w:rPr>
        <w:footnoteReference w:id="2005"/>
      </w:r>
    </w:p>
    <w:p>
      <w:pPr>
        <w:pStyle w:val="BodyText"/>
      </w:pPr>
      <w:r>
        <w:t xml:space="preserve">圣灵根据人心的状态，赐予那些阅读或听到神的道的人属灵的理解。通过组成庆典结构的言语、行动和象征，圣灵将信徒和执事都置于与基督（圣父的道和形象）的活泼关系中，使他们能够活出他们在庆典中所听到、沉思和所行的意义。</w:t>
      </w:r>
    </w:p>
    <w:p>
      <w:pPr>
        <w:pStyle w:val="BodyText"/>
      </w:pPr>
      <w:r>
        <w:t xml:space="preserve">「借着神拯救的道，信心……在信徒的心中得到滋养。通过这信心，信徒的会众开始并成长。」</w:t>
      </w:r>
      <w:r>
        <w:rPr>
          <w:rStyle w:val="FootnoteReference"/>
        </w:rPr>
        <w:footnoteReference w:id="2006"/>
      </w:r>
      <w:r>
        <w:t xml:space="preserve">宣告不止于教导；它引出</w:t>
      </w:r>
      <w:r>
        <w:rPr>
          <w:i/>
          <w:iCs/>
        </w:rPr>
        <w:t xml:space="preserve">信心的回应</w:t>
      </w:r>
      <w:r>
        <w:t xml:space="preserve">，作为同意和承诺，指向神与他子民之间的约。再一次，是圣灵赐予信心的恩典，加强它并使它在团体中成长。礼仪会众首先是一个信心的共融。</w:t>
      </w:r>
    </w:p>
    <w:p>
      <w:pPr>
        <w:pStyle w:val="BodyText"/>
      </w:pPr>
      <w:r>
        <w:rPr>
          <w:i/>
          <w:iCs/>
        </w:rPr>
        <w:t xml:space="preserve">回忆</w:t>
      </w:r>
      <w:r>
        <w:t xml:space="preserve">。礼仪庆典总是指向神在历史中的救恩干预。「启示的体制是通过本质上相互关联的行为和言语实现的。……言语宣告工作，并揭示它们所包含的奥秘。」</w:t>
      </w:r>
      <w:r>
        <w:rPr>
          <w:rStyle w:val="FootnoteReference"/>
        </w:rPr>
        <w:footnoteReference w:id="2007"/>
      </w:r>
      <w:r>
        <w:t xml:space="preserve">在圣道礼中，圣灵向会众「回忆」基督为我们所做的一切。根据礼仪行动的性质和教会的礼仪传统，庆典以或多或少发展的回忆方式「纪念」神奇妙的工作。这样唤醒教会记忆的圣灵，然后激发感恩和赞美（</w:t>
      </w:r>
      <w:r>
        <w:rPr>
          <w:i/>
          <w:iCs/>
        </w:rPr>
        <w:t xml:space="preserve">颂荣</w:t>
      </w:r>
      <w:r>
        <w:t xml:space="preserve">）。</w:t>
      </w:r>
    </w:p>
    <w:bookmarkEnd w:id="2008"/>
    <w:bookmarkStart w:id="2012" w:name="圣灵使基督的奥秘临在"/>
    <w:p>
      <w:pPr>
        <w:pStyle w:val="Heading6"/>
      </w:pPr>
      <w:r>
        <w:t xml:space="preserve">圣灵使基督的奥秘临在</w:t>
      </w:r>
    </w:p>
    <w:p>
      <w:pPr>
        <w:pStyle w:val="FirstParagraph"/>
      </w:pPr>
      <w:r>
        <w:t xml:space="preserve">基督教礼仪不仅回忆拯救我们的事件，而且使它们实现，使它们临在。基督的逾越奥秘是被庆祝的，而不是被重复的。被重复的是庆典，在每次庆典中都有圣灵的倾注，使独特的奥秘临在。</w:t>
      </w:r>
    </w:p>
    <w:p>
      <w:pPr>
        <w:pStyle w:val="BodyText"/>
      </w:pPr>
      <w:r>
        <w:rPr>
          <w:i/>
          <w:iCs/>
        </w:rPr>
        <w:t xml:space="preserve">呼求圣灵</w:t>
      </w:r>
      <w:r>
        <w:t xml:space="preserve">（</w:t>
      </w:r>
      <w:r>
        <w:t xml:space="preserve">‘</w:t>
      </w:r>
      <w:r>
        <w:t xml:space="preserve">祈求降临</w:t>
      </w:r>
      <w:r>
        <w:t xml:space="preserve">’</w:t>
      </w:r>
      <w:r>
        <w:t xml:space="preserve">）是祭司恳求圣父派遣圣灵，即使人成圣者，使奉献物成为基督的身体和血，并使信徒通过领受它们，自己成为献给神的活祭。</w:t>
      </w:r>
      <w:r>
        <w:rPr>
          <w:rStyle w:val="FootnoteReference"/>
        </w:rPr>
        <w:footnoteReference w:id="2009"/>
      </w:r>
    </w:p>
    <w:p>
      <w:pPr>
        <w:pStyle w:val="BodyText"/>
      </w:pPr>
      <w:r>
        <w:t xml:space="preserve">与回忆一起，呼求圣灵是每个圣事庆典的核心，尤其是圣餐的核心：</w:t>
      </w:r>
    </w:p>
    <w:p>
      <w:pPr>
        <w:pStyle w:val="BodyText"/>
      </w:pPr>
      <w:r>
        <w:t xml:space="preserve">你问面包如何成为基督的身体，酒如何成为基督的血，我告诉你：圣灵降临在它们上面，成就超越一切言语和思想的事。……你只需明白这是借着圣灵，正如主通过圣灵由圣母而道成肉身一样。</w:t>
      </w:r>
      <w:r>
        <w:rPr>
          <w:rStyle w:val="FootnoteReference"/>
        </w:rPr>
        <w:footnoteReference w:id="2010"/>
      </w:r>
    </w:p>
    <w:p>
      <w:pPr>
        <w:pStyle w:val="BodyText"/>
      </w:pPr>
      <w:r>
        <w:t xml:space="preserve">圣灵在礼仪中的转变能力加速了国度的降临和救恩奥秘的完成。当我们怀着希望等待时，他使我们真正期待与圣三的完全共融。被聆听教会呼求的圣父所差遣，圣灵赐生命给那些接受他的人，并且，即使是现在，也是他们产业的‘保证’。</w:t>
      </w:r>
      <w:r>
        <w:rPr>
          <w:rStyle w:val="FootnoteReference"/>
        </w:rPr>
        <w:footnoteReference w:id="2011"/>
      </w:r>
    </w:p>
    <w:bookmarkEnd w:id="2012"/>
    <w:bookmarkStart w:id="2016" w:name="圣灵的共融"/>
    <w:p>
      <w:pPr>
        <w:pStyle w:val="Heading6"/>
      </w:pPr>
      <w:r>
        <w:t xml:space="preserve">圣灵的共融</w:t>
      </w:r>
    </w:p>
    <w:p>
      <w:pPr>
        <w:pStyle w:val="FirstParagraph"/>
      </w:pPr>
      <w:r>
        <w:t xml:space="preserve">在每个礼仪行动中，圣灵被差遣，为使我们与基督共融，从而形成他的身体。圣灵就像圣父葡萄树的汁液，在枝子上结出果实。</w:t>
      </w:r>
      <w:r>
        <w:rPr>
          <w:rStyle w:val="FootnoteReference"/>
        </w:rPr>
        <w:footnoteReference w:id="2013"/>
      </w:r>
      <w:r>
        <w:t xml:space="preserve">圣灵与教会最亲密的合作在礼仪中实现。作为共融之灵的圣灵，永不衰败地居住在教会中。因此，教会是神的共融的伟大圣事，将神分散的儿女聚集在一起。与圣三一的共融和弟兄间的共融是礼仪中圣灵不可分割的果实。</w:t>
      </w:r>
      <w:r>
        <w:rPr>
          <w:rStyle w:val="FootnoteReference"/>
        </w:rPr>
        <w:footnoteReference w:id="2014"/>
      </w:r>
    </w:p>
    <w:p>
      <w:pPr>
        <w:pStyle w:val="BodyText"/>
      </w:pPr>
      <w:r>
        <w:t xml:space="preserve">呼求圣灵也是为会众与基督奥秘完全共融的效果而祈祷。「愿主耶稣基督的恩惠、神的慈爱、圣灵的合一常与你们众人同在！」</w:t>
      </w:r>
      <w:r>
        <w:rPr>
          <w:rStyle w:val="FootnoteReference"/>
        </w:rPr>
        <w:footnoteReference w:id="2015"/>
      </w:r>
      <w:r>
        <w:t xml:space="preserve">必须常与我们同在，并在圣餐庆典之外也结出果实。因此，教会请求圣父差遣圣灵，通过信徒灵性上转变为基督的形象，通过关心教会的合一，以及通过见证和爱德服务参与她的使命，使信徒的生活成为献给神的活祭。</w:t>
      </w:r>
    </w:p>
    <w:bookmarkEnd w:id="2016"/>
    <w:bookmarkEnd w:id="2017"/>
    <w:bookmarkStart w:id="2018" w:name="综述-30"/>
    <w:p>
      <w:pPr>
        <w:pStyle w:val="Heading5"/>
      </w:pPr>
      <w:r>
        <w:t xml:space="preserve">综述</w:t>
      </w:r>
    </w:p>
    <w:p>
      <w:pPr>
        <w:pStyle w:val="FirstParagraph"/>
      </w:pPr>
      <w:r>
        <w:t xml:space="preserve">在教会的礼仪中，父神作为一切创造和救恩祝福的源头被祝福和敬拜，他在他的儿子里祝福了我们，为了赐给我们子女名分的圣灵。</w:t>
      </w:r>
    </w:p>
    <w:p>
      <w:pPr>
        <w:pStyle w:val="BodyText"/>
      </w:pPr>
      <w:r>
        <w:t xml:space="preserve">基督在礼仪中的工作是圣事性的：因为他的救恩奥秘通过他圣灵的能力在那里临在；因为他的身体，即教会，如同一个圣事（标记和工具），在其中圣灵分施救恩的奥秘；并且因为通过她的礼仪行动，旅途中的教会已经如同预尝一般参与天上的礼仪。</w:t>
      </w:r>
    </w:p>
    <w:p>
      <w:pPr>
        <w:pStyle w:val="BodyText"/>
      </w:pPr>
      <w:r>
        <w:t xml:space="preserve">圣灵在教会礼仪中的使命是准备会众迎见基督；向会众的信心回忆并显明基督；通过他转变的能力使基督的救赎工作临在并活跃；并使共融的恩赐在教会中结出果实。</w:t>
      </w:r>
    </w:p>
    <w:p>
      <w:r>
        <w:br w:type="page"/>
      </w:r>
    </w:p>
    <w:bookmarkEnd w:id="2018"/>
    <w:bookmarkEnd w:id="2019"/>
    <w:bookmarkStart w:id="2056" w:name="第二条教会圣事中的逾越奥秘"/>
    <w:p>
      <w:pPr>
        <w:pStyle w:val="Heading4"/>
      </w:pPr>
      <w:r>
        <w:t xml:space="preserve">第二条：教会圣事中的逾越奥秘</w:t>
      </w:r>
    </w:p>
    <w:p>
      <w:pPr>
        <w:pStyle w:val="FirstParagraph"/>
      </w:pPr>
      <w:r>
        <w:t xml:space="preserve">教会的整个礼仪生活都环绕着圣餐的祭献并圣事。</w:t>
      </w:r>
      <w:r>
        <w:rPr>
          <w:rStyle w:val="FootnoteReference"/>
        </w:rPr>
        <w:footnoteReference w:id="2020"/>
      </w:r>
      <w:r>
        <w:t xml:space="preserve"> </w:t>
      </w:r>
      <w:r>
        <w:t xml:space="preserve">教会中有七件圣事：洗礼、坚振或傅油礼、圣餐、忏悔、病人傅油、圣秩、婚配。</w:t>
      </w:r>
      <w:r>
        <w:rPr>
          <w:rStyle w:val="FootnoteReference"/>
        </w:rPr>
        <w:footnoteReference w:id="2021"/>
      </w:r>
      <w:r>
        <w:t xml:space="preserve"> </w:t>
      </w:r>
      <w:r>
        <w:t xml:space="preserve">本条将从教义的角度探讨教会七件圣事有何共通之处。它们在庆祝形式方面的共同之处将在第二章讨论，而每项圣事的特定之处则是</w:t>
      </w:r>
      <w:r>
        <w:rPr>
          <w:i/>
          <w:iCs/>
        </w:rPr>
        <w:t xml:space="preserve">第二部分</w:t>
      </w:r>
      <w:r>
        <w:t xml:space="preserve">的主题。</w:t>
      </w:r>
    </w:p>
    <w:bookmarkStart w:id="2025" w:name="一基督的圣事"/>
    <w:p>
      <w:pPr>
        <w:pStyle w:val="Heading5"/>
      </w:pPr>
      <w:r>
        <w:t xml:space="preserve">一、基督的圣事</w:t>
      </w:r>
    </w:p>
    <w:p>
      <w:pPr>
        <w:pStyle w:val="FirstParagraph"/>
      </w:pPr>
      <w:r>
        <w:t xml:space="preserve">「遵从圣经的教导，遵从使徒的传统，以及教父们……一致的意见」，我们宣认「新约的圣事……全是由我们的主耶稣基督亲自建立的」。</w:t>
      </w:r>
      <w:r>
        <w:rPr>
          <w:rStyle w:val="FootnoteReference"/>
        </w:rPr>
        <w:footnoteReference w:id="2022"/>
      </w:r>
    </w:p>
    <w:p>
      <w:pPr>
        <w:pStyle w:val="BodyText"/>
      </w:pPr>
      <w:r>
        <w:t xml:space="preserve">耶稣在他隐秘生活和公开传教时的言行已经带着救恩的意义，因为它们预示了他逾越奥秘的能力。它们宣告并准备了当一切完成时他将赐予教会的恩典。基督生命的奥秘构成了他此后借教会职务赐予圣事的根基，因为「在我们救主身上可见的事，已转入他的奥秘了」。</w:t>
      </w:r>
      <w:r>
        <w:rPr>
          <w:rStyle w:val="FootnoteReference"/>
        </w:rPr>
        <w:footnoteReference w:id="2023"/>
      </w:r>
    </w:p>
    <w:p>
      <w:pPr>
        <w:pStyle w:val="BodyText"/>
      </w:pPr>
      <w:r>
        <w:t xml:space="preserve">圣事是从基督的身体中「发出的能力」</w:t>
      </w:r>
      <w:r>
        <w:rPr>
          <w:rStyle w:val="FootnoteReference"/>
        </w:rPr>
        <w:footnoteReference w:id="2024"/>
      </w:r>
      <w:r>
        <w:t xml:space="preserve">，他是永恒活着且赐予生命的。圣事是圣灵在他的身体——教会——内所施行的行动。圣事是神在新的和永恒的约中所行的「杰作」。</w:t>
      </w:r>
    </w:p>
    <w:bookmarkEnd w:id="2025"/>
    <w:bookmarkStart w:id="2033" w:name="二教会的圣事"/>
    <w:p>
      <w:pPr>
        <w:pStyle w:val="Heading5"/>
      </w:pPr>
      <w:r>
        <w:t xml:space="preserve">二、教会的圣事</w:t>
      </w:r>
    </w:p>
    <w:p>
      <w:pPr>
        <w:pStyle w:val="FirstParagraph"/>
      </w:pPr>
      <w:r>
        <w:t xml:space="preserve">教会如同对圣经正典及信仰教义一样，借着引导她「进入一切的真理」的圣灵，逐渐意识到从基督所领受的宝藏，作为神奥秘忠信的管家，确定了它的「施行方式」。</w:t>
      </w:r>
      <w:r>
        <w:rPr>
          <w:rStyle w:val="FootnoteReference"/>
        </w:rPr>
        <w:footnoteReference w:id="2026"/>
      </w:r>
      <w:r>
        <w:t xml:space="preserve"> </w:t>
      </w:r>
      <w:r>
        <w:t xml:space="preserve">因此教会历经数世纪的分辨，确认在礼仪庆典中，有七项按严格意义而言是由主基督所建立的圣事。</w:t>
      </w:r>
    </w:p>
    <w:p>
      <w:pPr>
        <w:pStyle w:val="BodyText"/>
      </w:pPr>
      <w:r>
        <w:t xml:space="preserve">圣事以一种双重意义说是「属于教会的」：它们是「由教会施行的」也是「为了教会的」。它们是「由教会施行的」，因为教会借圣灵的使命，彰显基督在她内的行动；它们是「为了教会的」，因为「圣事成就教会」，</w:t>
      </w:r>
      <w:r>
        <w:rPr>
          <w:rStyle w:val="FootnoteReference"/>
        </w:rPr>
        <w:footnoteReference w:id="2027"/>
      </w:r>
      <w:r>
        <w:t xml:space="preserve"> </w:t>
      </w:r>
      <w:r>
        <w:t xml:space="preserve">藉着圣事，特别是经由圣餐，人得以体认并领受与这位三位一体、为爱之神的共融奥秘。</w:t>
      </w:r>
    </w:p>
    <w:p>
      <w:pPr>
        <w:pStyle w:val="BodyText"/>
      </w:pPr>
      <w:r>
        <w:t xml:space="preserve">教会与为首的基督「如同形成一个奥秘的人」，教会在圣事中成为一个「有机结构的祭司团体」</w:t>
      </w:r>
      <w:r>
        <w:rPr>
          <w:rStyle w:val="FootnoteReference"/>
        </w:rPr>
        <w:footnoteReference w:id="2028"/>
      </w:r>
      <w:r>
        <w:t xml:space="preserve">。藉洗礼和坚振，神职性子民得以庆祝礼仪，而确立了圣秩的信徒则「受命以基督之名，用神的道和恩典滋养教会」。</w:t>
      </w:r>
      <w:r>
        <w:rPr>
          <w:rStyle w:val="FootnoteReference"/>
        </w:rPr>
        <w:footnoteReference w:id="2029"/>
      </w:r>
    </w:p>
    <w:p>
      <w:pPr>
        <w:pStyle w:val="BodyText"/>
      </w:pPr>
      <w:r>
        <w:t xml:space="preserve">圣秩职务或</w:t>
      </w:r>
      <w:r>
        <w:rPr>
          <w:i/>
          <w:iCs/>
        </w:rPr>
        <w:t xml:space="preserve">职务性</w:t>
      </w:r>
      <w:r>
        <w:t xml:space="preserve">祭司职分是为洗礼祭司职分服务的。</w:t>
      </w:r>
      <w:r>
        <w:rPr>
          <w:rStyle w:val="FootnoteReference"/>
        </w:rPr>
        <w:footnoteReference w:id="2030"/>
      </w:r>
      <w:r>
        <w:t xml:space="preserve"> </w:t>
      </w:r>
      <w:r>
        <w:t xml:space="preserve">圣秩祭司职分确保基督真正通过圣灵在教会的圣事中行动。圣父将救世的使命托付给他降生成人的儿子，而此使命则委托给使徒，并通过他们托付给其继承者：他们领受基督的灵，以他的名义和位格行动。</w:t>
      </w:r>
      <w:r>
        <w:rPr>
          <w:rStyle w:val="FootnoteReference"/>
        </w:rPr>
        <w:footnoteReference w:id="2031"/>
      </w:r>
      <w:r>
        <w:t xml:space="preserve"> </w:t>
      </w:r>
      <w:r>
        <w:t xml:space="preserve">领受圣秩的祭司们乃是礼仪与使徒们的言行，以及透过使徒们连接到基督自身的言行——圣事的根源与基础——的圣事性连结。</w:t>
      </w:r>
    </w:p>
    <w:p>
      <w:pPr>
        <w:pStyle w:val="BodyText"/>
      </w:pPr>
      <w:r>
        <w:t xml:space="preserve">洗礼、坚振、圣秩三项圣事，除了赐予恩典之外，也赋予圣事的</w:t>
      </w:r>
      <w:r>
        <w:rPr>
          <w:i/>
          <w:iCs/>
        </w:rPr>
        <w:t xml:space="preserve">印记</w:t>
      </w:r>
      <w:r>
        <w:t xml:space="preserve">，藉此基督徒得以分享基督的祭司职分，并按照不同的身分和职务成为教会成员。这种对基督及教会的形塑乃藉圣灵而成，是不可磨灭的，</w:t>
      </w:r>
      <w:r>
        <w:rPr>
          <w:rStyle w:val="FootnoteReference"/>
        </w:rPr>
        <w:footnoteReference w:id="2032"/>
      </w:r>
      <w:r>
        <w:t xml:space="preserve"> </w:t>
      </w:r>
      <w:r>
        <w:t xml:space="preserve">它永久存于基督徒身上，成为恩典的积极倾向，是神保护的承诺与保证，也是对神敬拜及服务教会的呼召。因此，这几项圣事不可重复。</w:t>
      </w:r>
    </w:p>
    <w:bookmarkEnd w:id="2033"/>
    <w:bookmarkStart w:id="2041" w:name="三信仰的圣事"/>
    <w:p>
      <w:pPr>
        <w:pStyle w:val="Heading5"/>
      </w:pPr>
      <w:r>
        <w:t xml:space="preserve">三、信仰的圣事</w:t>
      </w:r>
    </w:p>
    <w:p>
      <w:pPr>
        <w:pStyle w:val="FirstParagraph"/>
      </w:pPr>
      <w:r>
        <w:t xml:space="preserve">基督派遣他的使徒，「使人要奉他的名传悔改、赦罪的道，从耶路撒冷起直传到万邦」。</w:t>
      </w:r>
      <w:r>
        <w:rPr>
          <w:rStyle w:val="FootnoteReference"/>
        </w:rPr>
        <w:footnoteReference w:id="2034"/>
      </w:r>
      <w:r>
        <w:t xml:space="preserve">「所以，你们要去，使万民作我的门徒，奉父子圣灵的名给他们施洗」。</w:t>
      </w:r>
      <w:r>
        <w:rPr>
          <w:rStyle w:val="FootnoteReference"/>
        </w:rPr>
        <w:footnoteReference w:id="2035"/>
      </w:r>
      <w:r>
        <w:t xml:space="preserve">圣事性使命隐含于传福音的使命之中，因为圣事是透过</w:t>
      </w:r>
      <w:r>
        <w:rPr>
          <w:i/>
          <w:iCs/>
        </w:rPr>
        <w:t xml:space="preserve">神的道及透过回应道的信仰</w:t>
      </w:r>
      <w:r>
        <w:t xml:space="preserve">而准备的：</w:t>
      </w:r>
    </w:p>
    <w:p>
      <w:pPr>
        <w:pStyle w:val="BodyText"/>
      </w:pPr>
      <w:r>
        <w:t xml:space="preserve">神的子民首先藉永生神的道而结合为一。……圣事性事工自身也需要宣讲神的道，因为圣事本是信仰的圣事，其起源和滋养皆自于道。</w:t>
      </w:r>
      <w:r>
        <w:rPr>
          <w:rStyle w:val="FootnoteReference"/>
        </w:rPr>
        <w:footnoteReference w:id="2036"/>
      </w:r>
    </w:p>
    <w:p>
      <w:pPr>
        <w:pStyle w:val="BodyText"/>
      </w:pPr>
      <w:r>
        <w:t xml:space="preserve">「圣事的目的是为了圣化人、建立基督的身体，终使荣耀归于神。它们身为标记，也兼具教导作用。它们不但预设信仰，更藉着言语和物体滋养、加强并表现信仰。因此，它们被称为『信仰的</w:t>
      </w:r>
      <w:r>
        <w:rPr>
          <w:i/>
          <w:iCs/>
        </w:rPr>
        <w:t xml:space="preserve">圣事</w:t>
      </w:r>
      <w:r>
        <w:t xml:space="preserve">』」。</w:t>
      </w:r>
      <w:r>
        <w:rPr>
          <w:rStyle w:val="FootnoteReference"/>
        </w:rPr>
        <w:footnoteReference w:id="2037"/>
      </w:r>
    </w:p>
    <w:p>
      <w:pPr>
        <w:pStyle w:val="BodyText"/>
      </w:pPr>
      <w:r>
        <w:t xml:space="preserve">教会的信仰先于个别信徒被邀请去回应的信仰。教会庆祝圣事时，是承认自使徒承继而来的信仰，因此古代格言云：lex orandi, lex credendi〔祷告的法则就是信仰的法则〕（或根据五世纪的阿基坦的普洛斯佩而言：legem credendi lex statuat supplicandi〔要让祷告的法则设立信仰的法则〕）。</w:t>
      </w:r>
      <w:r>
        <w:rPr>
          <w:rStyle w:val="FootnoteReference"/>
        </w:rPr>
        <w:footnoteReference w:id="2038"/>
      </w:r>
      <w:r>
        <w:t xml:space="preserve">祷告的法则就是信仰的法则：教会如何祷告，也就如何相信。礼仪是这圣洁而活泼的圣传的组成要素。</w:t>
      </w:r>
      <w:r>
        <w:rPr>
          <w:rStyle w:val="FootnoteReference"/>
        </w:rPr>
        <w:footnoteReference w:id="2039"/>
      </w:r>
    </w:p>
    <w:p>
      <w:pPr>
        <w:pStyle w:val="BodyText"/>
      </w:pPr>
      <w:r>
        <w:t xml:space="preserve">因此，没有任何圣事礼仪可随施行者或团体的意愿加以修改或操控。即使教会的最高权威也不能随意改变礼仪，而必须在信仰的顺服中，以宗教的敬意尊重礼仪的奥秘。</w:t>
      </w:r>
    </w:p>
    <w:p>
      <w:pPr>
        <w:pStyle w:val="BodyText"/>
      </w:pPr>
      <w:r>
        <w:t xml:space="preserve">同样，由于圣事表达并深化教会的信仰共融，因此</w:t>
      </w:r>
      <w:r>
        <w:rPr>
          <w:i/>
          <w:iCs/>
        </w:rPr>
        <w:t xml:space="preserve">祷告的法则</w:t>
      </w:r>
      <w:r>
        <w:t xml:space="preserve">也是寻求重建基督徒合一之对话的基本准则之一。</w:t>
      </w:r>
      <w:r>
        <w:rPr>
          <w:rStyle w:val="FootnoteReference"/>
        </w:rPr>
        <w:footnoteReference w:id="2040"/>
      </w:r>
    </w:p>
    <w:bookmarkEnd w:id="2041"/>
    <w:bookmarkStart w:id="2047" w:name="四拯救的圣事"/>
    <w:p>
      <w:pPr>
        <w:pStyle w:val="Heading5"/>
      </w:pPr>
      <w:r>
        <w:t xml:space="preserve">四、拯救的圣事</w:t>
      </w:r>
    </w:p>
    <w:p>
      <w:pPr>
        <w:pStyle w:val="FirstParagraph"/>
      </w:pPr>
      <w:r>
        <w:t xml:space="preserve">凭借信心而虔敬地领受，圣事便赐下它们所象征的恩典。</w:t>
      </w:r>
      <w:r>
        <w:rPr>
          <w:rStyle w:val="FootnoteReference"/>
        </w:rPr>
        <w:footnoteReference w:id="2042"/>
      </w:r>
      <w:r>
        <w:t xml:space="preserve"> </w:t>
      </w:r>
      <w:r>
        <w:t xml:space="preserve">圣事是有效的，因为基督自己在圣事中行动：是他施行洗礼，是他在圣事中行动，以传达各圣事所标记的恩典。圣父总是垂允他圣子教会的祷告，而教会在每项圣事的降求圣灵的祷告中，表达她对圣灵能力的信心。如同火焰能将它触及之物转化为自身，同样圣灵也将一切归服于其能力者，转化为神的生命。</w:t>
      </w:r>
    </w:p>
    <w:p>
      <w:pPr>
        <w:pStyle w:val="BodyText"/>
      </w:pPr>
      <w:r>
        <w:t xml:space="preserve">这正是教会所肯定的</w:t>
      </w:r>
      <w:r>
        <w:rPr>
          <w:rStyle w:val="FootnoteReference"/>
        </w:rPr>
        <w:footnoteReference w:id="2043"/>
      </w:r>
      <w:r>
        <w:t xml:space="preserve">，即圣事乃是</w:t>
      </w:r>
      <w:r>
        <w:rPr>
          <w:i/>
          <w:iCs/>
        </w:rPr>
        <w:t xml:space="preserve">因功生效的</w:t>
      </w:r>
      <w:r>
        <w:t xml:space="preserve">（</w:t>
      </w:r>
      <w:r>
        <w:rPr>
          <w:i/>
          <w:iCs/>
        </w:rPr>
        <w:t xml:space="preserve">ex opere operato</w:t>
      </w:r>
      <w:r>
        <w:t xml:space="preserve">，意即「因举行圣事这一行动本身」），也就是凭借基督一次而永远完成的拯救工程。因此，「圣事的成就不在于施行者或领受者的正义，而在于神的能力。」</w:t>
      </w:r>
      <w:r>
        <w:rPr>
          <w:rStyle w:val="FootnoteReference"/>
        </w:rPr>
        <w:footnoteReference w:id="2044"/>
      </w:r>
      <w:r>
        <w:t xml:space="preserve">只要依照教会的意向举行圣事，从该时刻起，基督及他的圣灵便在圣事中并透过圣事发生作用，而不取决于施行者个人的圣洁。不过，圣事产生果效也有赖于领受者的心态。</w:t>
      </w:r>
    </w:p>
    <w:p>
      <w:pPr>
        <w:pStyle w:val="BodyText"/>
      </w:pPr>
      <w:r>
        <w:t xml:space="preserve">教会确认，新约的圣事是对于信徒而言</w:t>
      </w:r>
      <w:r>
        <w:rPr>
          <w:i/>
          <w:iCs/>
        </w:rPr>
        <w:t xml:space="preserve">得救所必需的</w:t>
      </w:r>
      <w:r>
        <w:t xml:space="preserve">。</w:t>
      </w:r>
      <w:r>
        <w:rPr>
          <w:rStyle w:val="FootnoteReference"/>
        </w:rPr>
        <w:footnoteReference w:id="2045"/>
      </w:r>
      <w:r>
        <w:t xml:space="preserve">「圣事恩典」便是圣灵的恩典，由基督赐予，并依不同圣事而有所特定。圣灵治愈并转化那些领受他的人，使他们效法神的儿子。圣事生活的成果即是，义子的灵使信徒与神的独生子、我们的救主结合，分享神的本性。</w:t>
      </w:r>
      <w:r>
        <w:rPr>
          <w:rStyle w:val="FootnoteReference"/>
        </w:rPr>
        <w:footnoteReference w:id="2046"/>
      </w:r>
    </w:p>
    <w:bookmarkEnd w:id="2047"/>
    <w:bookmarkStart w:id="2054" w:name="五永生的圣事"/>
    <w:p>
      <w:pPr>
        <w:pStyle w:val="Heading5"/>
      </w:pPr>
      <w:r>
        <w:t xml:space="preserve">五、永生的圣事</w:t>
      </w:r>
    </w:p>
    <w:p>
      <w:pPr>
        <w:pStyle w:val="FirstParagraph"/>
      </w:pPr>
      <w:r>
        <w:t xml:space="preserve">教会庆祝其主的奥秘，「直等到他来」，届时神要「在万物之上，为万物之主」。</w:t>
      </w:r>
      <w:r>
        <w:rPr>
          <w:rStyle w:val="FootnoteReference"/>
        </w:rPr>
        <w:footnoteReference w:id="2048"/>
      </w:r>
      <w:r>
        <w:t xml:space="preserve">自使徒时代以来，礼仪即借着圣灵在教会内的叹息而趋向其目标：「主必要来！」（Marana tha!）</w:t>
      </w:r>
      <w:r>
        <w:rPr>
          <w:rStyle w:val="FootnoteReference"/>
        </w:rPr>
        <w:footnoteReference w:id="2049"/>
      </w:r>
      <w:r>
        <w:t xml:space="preserve">因此礼仪分享了耶稣的心愿：「我很愿意在受害以先，和你们吃这逾越节的筵席……直等到成就在神的国里。」</w:t>
      </w:r>
      <w:r>
        <w:rPr>
          <w:rStyle w:val="FootnoteReference"/>
        </w:rPr>
        <w:footnoteReference w:id="2050"/>
      </w:r>
      <w:r>
        <w:t xml:space="preserve">在基督的圣事中，教会已领受了产业的保证，即使在现今，也已分享了永远的生命，同时「等候所盼望的福，并等候至大的神和我们救主耶稣基督的荣耀显现。」</w:t>
      </w:r>
      <w:r>
        <w:rPr>
          <w:rStyle w:val="FootnoteReference"/>
        </w:rPr>
        <w:footnoteReference w:id="2051"/>
      </w:r>
      <w:r>
        <w:t xml:space="preserve">「圣灵和新妇都说：『来！』……主耶稣啊，我愿你来！」</w:t>
      </w:r>
      <w:r>
        <w:rPr>
          <w:rStyle w:val="FootnoteReference"/>
        </w:rPr>
        <w:footnoteReference w:id="2052"/>
      </w:r>
    </w:p>
    <w:p>
      <w:pPr>
        <w:pStyle w:val="BodyText"/>
      </w:pPr>
      <w:r>
        <w:t xml:space="preserve">圣托马斯概述圣事标记的各个方面：「因此，圣事乃是标记，其一是纪念先前的事件，即基督的受难；其二是显示藉着基督受难而成就于我们内心者，即恩典；其三是预示受难所承诺赐予我们的事，即未来的荣耀。」</w:t>
      </w:r>
      <w:r>
        <w:rPr>
          <w:rStyle w:val="FootnoteReference"/>
        </w:rPr>
        <w:footnoteReference w:id="2053"/>
      </w:r>
    </w:p>
    <w:bookmarkEnd w:id="2054"/>
    <w:bookmarkStart w:id="2055" w:name="综述-31"/>
    <w:p>
      <w:pPr>
        <w:pStyle w:val="Heading5"/>
      </w:pPr>
      <w:r>
        <w:t xml:space="preserve">综述</w:t>
      </w:r>
    </w:p>
    <w:p>
      <w:pPr>
        <w:pStyle w:val="FirstParagraph"/>
      </w:pPr>
      <w:r>
        <w:t xml:space="preserve">圣事是蒙基督所立而托付于教会的有效恩典标记，藉此将神的生命分施给我们。圣事所举行的可见仪式，表达并实现了各圣事特有的恩典；对于那些以适当心态领受圣事的人，这些恩典就结出果实。</w:t>
      </w:r>
    </w:p>
    <w:p>
      <w:pPr>
        <w:pStyle w:val="BodyText"/>
      </w:pPr>
      <w:r>
        <w:t xml:space="preserve">教会作为祭司的团体而庆祝圣事，此团体由洗礼祭司职分和圣秩职务者的祭司职分所构成。</w:t>
      </w:r>
    </w:p>
    <w:p>
      <w:pPr>
        <w:pStyle w:val="BodyText"/>
      </w:pPr>
      <w:r>
        <w:t xml:space="preserve">圣灵藉神的道及藉由以良善之心接受这道的信仰，预备信徒领受圣事。因此，圣事强化着信仰并表达信仰。</w:t>
      </w:r>
    </w:p>
    <w:p>
      <w:pPr>
        <w:pStyle w:val="BodyText"/>
      </w:pPr>
      <w:r>
        <w:t xml:space="preserve">圣事生活所结出的果实既是个人性的，也是教会性的。一方面，对于每位信徒来说，这果实体现在基督耶稣内为神而活的生命；另一方面，对于教会而言，则表现为仁爱及教会使命见证的增进。</w:t>
      </w:r>
    </w:p>
    <w:p>
      <w:r>
        <w:br w:type="page"/>
      </w:r>
    </w:p>
    <w:bookmarkEnd w:id="2055"/>
    <w:bookmarkEnd w:id="2056"/>
    <w:bookmarkEnd w:id="2057"/>
    <w:bookmarkStart w:id="2150" w:name="第二章逾越奥秘的圣事庆典"/>
    <w:p>
      <w:pPr>
        <w:pStyle w:val="Heading3"/>
      </w:pPr>
      <w:r>
        <w:t xml:space="preserve">第二章：逾越奥秘的圣事庆典</w:t>
      </w:r>
    </w:p>
    <w:p>
      <w:pPr>
        <w:pStyle w:val="FirstParagraph"/>
      </w:pPr>
      <w:r>
        <w:t xml:space="preserve">礼仪的教理讲授首先需要理解圣事的经纶（第一章）。在此光照下，其庆典的革新得以彰显。因此，本章将论述教会圣事的庆典。它将探讨在不同礼仪传统的多样性中，七件圣事的</w:t>
      </w:r>
      <w:r>
        <w:rPr>
          <w:i/>
          <w:iCs/>
        </w:rPr>
        <w:t xml:space="preserve">庆典</w:t>
      </w:r>
      <w:r>
        <w:t xml:space="preserve">所共有的内容。每件圣事特有的内容将在后面分别论述。这一关于圣事庆典的基本教理讲授回应了信徒对此主题提出的首要问题：</w:t>
      </w:r>
    </w:p>
    <w:p>
      <w:pPr>
        <w:pStyle w:val="BodyText"/>
      </w:pPr>
      <w:r>
        <w:t xml:space="preserve">– 谁在庆祝礼仪？</w:t>
      </w:r>
    </w:p>
    <w:p>
      <w:pPr>
        <w:pStyle w:val="BodyText"/>
      </w:pPr>
      <w:r>
        <w:t xml:space="preserve">– 礼仪如何庆祝？</w:t>
      </w:r>
    </w:p>
    <w:p>
      <w:pPr>
        <w:pStyle w:val="BodyText"/>
      </w:pPr>
      <w:r>
        <w:t xml:space="preserve">– 礼仪何时庆祝？</w:t>
      </w:r>
    </w:p>
    <w:p>
      <w:pPr>
        <w:pStyle w:val="BodyText"/>
      </w:pPr>
      <w:r>
        <w:t xml:space="preserve">– 礼仪在何处庆祝？</w:t>
      </w:r>
    </w:p>
    <w:p>
      <w:r>
        <w:br w:type="page"/>
      </w:r>
    </w:p>
    <w:bookmarkStart w:id="2136" w:name="第一条庆祝教会的礼仪"/>
    <w:p>
      <w:pPr>
        <w:pStyle w:val="Heading4"/>
      </w:pPr>
      <w:r>
        <w:t xml:space="preserve">第一条：庆祝教会的礼仪</w:t>
      </w:r>
    </w:p>
    <w:bookmarkStart w:id="2075" w:name="一谁在庆祝"/>
    <w:p>
      <w:pPr>
        <w:pStyle w:val="Heading5"/>
      </w:pPr>
      <w:r>
        <w:t xml:space="preserve">一、谁在庆祝？</w:t>
      </w:r>
    </w:p>
    <w:p>
      <w:pPr>
        <w:pStyle w:val="FirstParagraph"/>
      </w:pPr>
      <w:r>
        <w:t xml:space="preserve">礼仪是</w:t>
      </w:r>
      <w:r>
        <w:rPr>
          <w:i/>
          <w:iCs/>
        </w:rPr>
        <w:t xml:space="preserve">整个基督（Christus totus）</w:t>
      </w:r>
      <w:r>
        <w:t xml:space="preserve">的「行动」。那些现在没有标记也在庆祝礼仪的人，已经处于天上的礼仪中，在那里庆祝完全是共融和盛宴。</w:t>
      </w:r>
    </w:p>
    <w:bookmarkStart w:id="2064" w:name="天上礼仪的庆祝者"/>
    <w:p>
      <w:pPr>
        <w:pStyle w:val="Heading6"/>
      </w:pPr>
      <w:r>
        <w:t xml:space="preserve">天上礼仪的庆祝者</w:t>
      </w:r>
    </w:p>
    <w:p>
      <w:pPr>
        <w:pStyle w:val="FirstParagraph"/>
      </w:pPr>
      <w:r>
        <w:t xml:space="preserve">在教会礼仪中诵读的圣约翰的</w:t>
      </w:r>
      <w:r>
        <w:rPr>
          <w:i/>
          <w:iCs/>
        </w:rPr>
        <w:t xml:space="preserve">启示录</w:t>
      </w:r>
      <w:r>
        <w:t xml:space="preserve">，首先向我们揭示，「在天上有一个宝座，有一位坐在宝座上」：「主神」。</w:t>
      </w:r>
      <w:r>
        <w:rPr>
          <w:rStyle w:val="FootnoteReference"/>
        </w:rPr>
        <w:footnoteReference w:id="2058"/>
      </w:r>
      <w:r>
        <w:t xml:space="preserve">然后显示那羔羊，「站立，如同被杀过的」：基督被钉十字架并复活，是真圣所的唯一大祭司，他就是「献祭者也是祭品，赐予者也是礼物」。</w:t>
      </w:r>
      <w:r>
        <w:rPr>
          <w:rStyle w:val="FootnoteReference"/>
        </w:rPr>
        <w:footnoteReference w:id="2059"/>
      </w:r>
      <w:r>
        <w:t xml:space="preserve">最后，它呈现「生命水的河……从神和羔羊的宝座流出来」，这是圣灵最美丽的象征之一。</w:t>
      </w:r>
      <w:r>
        <w:rPr>
          <w:rStyle w:val="FootnoteReference"/>
        </w:rPr>
        <w:footnoteReference w:id="2060"/>
      </w:r>
    </w:p>
    <w:p>
      <w:pPr>
        <w:pStyle w:val="BodyText"/>
      </w:pPr>
      <w:r>
        <w:t xml:space="preserve">「在基督里总括」的人，是那些参与赞美神和实现他计划的人：天上的力量，所有的受造物（四活物），旧约和新约的仆人（二十四位长老），神的新子民（十四万四千人），</w:t>
      </w:r>
      <w:r>
        <w:rPr>
          <w:rStyle w:val="FootnoteReference"/>
        </w:rPr>
        <w:footnoteReference w:id="2061"/>
      </w:r>
      <w:r>
        <w:t xml:space="preserve">特别是为「神的道被杀」的殉道者，以及至圣的神母（那女人），羔羊的新娘，</w:t>
      </w:r>
      <w:r>
        <w:rPr>
          <w:rStyle w:val="FootnoteReference"/>
        </w:rPr>
        <w:footnoteReference w:id="2062"/>
      </w:r>
      <w:r>
        <w:t xml:space="preserve">最后是「许多的人，没有人能数过来，是从各国、各族、各民、各方来的」。</w:t>
      </w:r>
      <w:r>
        <w:rPr>
          <w:rStyle w:val="FootnoteReference"/>
        </w:rPr>
        <w:footnoteReference w:id="2063"/>
      </w:r>
    </w:p>
    <w:p>
      <w:pPr>
        <w:pStyle w:val="BodyText"/>
      </w:pPr>
      <w:r>
        <w:t xml:space="preserve">正是在这永恒的礼仪中，每当我们在圣事中庆祝救恩的奥秘时，圣灵和教会使我们得以参与其中。</w:t>
      </w:r>
    </w:p>
    <w:bookmarkEnd w:id="2064"/>
    <w:bookmarkStart w:id="2074" w:name="圣事礼仪的庆祝者"/>
    <w:p>
      <w:pPr>
        <w:pStyle w:val="Heading6"/>
      </w:pPr>
      <w:r>
        <w:t xml:space="preserve">圣事礼仪的庆祝者</w:t>
      </w:r>
    </w:p>
    <w:p>
      <w:pPr>
        <w:pStyle w:val="FirstParagraph"/>
      </w:pPr>
      <w:r>
        <w:t xml:space="preserve">庆祝礼仪的是整个</w:t>
      </w:r>
      <w:r>
        <w:rPr>
          <w:i/>
          <w:iCs/>
        </w:rPr>
        <w:t xml:space="preserve">团体</w:t>
      </w:r>
      <w:r>
        <w:t xml:space="preserve">，即与头部结合的基督的身体。「礼仪服务不是私人功能，而是『合一的圣事』即教会的庆典，也就是在主教权威下团结和组织起来的圣洁子民。因此，礼仪服务属于教会的整个身体。它们彰显教会，并对其产生影响。但它们以不同方式触及教会的个别成员，这取决于他们的圣职、在礼仪服务中的角色以及他们实际的参与。」</w:t>
      </w:r>
      <w:r>
        <w:rPr>
          <w:rStyle w:val="FootnoteReference"/>
        </w:rPr>
        <w:footnoteReference w:id="2065"/>
      </w:r>
      <w:r>
        <w:t xml:space="preserve">因此，「那些本应由信友共同庆祝、在场并积极参与的礼仪，应尽可能以这种方式举行，而不是由个人及准私下进行。」</w:t>
      </w:r>
      <w:r>
        <w:rPr>
          <w:rStyle w:val="FootnoteReference"/>
        </w:rPr>
        <w:footnoteReference w:id="2066"/>
      </w:r>
    </w:p>
    <w:p>
      <w:pPr>
        <w:pStyle w:val="BodyText"/>
      </w:pPr>
      <w:r>
        <w:t xml:space="preserve">庆祝的会众是受洗者的团体，他们「通过重生和圣灵的傅油，被祝圣成为灵宫和圣洁的祭司，好使他们通过基督徒的一切工作奉献灵祭。」</w:t>
      </w:r>
      <w:r>
        <w:rPr>
          <w:rStyle w:val="FootnoteReference"/>
        </w:rPr>
        <w:footnoteReference w:id="2067"/>
      </w:r>
      <w:r>
        <w:t xml:space="preserve">这「共同的祭司职」是唯一祭司基督的祭司职，所有他的肢体都参与其中：</w:t>
      </w:r>
      <w:r>
        <w:rPr>
          <w:rStyle w:val="FootnoteReference"/>
        </w:rPr>
        <w:footnoteReference w:id="2068"/>
      </w:r>
    </w:p>
    <w:p>
      <w:pPr>
        <w:pStyle w:val="BodyText"/>
      </w:pPr>
      <w:r>
        <w:t xml:space="preserve">教会母亲殷切希望所有信徒都能被引导至礼仪庆典中的完全、有意识和积极的参与，这是礼仪本质所要求的，而基督徒民众作为「被选的族类，君尊的祭司，圣洁的国度，属神的子民」，因着他们的洗礼而有权利和义务参与。</w:t>
      </w:r>
      <w:r>
        <w:rPr>
          <w:rStyle w:val="FootnoteReference"/>
        </w:rPr>
        <w:footnoteReference w:id="2069"/>
      </w:r>
    </w:p>
    <w:p>
      <w:pPr>
        <w:pStyle w:val="BodyText"/>
      </w:pPr>
      <w:r>
        <w:t xml:space="preserve">但「肢体也不都是一样的用处。」</w:t>
      </w:r>
      <w:r>
        <w:rPr>
          <w:rStyle w:val="FootnoteReference"/>
        </w:rPr>
        <w:footnoteReference w:id="2070"/>
      </w:r>
      <w:r>
        <w:t xml:space="preserve">某些成员被神通过教会呼召，担任团体的特殊服务。这些仆人通过圣秩圣事被选择和祝圣，借此圣灵使他们能以基督元首的身份行事，为教会所有成员服务。</w:t>
      </w:r>
      <w:r>
        <w:rPr>
          <w:rStyle w:val="FootnoteReference"/>
        </w:rPr>
        <w:footnoteReference w:id="2071"/>
      </w:r>
      <w:r>
        <w:t xml:space="preserve">已受圣职者可说是基督司祭的「肖像」。因为教会的圣事在圣餐中得到完全的彰显，所以主教的职务在他主持圣餐时最为明显，同样，与他共融的司祭和执事的职务也是如此。</w:t>
      </w:r>
    </w:p>
    <w:p>
      <w:pPr>
        <w:pStyle w:val="BodyText"/>
      </w:pPr>
      <w:r>
        <w:t xml:space="preserve">为了协助信徒共同祭司职的工作，还存在其他</w:t>
      </w:r>
      <w:r>
        <w:rPr>
          <w:i/>
          <w:iCs/>
        </w:rPr>
        <w:t xml:space="preserve">特殊职务</w:t>
      </w:r>
      <w:r>
        <w:t xml:space="preserve">，它们不是通过圣秩圣事祝圣的；其职能由主教根据礼仪传统和牧灵需要确定。「辅祭、读经员、解说员和唱诗班成员也执行真正的礼仪功能。」</w:t>
      </w:r>
      <w:r>
        <w:rPr>
          <w:rStyle w:val="FootnoteReference"/>
        </w:rPr>
        <w:footnoteReference w:id="2072"/>
      </w:r>
    </w:p>
    <w:p>
      <w:pPr>
        <w:pStyle w:val="BodyText"/>
      </w:pPr>
      <w:r>
        <w:t xml:space="preserve">在圣事的庆典中，整个会众都是</w:t>
      </w:r>
      <w:r>
        <w:rPr>
          <w:i/>
          <w:iCs/>
        </w:rPr>
        <w:t xml:space="preserve">礼仪主体</w:t>
      </w:r>
      <w:r>
        <w:t xml:space="preserve">（</w:t>
      </w:r>
      <w:r>
        <w:rPr>
          <w:i/>
          <w:iCs/>
        </w:rPr>
        <w:t xml:space="preserve">leitourgos</w:t>
      </w:r>
      <w:r>
        <w:t xml:space="preserve">），每人各按其职能，但都在「圣灵的合一」中行事，圣灵在所有人中运行。「在礼仪庆典中，每个人，无论是神职人员还是平信徒，若有职务要执行，应当根据礼仪的本质和规范，执行</w:t>
      </w:r>
      <w:r>
        <w:rPr>
          <w:i/>
          <w:iCs/>
        </w:rPr>
        <w:t xml:space="preserve">所有</w:t>
      </w:r>
      <w:r>
        <w:t xml:space="preserve">和</w:t>
      </w:r>
      <w:r>
        <w:rPr>
          <w:i/>
          <w:iCs/>
        </w:rPr>
        <w:t xml:space="preserve">仅仅</w:t>
      </w:r>
      <w:r>
        <w:t xml:space="preserve">属于其职务的那些部分。」</w:t>
      </w:r>
      <w:r>
        <w:rPr>
          <w:rStyle w:val="FootnoteReference"/>
        </w:rPr>
        <w:footnoteReference w:id="2073"/>
      </w:r>
    </w:p>
    <w:bookmarkEnd w:id="2074"/>
    <w:bookmarkEnd w:id="2075"/>
    <w:bookmarkStart w:id="2097" w:name="二如何庆祝礼仪"/>
    <w:p>
      <w:pPr>
        <w:pStyle w:val="Heading5"/>
      </w:pPr>
      <w:r>
        <w:t xml:space="preserve">二、如何庆祝礼仪？</w:t>
      </w:r>
    </w:p>
    <w:bookmarkStart w:id="2080" w:name="标记与象征"/>
    <w:p>
      <w:pPr>
        <w:pStyle w:val="Heading6"/>
      </w:pPr>
      <w:r>
        <w:t xml:space="preserve">标记与象征</w:t>
      </w:r>
    </w:p>
    <w:p>
      <w:pPr>
        <w:pStyle w:val="FirstParagraph"/>
      </w:pPr>
      <w:r>
        <w:t xml:space="preserve">圣事庆典由标记和象征编织而成。按照救恩的神圣教导法，它们的意义植根于创造工程和人类文化中，由旧约的事件加以具体说明，并在基督的位格和工作中得到充分启示。</w:t>
      </w:r>
    </w:p>
    <w:p>
      <w:pPr>
        <w:pStyle w:val="BodyText"/>
      </w:pPr>
      <w:r>
        <w:rPr>
          <w:i/>
          <w:iCs/>
        </w:rPr>
        <w:t xml:space="preserve">人类世界的标记。</w:t>
      </w:r>
      <w:r>
        <w:t xml:space="preserve">在人类生活中，标记和象征占据重要地位。作为既有身体又有灵魂的存在，人通过物质标记和象征表达并感知精神现实。作为社会存在，人需要标记和象征通过语言、手势和行动与他人沟通。这同样适用于他与神的关系。</w:t>
      </w:r>
    </w:p>
    <w:p>
      <w:pPr>
        <w:pStyle w:val="BodyText"/>
      </w:pPr>
      <w:r>
        <w:t xml:space="preserve">神通过可见的创造向人说话。物质宇宙以这样的方式呈现在人的智能面前，使他能在其中读出创造者的痕迹。</w:t>
      </w:r>
      <w:r>
        <w:rPr>
          <w:rStyle w:val="FootnoteReference"/>
        </w:rPr>
        <w:footnoteReference w:id="2076"/>
      </w:r>
      <w:r>
        <w:t xml:space="preserve">光明与黑暗，风与火，水与土，树与果实都诉说着神，象征着他的伟大和亲近。</w:t>
      </w:r>
    </w:p>
    <w:p>
      <w:pPr>
        <w:pStyle w:val="BodyText"/>
      </w:pPr>
      <w:r>
        <w:t xml:space="preserve">作为受造物，这些可感知的现实可以成为表达神圣化人类的行动以及人类向神献上敬拜的行动的媒介。从人类社会生活中取来的标记和象征也是如此：洗濯和傅油，擘饼和分享杯子，都可以表达神圣化的神的临在和人对其创造者的感恩。</w:t>
      </w:r>
    </w:p>
    <w:p>
      <w:pPr>
        <w:pStyle w:val="BodyText"/>
      </w:pPr>
      <w:r>
        <w:t xml:space="preserve">人类的伟大宗教，常常以令人印象深刻的方式，见证了宗教仪式的宇宙性和象征性意义。教会的礼仪预设、整合并圣化来自创造和人类文化的元素，赋予它们恩典标记的尊严，使它们成为耶稣基督里新创造的标记。</w:t>
      </w:r>
    </w:p>
    <w:p>
      <w:pPr>
        <w:pStyle w:val="BodyText"/>
      </w:pPr>
      <w:r>
        <w:rPr>
          <w:i/>
          <w:iCs/>
        </w:rPr>
        <w:t xml:space="preserve">约的标记。</w:t>
      </w:r>
      <w:r>
        <w:t xml:space="preserve">被拣选的子民从神那里领受了独特的标记和象征，标志着他们的礼仪生活。这些不再仅仅是宇宙周期和社会姿态的庆祝，而是约的标记，是神为他子民所行大能作为的象征。这些来自旧约的礼仪标记包括割礼、君王和祭司的膏抹和祝圣、按手、献祭，尤其是逾越节。教会在这些标记中看到新约圣事的预表。</w:t>
      </w:r>
    </w:p>
    <w:p>
      <w:pPr>
        <w:pStyle w:val="BodyText"/>
      </w:pPr>
      <w:r>
        <w:rPr>
          <w:i/>
          <w:iCs/>
        </w:rPr>
        <w:t xml:space="preserve">基督采用的标记。</w:t>
      </w:r>
      <w:r>
        <w:t xml:space="preserve">主耶稣在他的讲道中，常常利用创造的标记来显明神国的奥秘。</w:t>
      </w:r>
      <w:r>
        <w:rPr>
          <w:rStyle w:val="FootnoteReference"/>
        </w:rPr>
        <w:footnoteReference w:id="2077"/>
      </w:r>
      <w:r>
        <w:t xml:space="preserve">他施行医治，并用物质标记或象征性姿态来说明他的讲道。</w:t>
      </w:r>
      <w:r>
        <w:rPr>
          <w:rStyle w:val="FootnoteReference"/>
        </w:rPr>
        <w:footnoteReference w:id="2078"/>
      </w:r>
      <w:r>
        <w:t xml:space="preserve">他赋予旧约的行为和标记以新的意义，尤其是出埃及和逾越节，</w:t>
      </w:r>
      <w:r>
        <w:rPr>
          <w:rStyle w:val="FootnoteReference"/>
        </w:rPr>
        <w:footnoteReference w:id="2079"/>
      </w:r>
      <w:r>
        <w:t xml:space="preserve">因为他自己就是所有这些标记的意义。</w:t>
      </w:r>
    </w:p>
    <w:p>
      <w:pPr>
        <w:pStyle w:val="BodyText"/>
      </w:pPr>
      <w:r>
        <w:rPr>
          <w:i/>
          <w:iCs/>
        </w:rPr>
        <w:t xml:space="preserve">圣事标记。</w:t>
      </w:r>
      <w:r>
        <w:t xml:space="preserve">自五旬节以来，圣灵通过他教会的圣事标记继续进行圣化的工作。教会的圣事不是废除，而是净化并整合宇宙和社会生活中所有丰富的标记和象征。此外，它们实现了旧约的预表和形象，标志并积极呈现基督所成就的救恩，并预示和期待天堂的荣耀。</w:t>
      </w:r>
    </w:p>
    <w:bookmarkEnd w:id="2080"/>
    <w:bookmarkStart w:id="2081" w:name="言语与行动"/>
    <w:p>
      <w:pPr>
        <w:pStyle w:val="Heading6"/>
      </w:pPr>
      <w:r>
        <w:t xml:space="preserve">言语与行动</w:t>
      </w:r>
    </w:p>
    <w:p>
      <w:pPr>
        <w:pStyle w:val="FirstParagraph"/>
      </w:pPr>
      <w:r>
        <w:t xml:space="preserve">圣事庆典是神的子女在基督和圣灵内与他们的父相遇；这种相遇以对话的形式进行，通过行动和言语。诚然，象征性行动本身已经是一种语言，但神的道和信仰的回应必须伴随并赋予它们生命，使天国的种子能结出果实。</w:t>
      </w:r>
    </w:p>
    <w:p>
      <w:pPr>
        <w:pStyle w:val="BodyText"/>
      </w:pPr>
      <w:r>
        <w:rPr>
          <w:i/>
          <w:iCs/>
        </w:rPr>
        <w:t xml:space="preserve">道的礼仪</w:t>
      </w:r>
      <w:r>
        <w:t xml:space="preserve">是圣事庆典不可分割的组成部分。为滋养信徒的信仰，应强调那些伴随神的道的标记：道的书卷（读经集或福音书），对它的敬奉（游行、焚香、蜡烛），宣讲的地方（读经台或讲台），清晰可听的诵读，神职人员延伸其宣讲的讲道，以及会众的回应（欢呼、默想诗篇、祷文和信仰宣认）。</w:t>
      </w:r>
    </w:p>
    <w:p>
      <w:pPr>
        <w:pStyle w:val="BodyText"/>
      </w:pPr>
      <w:r>
        <w:t xml:space="preserve">礼仪的言语和行动是不可分离的，无论是作为标记和教导，还是作为它们所表示的实现。当圣灵唤醒信仰时，他不仅赐予对神的道的理解，而且通过圣事使其宣告的神的「奇事」临在。圣灵使圣父的工作临在并传达，这工作由爱子完成。</w:t>
      </w:r>
    </w:p>
    <w:bookmarkEnd w:id="2081"/>
    <w:bookmarkStart w:id="2089" w:name="歌唱与音乐"/>
    <w:p>
      <w:pPr>
        <w:pStyle w:val="Heading6"/>
      </w:pPr>
      <w:r>
        <w:t xml:space="preserve">歌唱与音乐</w:t>
      </w:r>
    </w:p>
    <w:p>
      <w:pPr>
        <w:pStyle w:val="FirstParagraph"/>
      </w:pPr>
      <w:r>
        <w:t xml:space="preserve">「普世教会的音乐传统是一种无价之宝，其价值甚至超过任何其他艺术。这种卓越地位的主要原因是，作为神圣音乐和文字的结合，它构成了庄严礼仪必要或不可分割的部分。」</w:t>
      </w:r>
      <w:r>
        <w:rPr>
          <w:rStyle w:val="FootnoteReference"/>
        </w:rPr>
        <w:footnoteReference w:id="2082"/>
      </w:r>
      <w:r>
        <w:t xml:space="preserve">受启发的诗篇的创作和演唱，常常伴随着乐器，早已与旧约的礼仪庆典紧密相连。教会继续并发展这一传统：「当用诗章、颂词、灵歌彼此对说，口唱心和地赞美主。」「唱歌的人是双倍祈祷。」</w:t>
      </w:r>
      <w:r>
        <w:rPr>
          <w:rStyle w:val="FootnoteReference"/>
        </w:rPr>
        <w:footnoteReference w:id="2083"/>
      </w:r>
    </w:p>
    <w:p>
      <w:pPr>
        <w:pStyle w:val="BodyText"/>
      </w:pPr>
      <w:r>
        <w:t xml:space="preserve">当歌唱和音乐「更紧密地与礼仪行动相连」</w:t>
      </w:r>
      <w:r>
        <w:rPr>
          <w:rStyle w:val="FootnoteReference"/>
        </w:rPr>
        <w:footnoteReference w:id="2084"/>
      </w:r>
      <w:r>
        <w:t xml:space="preserve">时，它们作为标记的功能就更加显著，这基于三个主要标准：表达祈祷的美，会众在指定时刻的一致参与，以及庆典的庄严特性。通过这种方式，它们参与了礼仪言语和行动的目的：神的荣耀和信徒的圣化：</w:t>
      </w:r>
      <w:r>
        <w:rPr>
          <w:rStyle w:val="FootnoteReference"/>
        </w:rPr>
        <w:footnoteReference w:id="2085"/>
      </w:r>
    </w:p>
    <w:p>
      <w:pPr>
        <w:pStyle w:val="BodyText"/>
      </w:pPr>
      <w:r>
        <w:t xml:space="preserve">「你的诗歌、曲调和在你教会中回荡的声音如何深深地感动我，使我痛哭！这些声音带给我何等的情感！那些声音流入我的耳朵，将真理注入我的心中。一种虔诚的感觉在我内心涌起，泪水顺着我的脸流下——这是对我有益的泪水。」</w:t>
      </w:r>
      <w:r>
        <w:rPr>
          <w:rStyle w:val="FootnoteReference"/>
        </w:rPr>
        <w:footnoteReference w:id="2086"/>
      </w:r>
    </w:p>
    <w:p>
      <w:pPr>
        <w:pStyle w:val="BodyText"/>
      </w:pPr>
      <w:r>
        <w:t xml:space="preserve">当标记（歌唱、音乐、言语和行动）的和谐在庆祝的神子民的</w:t>
      </w:r>
      <w:r>
        <w:rPr>
          <w:i/>
          <w:iCs/>
        </w:rPr>
        <w:t xml:space="preserve">文化丰富性</w:t>
      </w:r>
      <w:r>
        <w:t xml:space="preserve">中表达出来时，它就更具表现力和成效。</w:t>
      </w:r>
      <w:r>
        <w:rPr>
          <w:rStyle w:val="FootnoteReference"/>
        </w:rPr>
        <w:footnoteReference w:id="2087"/>
      </w:r>
      <w:r>
        <w:t xml:space="preserve">因此，「应明智地培养信徒的宗教歌唱，使他们在敬奉和神圣操练以及礼仪服务中」，按照教会的规范，「使信徒的声音被听见。」但「用于歌唱的文本必须始终符合公教的教义。实际上，它们应主要取自圣经和礼仪来源。」</w:t>
      </w:r>
      <w:r>
        <w:rPr>
          <w:rStyle w:val="FootnoteReference"/>
        </w:rPr>
        <w:footnoteReference w:id="2088"/>
      </w:r>
    </w:p>
    <w:bookmarkEnd w:id="2089"/>
    <w:bookmarkStart w:id="2096" w:name="圣像"/>
    <w:p>
      <w:pPr>
        <w:pStyle w:val="Heading6"/>
      </w:pPr>
      <w:r>
        <w:t xml:space="preserve">圣像</w:t>
      </w:r>
    </w:p>
    <w:p>
      <w:pPr>
        <w:pStyle w:val="FirstParagraph"/>
      </w:pPr>
      <w:r>
        <w:t xml:space="preserve">圣像，礼仪图像，主要代表</w:t>
      </w:r>
      <w:r>
        <w:rPr>
          <w:i/>
          <w:iCs/>
        </w:rPr>
        <w:t xml:space="preserve">基督</w:t>
      </w:r>
      <w:r>
        <w:t xml:space="preserve">。它不能代表那不可见和不可理解的神，但神之子的化身带来了一个图像的新「经纶」：</w:t>
      </w:r>
    </w:p>
    <w:p>
      <w:pPr>
        <w:pStyle w:val="BodyText"/>
      </w:pPr>
      <w:r>
        <w:t xml:space="preserve">「以前，既没有身体也没有面容的神，绝对不能用图像来表示。但现在，他既已在肉身中使自己可见，并与人同住，我就能制作我所见到的神的形像……默观主不再遮掩的荣耀面容。」</w:t>
      </w:r>
      <w:r>
        <w:rPr>
          <w:rStyle w:val="FootnoteReference"/>
        </w:rPr>
        <w:footnoteReference w:id="2090"/>
      </w:r>
    </w:p>
    <w:p>
      <w:pPr>
        <w:pStyle w:val="BodyText"/>
      </w:pPr>
      <w:r>
        <w:t xml:space="preserve">基督教圣像艺术以图像表达圣经以文字传达的同一福音信息。图像和文字相互阐明：</w:t>
      </w:r>
    </w:p>
    <w:p>
      <w:pPr>
        <w:pStyle w:val="BodyText"/>
      </w:pPr>
      <w:r>
        <w:t xml:space="preserve">「我们宣告，我们完整地保存所有托付给我们的教会成文和不成文的传统。这些传统之一包括制作具象艺术作品，这符合福音宣讲的历史。因为它确认神的道的化身是真实的，而非虚构的，这也对我们有益，因为相互说明的现实无疑反映了彼此的意义。」</w:t>
      </w:r>
      <w:r>
        <w:rPr>
          <w:rStyle w:val="FootnoteReference"/>
        </w:rPr>
        <w:footnoteReference w:id="2091"/>
      </w:r>
    </w:p>
    <w:p>
      <w:pPr>
        <w:pStyle w:val="BodyText"/>
      </w:pPr>
      <w:r>
        <w:t xml:space="preserve">礼仪庆典中的所有标记都与基督有关：圣母和圣人的圣像也是如此。它们真实地表示基督，他在其中得荣耀。它们彰显那「如同云彩围着我们的见证人」，</w:t>
      </w:r>
      <w:r>
        <w:rPr>
          <w:rStyle w:val="FootnoteReference"/>
        </w:rPr>
        <w:footnoteReference w:id="2092"/>
      </w:r>
      <w:r>
        <w:t xml:space="preserve">他们继续参与世界的救恩，我们与他们联合，尤其是在圣事庆典中。通过他们的圣像，人「按神的形象」最终变化「进入他的形象」，</w:t>
      </w:r>
      <w:r>
        <w:rPr>
          <w:rStyle w:val="FootnoteReference"/>
        </w:rPr>
        <w:footnoteReference w:id="2093"/>
      </w:r>
      <w:r>
        <w:t xml:space="preserve">向我们的信仰启示。天使们也是如此，他们也在基督里被总括：</w:t>
      </w:r>
    </w:p>
    <w:p>
      <w:pPr>
        <w:pStyle w:val="BodyText"/>
      </w:pPr>
      <w:r>
        <w:t xml:space="preserve">「遵循我们圣教父们受神启发的教导和大公教会的传统（因为我们知道这传统来自住在她里面的圣灵），我们以完全的确定性和正确性恰当地定义，像宝贵赐生命十字架的形象一样，我们的主、神和救主耶稣基督、我们不可侵犯的贵妇、神的圣母和受敬重的天使，所有圣人和义人的可敬和神圣形象，无论是绘画、马赛克还是其他合适材料制成，都应在神的圣教堂内，在神圣器皿和礼服上，在墙壁和板上，在住宅和街道上展示。」</w:t>
      </w:r>
      <w:r>
        <w:rPr>
          <w:rStyle w:val="FootnoteReference"/>
        </w:rPr>
        <w:footnoteReference w:id="2094"/>
      </w:r>
    </w:p>
    <w:p>
      <w:pPr>
        <w:pStyle w:val="BodyText"/>
      </w:pPr>
      <w:r>
        <w:t xml:space="preserve">「圣像的美使我进入默观，如同草地使眼睛喜悦并微妙地向灵魂注入神的荣耀。」</w:t>
      </w:r>
      <w:r>
        <w:rPr>
          <w:rStyle w:val="FootnoteReference"/>
        </w:rPr>
        <w:footnoteReference w:id="2095"/>
      </w:r>
      <w:r>
        <w:t xml:space="preserve">同样，圣像的默观，与对神的道的默想和礼仪圣歌的歌唱相结合，进入庆典标记的和谐中，使所庆祝的奥秘铭刻在心的记忆中，然后在信徒的新生活中表达出来。</w:t>
      </w:r>
    </w:p>
    <w:bookmarkEnd w:id="2096"/>
    <w:bookmarkEnd w:id="2097"/>
    <w:bookmarkStart w:id="2121" w:name="三何时庆祝礼仪"/>
    <w:p>
      <w:pPr>
        <w:pStyle w:val="Heading5"/>
      </w:pPr>
      <w:r>
        <w:t xml:space="preserve">三、何时庆祝礼仪？</w:t>
      </w:r>
    </w:p>
    <w:bookmarkStart w:id="2101" w:name="礼仪季节"/>
    <w:p>
      <w:pPr>
        <w:pStyle w:val="Heading6"/>
      </w:pPr>
      <w:r>
        <w:t xml:space="preserve">礼仪季节</w:t>
      </w:r>
    </w:p>
    <w:p>
      <w:pPr>
        <w:pStyle w:val="FirstParagraph"/>
      </w:pPr>
      <w:r>
        <w:t xml:space="preserve">「慈母圣教会相信，她应当在一年中的特定日子，以圣洁的纪念庆祝她神性新郎的救恩工作。每周一次，在她称为主日的那一天，她保持对主复活的记忆。她也在复活节，所有节日中最庄严的节日，每年一次地与他蒙福的受难一同庆祝。此外，在一年的过程中，她展开基督的整个奥秘……因此，回忆救赎的奥秘，她向信徒们开启她主的能力和功德的丰富，使这些以某种方式在每个时代呈现；信徒们把握它们，并充满救赎的恩典。」</w:t>
      </w:r>
      <w:r>
        <w:rPr>
          <w:rStyle w:val="FootnoteReference"/>
        </w:rPr>
        <w:footnoteReference w:id="2098"/>
      </w:r>
    </w:p>
    <w:p>
      <w:pPr>
        <w:pStyle w:val="BodyText"/>
      </w:pPr>
      <w:r>
        <w:t xml:space="preserve">自从摩西律法的时代起，神的子民就遵守固定的节期，从逾越节开始，以纪念救主神的奇妙作为，为此感谢他，永久保存他们的记忆，并教导新一代人使自己的行为与之相符。在教会的时代，在基督一次而永远成就的逾越节与其在神国中的圆满之间，在固定日子庆祝的礼仪承载着基督奥秘新意的印记。</w:t>
      </w:r>
    </w:p>
    <w:p>
      <w:pPr>
        <w:pStyle w:val="BodyText"/>
      </w:pPr>
      <w:r>
        <w:t xml:space="preserve">当教会庆祝基督的奥秘时，有一个词标志着她的祈祷：「今天！」——这个词呼应着她的主教导她的祷告和圣灵的呼召。</w:t>
      </w:r>
      <w:r>
        <w:rPr>
          <w:rStyle w:val="FootnoteReference"/>
        </w:rPr>
        <w:footnoteReference w:id="2099"/>
      </w:r>
      <w:r>
        <w:t xml:space="preserve">这个人被召进入的永生神的「今天」，就是耶稣逾越节的「时刻」，它贯穿并奠定了所有历史：</w:t>
      </w:r>
    </w:p>
    <w:p>
      <w:pPr>
        <w:pStyle w:val="BodyText"/>
      </w:pPr>
      <w:r>
        <w:t xml:space="preserve">生命延伸覆盖所有存在，以无限的光充满它们；东方之东遍及宇宙，那位「在晨星之前」和在天体之前就存在的，不朽且广大的，伟大的基督，比太阳更明亮地照耀着所有存在。因此，对我们这些信他的人，一个漫长、永恒之光的日子被引入，一个永不消逝的日子：神秘的逾越节。</w:t>
      </w:r>
      <w:r>
        <w:rPr>
          <w:rStyle w:val="FootnoteReference"/>
        </w:rPr>
        <w:footnoteReference w:id="2100"/>
      </w:r>
    </w:p>
    <w:bookmarkEnd w:id="2101"/>
    <w:bookmarkStart w:id="2108" w:name="主日"/>
    <w:p>
      <w:pPr>
        <w:pStyle w:val="Heading6"/>
      </w:pPr>
      <w:r>
        <w:t xml:space="preserve">主日</w:t>
      </w:r>
    </w:p>
    <w:p>
      <w:pPr>
        <w:pStyle w:val="FirstParagraph"/>
      </w:pPr>
      <w:r>
        <w:t xml:space="preserve">「藉着一个从使徒传下来的传统，起源于基督复活的那天，教会每七天庆祝一次逾越奥秘，这一天恰当地被称为主日或星期日。」</w:t>
      </w:r>
      <w:r>
        <w:rPr>
          <w:rStyle w:val="FootnoteReference"/>
        </w:rPr>
        <w:footnoteReference w:id="2102"/>
      </w:r>
      <w:r>
        <w:t xml:space="preserve">基督复活的日子既是一周的第一天，创造的第一天的纪念，也是「第八天」，在这一天，基督在大安息日的「安息」之后，开创了「主所定的日子」，「不知黄昏的日子」。</w:t>
      </w:r>
      <w:r>
        <w:rPr>
          <w:rStyle w:val="FootnoteReference"/>
        </w:rPr>
        <w:footnoteReference w:id="2103"/>
      </w:r>
      <w:r>
        <w:t xml:space="preserve">圣餐是其中心，因为在那里，信徒的整个团体遇见复活的主，他邀请他们参加他的筵席：</w:t>
      </w:r>
      <w:r>
        <w:rPr>
          <w:rStyle w:val="FootnoteReference"/>
        </w:rPr>
        <w:footnoteReference w:id="2104"/>
      </w:r>
    </w:p>
    <w:p>
      <w:pPr>
        <w:pStyle w:val="BodyText"/>
      </w:pPr>
      <w:r>
        <w:t xml:space="preserve">主日，复活之日，基督徒之日，是我们的日子。它被称为主日，因为在这一天主胜利地复活归向父。如果异教徒称它为「太阳日」，我们欣然同意，因为在今天，世界之光被高举，今天正义的太阳显现，他的光芒带来医治。</w:t>
      </w:r>
      <w:r>
        <w:rPr>
          <w:rStyle w:val="FootnoteReference"/>
        </w:rPr>
        <w:footnoteReference w:id="2105"/>
      </w:r>
    </w:p>
    <w:p>
      <w:pPr>
        <w:pStyle w:val="BodyText"/>
      </w:pPr>
      <w:r>
        <w:t xml:space="preserve">星期日是礼仪集会的首要日子，信徒们聚集「聆听神的道，参与圣餐，从而回忆主耶稣的受难、复活和荣耀，并感谢神，他『借耶稣基督从死里复活，重生了他们』，使他们有活泼的盼望。」</w:t>
      </w:r>
      <w:r>
        <w:rPr>
          <w:rStyle w:val="FootnoteReference"/>
        </w:rPr>
        <w:footnoteReference w:id="2106"/>
      </w:r>
    </w:p>
    <w:p>
      <w:pPr>
        <w:pStyle w:val="BodyText"/>
      </w:pPr>
      <w:r>
        <w:t xml:space="preserve">当我们思考，噢基督，在这一天，你复活的主日所成就的奇事，我们说：「有福的主日，因为在这一天开始了创造……世界的救恩……人类的更新……在主日，天地欢喜，整个宇宙充满了光明。有福的主日，因为在这一天天堂的门被打开，使亚当和所有被逐者都可以无惧地进入。」</w:t>
      </w:r>
      <w:r>
        <w:rPr>
          <w:rStyle w:val="FootnoteReference"/>
        </w:rPr>
        <w:footnoteReference w:id="2107"/>
      </w:r>
    </w:p>
    <w:bookmarkEnd w:id="2108"/>
    <w:bookmarkStart w:id="2120" w:name="礼仪年"/>
    <w:p>
      <w:pPr>
        <w:pStyle w:val="Heading6"/>
      </w:pPr>
      <w:r>
        <w:t xml:space="preserve">礼仪年</w:t>
      </w:r>
    </w:p>
    <w:p>
      <w:pPr>
        <w:pStyle w:val="FirstParagraph"/>
      </w:pPr>
      <w:r>
        <w:t xml:space="preserve">以复活节三日庆典为光明之源，复活的新时代以其光辉充满整个礼仪年。渐渐地，在这光源的两侧，一年被礼仪所改变。这真的是「主悦纳人的年岁」。</w:t>
      </w:r>
      <w:r>
        <w:rPr>
          <w:rStyle w:val="FootnoteReference"/>
        </w:rPr>
        <w:footnoteReference w:id="2109"/>
      </w:r>
      <w:r>
        <w:t xml:space="preserve">救恩的经纶在时间的框架内运作，但自从它在耶稣的逾越节和圣灵的浇灌中实现以来，历史的高潮「如同预尝」般被预期，神的国度进入了我们的时间。</w:t>
      </w:r>
    </w:p>
    <w:p>
      <w:pPr>
        <w:pStyle w:val="BodyText"/>
      </w:pPr>
      <w:r>
        <w:t xml:space="preserve">因此，</w:t>
      </w:r>
      <w:r>
        <w:rPr>
          <w:i/>
          <w:iCs/>
        </w:rPr>
        <w:t xml:space="preserve">复活节</w:t>
      </w:r>
      <w:r>
        <w:t xml:space="preserve">不仅仅是众多节日中的一个，而是「节日中的节日」，「庄严中的庄严」，正如圣餐是「圣事中的圣事」（伟大的圣事）。圣亚他那修称复活节为「大主日」，</w:t>
      </w:r>
      <w:r>
        <w:rPr>
          <w:rStyle w:val="FootnoteReference"/>
        </w:rPr>
        <w:footnoteReference w:id="2110"/>
      </w:r>
      <w:r>
        <w:t xml:space="preserve">东方教会称圣周为「大周」。复活的奥秘，基督在其中击碎了死亡，以其强大的能量渗透我们的旧时间，直到万物都服在他的脚下。</w:t>
      </w:r>
    </w:p>
    <w:p>
      <w:pPr>
        <w:pStyle w:val="BodyText"/>
      </w:pPr>
      <w:r>
        <w:t xml:space="preserve">在 325 年的尼西亚会议上，所有教会都同意复活节，即基督徒的逾越节，应该在春分后第一个满月（尼散月十四日）之后的星期日庆祝。由于计算尼散月十四日的方法不同，西方和东方教会的复活节日期并不总是相同。因此，教会目前正在寻求协议，以便再次在共同的日期庆祝主复活的日子。</w:t>
      </w:r>
    </w:p>
    <w:p>
      <w:pPr>
        <w:pStyle w:val="BodyText"/>
      </w:pPr>
      <w:r>
        <w:t xml:space="preserve">在礼仪年中，逾越奥秘的各个方面逐步展开。这也适用于围绕着化身奥秘（圣母领报、圣诞节、主显节）的节日周期。它们纪念我们救恩的开始，并向我们传达逾越奥秘的初熟果实。</w:t>
      </w:r>
    </w:p>
    <w:p>
      <w:pPr>
        <w:pStyle w:val="BodyText"/>
      </w:pPr>
      <w:r>
        <w:rPr>
          <w:i/>
          <w:iCs/>
        </w:rPr>
        <w:t xml:space="preserve">礼仪年中的圣人日历</w:t>
      </w:r>
    </w:p>
    <w:p>
      <w:pPr>
        <w:pStyle w:val="BodyText"/>
      </w:pPr>
      <w:r>
        <w:t xml:space="preserve">「在庆祝基督奥秘的这一年度周期中，圣教会以特殊的爱尊敬蒙福的马利亚，神的母亲。她与她儿子的救恩工作不可分离地联系在一起。在她身上，教会钦佩和赞美救赎最杰出的果实，并欢喜地注视，如同在无瑕的镜像中，她自己渴望并希望完全成为的样子。」</w:t>
      </w:r>
      <w:r>
        <w:rPr>
          <w:rStyle w:val="FootnoteReference"/>
        </w:rPr>
        <w:footnoteReference w:id="2111"/>
      </w:r>
    </w:p>
    <w:p>
      <w:pPr>
        <w:pStyle w:val="BodyText"/>
      </w:pPr>
      <w:r>
        <w:t xml:space="preserve">当教会在年度周期中保持对殉道者和其他圣人的纪念时，她宣告那些「与基督一同受苦并得荣耀之人」中的逾越奥秘。她将他们作为榜样提供给信徒，他们通过基督引导所有人归向父，并通过他们的功德，她祈求神的恩惠。</w:t>
      </w:r>
      <w:r>
        <w:rPr>
          <w:rStyle w:val="FootnoteReference"/>
        </w:rPr>
        <w:footnoteReference w:id="2112"/>
      </w:r>
    </w:p>
    <w:p>
      <w:pPr>
        <w:pStyle w:val="BodyText"/>
      </w:pPr>
      <w:r>
        <w:rPr>
          <w:i/>
          <w:iCs/>
        </w:rPr>
        <w:t xml:space="preserve">时辰礼仪</w:t>
      </w:r>
    </w:p>
    <w:p>
      <w:pPr>
        <w:pStyle w:val="BodyText"/>
      </w:pPr>
      <w:r>
        <w:t xml:space="preserve">基督的奥秘，他的道成肉身和逾越，我们特别在主日集会的圣餐中庆祝，通过时辰礼仪的庆祝，「神圣职务」，渗透并改变每一天的时间。</w:t>
      </w:r>
      <w:r>
        <w:rPr>
          <w:rStyle w:val="FootnoteReference"/>
        </w:rPr>
        <w:footnoteReference w:id="2113"/>
      </w:r>
      <w:r>
        <w:t xml:space="preserve">这种庆祝，忠于使徒的劝勉「不断祈祷」，「旨在使一天和夜晚的整个过程通过对神的赞美而成为神圣。」</w:t>
      </w:r>
      <w:r>
        <w:rPr>
          <w:rStyle w:val="FootnoteReference"/>
        </w:rPr>
        <w:footnoteReference w:id="2114"/>
      </w:r>
      <w:r>
        <w:t xml:space="preserve">在这「教会的公共祈祷」中，</w:t>
      </w:r>
      <w:r>
        <w:rPr>
          <w:rStyle w:val="FootnoteReference"/>
        </w:rPr>
        <w:footnoteReference w:id="2115"/>
      </w:r>
      <w:r>
        <w:t xml:space="preserve">信徒（神职人员、修道人员和平信徒）行使受洗者的君尊祭司职。以教会「认可的形式」庆祝，时辰礼仪「真正是新娘自己向她的新郎发出的声音。这正是基督自己与他的身体一起向父发出的祈祷。」</w:t>
      </w:r>
      <w:r>
        <w:rPr>
          <w:rStyle w:val="FootnoteReference"/>
        </w:rPr>
        <w:footnoteReference w:id="2116"/>
      </w:r>
    </w:p>
    <w:p>
      <w:pPr>
        <w:pStyle w:val="BodyText"/>
      </w:pPr>
      <w:r>
        <w:t xml:space="preserve">时辰礼仪旨在成为神全体子民的祈祷。在其中，基督自己「通过他的教会继续他的祭司工作。」</w:t>
      </w:r>
      <w:r>
        <w:rPr>
          <w:rStyle w:val="FootnoteReference"/>
        </w:rPr>
        <w:footnoteReference w:id="2117"/>
      </w:r>
      <w:r>
        <w:t xml:space="preserve">他的成员根据他们在教会中的位置和生活环境参与：献身于牧灵事工的祭司，因为他们被召在祈祷和道的服事中保持勤奋；修道人员，通过他们奉献生活的神恩；以及所有信徒尽可能地参与：「灵魂的牧者应当确保主要时辰，特别是晚祷，在主日和更庄严的节日在教堂中共同庆祝。也鼓励平信徒诵读神圣职务，或与祭司一起，或在他们之间，或甚至个人地。」</w:t>
      </w:r>
      <w:r>
        <w:rPr>
          <w:rStyle w:val="FootnoteReference"/>
        </w:rPr>
        <w:footnoteReference w:id="2118"/>
      </w:r>
    </w:p>
    <w:p>
      <w:pPr>
        <w:pStyle w:val="BodyText"/>
      </w:pPr>
      <w:r>
        <w:t xml:space="preserve">庆祝时辰礼仪不仅要求声音与祈祷的心和谐，还要求对礼仪和圣经，特别是诗篇有更深的「理解」。</w:t>
      </w:r>
      <w:r>
        <w:rPr>
          <w:rStyle w:val="FootnoteReference"/>
        </w:rPr>
        <w:footnoteReference w:id="2119"/>
      </w:r>
    </w:p>
    <w:p>
      <w:pPr>
        <w:pStyle w:val="BodyText"/>
      </w:pPr>
      <w:r>
        <w:t xml:space="preserve">时辰礼仪的赞美诗和祷文将诗篇的祈祷融入教会的时代，表达一天中的时间、礼仪季节或所庆祝的节日的象征意义。此外，在每个时辰阅读神的道（随后的回应或</w:t>
      </w:r>
      <w:r>
        <w:rPr>
          <w:i/>
          <w:iCs/>
        </w:rPr>
        <w:t xml:space="preserve">短诗</w:t>
      </w:r>
      <w:r>
        <w:t xml:space="preserve">）以及在某些时辰阅读教父和灵修大师的著作，更深入地揭示所庆祝的奥秘的意义，帮助理解诗篇，并为默祷做准备。</w:t>
      </w:r>
      <w:r>
        <w:rPr>
          <w:i/>
          <w:iCs/>
        </w:rPr>
        <w:t xml:space="preserve">神圣阅读</w:t>
      </w:r>
      <w:r>
        <w:t xml:space="preserve">，即神的道被如此阅读和默想以至于成为祈祷，因此根植于礼仪庆典中。</w:t>
      </w:r>
    </w:p>
    <w:p>
      <w:pPr>
        <w:pStyle w:val="BodyText"/>
      </w:pPr>
      <w:r>
        <w:t xml:space="preserve">时辰礼仪，作为圣餐庆典的延伸，不排除而是以互补的方式唤起神子民的各种敬奉，特别是对圣体的崇拜和敬拜。</w:t>
      </w:r>
    </w:p>
    <w:bookmarkEnd w:id="2120"/>
    <w:bookmarkEnd w:id="2121"/>
    <w:bookmarkStart w:id="2134" w:name="四礼仪在哪里庆祝"/>
    <w:p>
      <w:pPr>
        <w:pStyle w:val="Heading5"/>
      </w:pPr>
      <w:r>
        <w:t xml:space="preserve">四、礼仪在哪里庆祝？</w:t>
      </w:r>
    </w:p>
    <w:p>
      <w:pPr>
        <w:pStyle w:val="FirstParagraph"/>
      </w:pPr>
      <w:r>
        <w:t xml:space="preserve">新约的「在圣灵和真理中」的敬拜不专属于任何一个地方。整个地球都是神圣的，并托付给人类的子孙。最重要的是，当信徒聚集在同一个地方时，他们是「活石」，聚集起来「被建成为灵宫」。</w:t>
      </w:r>
      <w:r>
        <w:rPr>
          <w:rStyle w:val="FootnoteReference"/>
        </w:rPr>
        <w:footnoteReference w:id="2122"/>
      </w:r>
      <w:r>
        <w:t xml:space="preserve">因为复活的基督的身体是灵性的圣殿，从那里涌出生命水的源泉：借着圣灵融入基督，「我们是永生神的殿」。</w:t>
      </w:r>
      <w:r>
        <w:rPr>
          <w:rStyle w:val="FootnoteReference"/>
        </w:rPr>
        <w:footnoteReference w:id="2123"/>
      </w:r>
    </w:p>
    <w:p>
      <w:pPr>
        <w:pStyle w:val="BodyText"/>
      </w:pPr>
      <w:r>
        <w:t xml:space="preserve">当宗教自由的行使不受阻碍时，基督徒建造建筑物用于敬拜。这些可见的教堂不仅仅是聚会的场所，而是标志并使在此地生活的教会变得可见，是神与在基督里和好并合一的人同住的处所。</w:t>
      </w:r>
      <w:r>
        <w:rPr>
          <w:rStyle w:val="FootnoteReference"/>
        </w:rPr>
        <w:footnoteReference w:id="2124"/>
      </w:r>
    </w:p>
    <w:p>
      <w:pPr>
        <w:pStyle w:val="BodyText"/>
      </w:pPr>
      <w:r>
        <w:t xml:space="preserve">教堂，「一所祈祷之所，其中圣餐被庆祝和保存，信徒在那里聚集，我们的救主神的儿子的临在在那里受到敬拜，他为我们在祭坛上奉献，为了信徒的帮助和安慰——这所房子应该具有良好的品味，成为祈祷和神圣礼仪的相称场所」。</w:t>
      </w:r>
      <w:r>
        <w:rPr>
          <w:rStyle w:val="FootnoteReference"/>
        </w:rPr>
        <w:footnoteReference w:id="2125"/>
      </w:r>
      <w:r>
        <w:t xml:space="preserve">在这「神的殿」中，构成它的标记的真理和和谐应当显示基督在此地临在并活跃。</w:t>
      </w:r>
      <w:r>
        <w:rPr>
          <w:rStyle w:val="FootnoteReference"/>
        </w:rPr>
        <w:footnoteReference w:id="2126"/>
      </w:r>
    </w:p>
    <w:p>
      <w:pPr>
        <w:pStyle w:val="BodyText"/>
      </w:pPr>
      <w:r>
        <w:t xml:space="preserve">新约的</w:t>
      </w:r>
      <w:r>
        <w:rPr>
          <w:i/>
          <w:iCs/>
        </w:rPr>
        <w:t xml:space="preserve">祭台</w:t>
      </w:r>
      <w:r>
        <w:t xml:space="preserve">是主的十字架，</w:t>
      </w:r>
      <w:r>
        <w:rPr>
          <w:rStyle w:val="FootnoteReference"/>
        </w:rPr>
        <w:footnoteReference w:id="2127"/>
      </w:r>
      <w:r>
        <w:t xml:space="preserve">从那里流出逾越奥秘的圣事。在祭台上，即教堂的中心，十字架的祭献在圣事标记下呈现。祭台也是主的桌子，神的子民被邀请到那里。</w:t>
      </w:r>
      <w:r>
        <w:rPr>
          <w:rStyle w:val="FootnoteReference"/>
        </w:rPr>
        <w:footnoteReference w:id="2128"/>
      </w:r>
      <w:r>
        <w:t xml:space="preserve">在某些东方礼仪中，祭台也是坟墓的象征（基督确实死了，也确实复活了）。</w:t>
      </w:r>
    </w:p>
    <w:p>
      <w:pPr>
        <w:pStyle w:val="BodyText"/>
      </w:pPr>
      <w:r>
        <w:rPr>
          <w:i/>
          <w:iCs/>
        </w:rPr>
        <w:t xml:space="preserve">圣体龛</w:t>
      </w:r>
      <w:r>
        <w:t xml:space="preserve">应当「位于教堂内最尊贵的位置并受到最大的荣誉」。</w:t>
      </w:r>
      <w:r>
        <w:rPr>
          <w:rStyle w:val="FootnoteReference"/>
        </w:rPr>
        <w:footnoteReference w:id="2129"/>
      </w:r>
      <w:r>
        <w:t xml:space="preserve">圣体龛的尊严、放置和安全应当促进对真实临在于祭台的圣体圣事中的主的敬拜。</w:t>
      </w:r>
      <w:r>
        <w:rPr>
          <w:rStyle w:val="FootnoteReference"/>
        </w:rPr>
        <w:footnoteReference w:id="2130"/>
      </w:r>
    </w:p>
    <w:p>
      <w:pPr>
        <w:pStyle w:val="BodyText"/>
      </w:pPr>
      <w:r>
        <w:rPr>
          <w:i/>
          <w:iCs/>
        </w:rPr>
        <w:t xml:space="preserve">圣油（myron）</w:t>
      </w:r>
      <w:r>
        <w:t xml:space="preserve">，用于傅油作为圣灵恩赐印记的圣事标记，传统上保存在圣所内的安全地点并受到敬奉。慕道者之油和病人之油也可以放置在那里。</w:t>
      </w:r>
    </w:p>
    <w:p>
      <w:pPr>
        <w:pStyle w:val="BodyText"/>
      </w:pPr>
      <w:r>
        <w:t xml:space="preserve">主教的</w:t>
      </w:r>
      <w:r>
        <w:rPr>
          <w:i/>
          <w:iCs/>
        </w:rPr>
        <w:t xml:space="preserve">座位</w:t>
      </w:r>
      <w:r>
        <w:t xml:space="preserve">（</w:t>
      </w:r>
      <w:r>
        <w:rPr>
          <w:i/>
          <w:iCs/>
        </w:rPr>
        <w:t xml:space="preserve">cathedra</w:t>
      </w:r>
      <w:r>
        <w:t xml:space="preserve">）或司祭的座位「应当表达他主持会众和引导祈祷的职务」。</w:t>
      </w:r>
      <w:r>
        <w:rPr>
          <w:rStyle w:val="FootnoteReference"/>
        </w:rPr>
        <w:footnoteReference w:id="2131"/>
      </w:r>
    </w:p>
    <w:p>
      <w:pPr>
        <w:pStyle w:val="BodyText"/>
      </w:pPr>
      <w:r>
        <w:rPr>
          <w:i/>
          <w:iCs/>
        </w:rPr>
        <w:t xml:space="preserve">读经台（ambo）</w:t>
      </w:r>
      <w:r>
        <w:t xml:space="preserve">：「神的道的尊严要求教堂有一个适当的地方宣告他的信息，使人们的注意力在道的礼仪期间可以容易地被引导到那个地方。」</w:t>
      </w:r>
      <w:r>
        <w:rPr>
          <w:rStyle w:val="FootnoteReference"/>
        </w:rPr>
        <w:footnoteReference w:id="2132"/>
      </w:r>
    </w:p>
    <w:p>
      <w:pPr>
        <w:pStyle w:val="BodyText"/>
      </w:pPr>
      <w:r>
        <w:t xml:space="preserve">神子民的聚集始于洗礼；教堂必须有一个庆祝</w:t>
      </w:r>
      <w:r>
        <w:rPr>
          <w:i/>
          <w:iCs/>
        </w:rPr>
        <w:t xml:space="preserve">洗礼</w:t>
      </w:r>
      <w:r>
        <w:t xml:space="preserve">的地方（洗礼池）和促进记忆洗礼誓约的地方（圣水盆）。</w:t>
      </w:r>
    </w:p>
    <w:p>
      <w:pPr>
        <w:pStyle w:val="BodyText"/>
      </w:pPr>
      <w:r>
        <w:t xml:space="preserve">更新洗礼生活需要</w:t>
      </w:r>
      <w:r>
        <w:rPr>
          <w:i/>
          <w:iCs/>
        </w:rPr>
        <w:t xml:space="preserve">忏悔</w:t>
      </w:r>
      <w:r>
        <w:t xml:space="preserve">。因此，教堂必须有助于表达悔改和接受宽恕，这需要一个适当的地方接待悔罪者。</w:t>
      </w:r>
    </w:p>
    <w:p>
      <w:pPr>
        <w:pStyle w:val="BodyText"/>
      </w:pPr>
      <w:r>
        <w:t xml:space="preserve">教堂也必须是一个邀请我们回忆和静默祈祷的空间，延伸并内化圣餐的伟大祈祷。</w:t>
      </w:r>
    </w:p>
    <w:p>
      <w:pPr>
        <w:pStyle w:val="BodyText"/>
      </w:pPr>
      <w:r>
        <w:t xml:space="preserve">最后，教堂具有末世论的意义。要进入神的殿，我们必须跨过一个</w:t>
      </w:r>
      <w:r>
        <w:rPr>
          <w:i/>
          <w:iCs/>
        </w:rPr>
        <w:t xml:space="preserve">门槛</w:t>
      </w:r>
      <w:r>
        <w:t xml:space="preserve">，象征着从被罪伤害的世界通往所有人都被召唤的新生命世界。可见的教堂是圣父之家的象征，神的子民正在向那里旅行，在那里圣父「要擦去他们一切的眼泪」。</w:t>
      </w:r>
      <w:r>
        <w:rPr>
          <w:rStyle w:val="FootnoteReference"/>
        </w:rPr>
        <w:footnoteReference w:id="2133"/>
      </w:r>
      <w:r>
        <w:t xml:space="preserve">也正因为这个原因，教会是神所有儿女的家，开放并欢迎。</w:t>
      </w:r>
    </w:p>
    <w:bookmarkEnd w:id="2134"/>
    <w:bookmarkStart w:id="2135" w:name="综述-32"/>
    <w:p>
      <w:pPr>
        <w:pStyle w:val="Heading5"/>
      </w:pPr>
      <w:r>
        <w:t xml:space="preserve">综述</w:t>
      </w:r>
    </w:p>
    <w:p>
      <w:pPr>
        <w:pStyle w:val="FirstParagraph"/>
      </w:pPr>
      <w:r>
        <w:t xml:space="preserve">礼仪是整个基督，头和身体的工作。我们的大祭司在天上的礼仪中不断地庆祝它，与神的圣母、使徒、所有圣人以及那些已经进入天国的众多人一起。</w:t>
      </w:r>
    </w:p>
    <w:p>
      <w:pPr>
        <w:pStyle w:val="BodyText"/>
      </w:pPr>
      <w:r>
        <w:t xml:space="preserve">在礼仪庆典中，整个会众都是</w:t>
      </w:r>
      <w:r>
        <w:rPr>
          <w:i/>
          <w:iCs/>
        </w:rPr>
        <w:t xml:space="preserve">礼仪主体</w:t>
      </w:r>
      <w:r>
        <w:t xml:space="preserve">（</w:t>
      </w:r>
      <w:r>
        <w:rPr>
          <w:i/>
          <w:iCs/>
        </w:rPr>
        <w:t xml:space="preserve">leitourgos</w:t>
      </w:r>
      <w:r>
        <w:t xml:space="preserve">），每个成员按照自己的功能。洗礼的祭司职是整个基督身体的祭司职。但一些信徒通过圣秩圣事被祝圣，代表基督作为身体的头。</w:t>
      </w:r>
    </w:p>
    <w:p>
      <w:pPr>
        <w:pStyle w:val="BodyText"/>
      </w:pPr>
      <w:r>
        <w:t xml:space="preserve">礼仪庆典涉及与创造（蜡烛、水、火）、人类生活（洗濯、傅油、擘饼）和救恩历史（逾越节的仪式）相关的标记和象征。融入信仰的世界并被圣灵的能力提升，这些宇宙元素、人类仪式和对神的记忆姿态成为基督救赎和圣化行动的载体。</w:t>
      </w:r>
    </w:p>
    <w:p>
      <w:pPr>
        <w:pStyle w:val="BodyText"/>
      </w:pPr>
      <w:r>
        <w:t xml:space="preserve">道的礼仪是庆典的不可分割的部分。庆典的意义通过所宣告的神的道和对它的信仰回应来表达。</w:t>
      </w:r>
    </w:p>
    <w:p>
      <w:pPr>
        <w:pStyle w:val="BodyText"/>
      </w:pPr>
      <w:r>
        <w:t xml:space="preserve">歌唱和音乐与礼仪行动紧密相连。它们恰当使用的标准是表达祈祷的美、会众的一致参与和庆典的神圣特性。</w:t>
      </w:r>
    </w:p>
    <w:p>
      <w:pPr>
        <w:pStyle w:val="BodyText"/>
      </w:pPr>
      <w:r>
        <w:t xml:space="preserve">我们教堂和家中的圣像旨在唤醒并滋养我们对基督奥秘的信仰。通过基督和他救恩工作的圣像，我们敬拜的是他。通过神的圣母、天使和圣人的圣像，我们敬奉所代表的人物。</w:t>
      </w:r>
    </w:p>
    <w:p>
      <w:pPr>
        <w:pStyle w:val="BodyText"/>
      </w:pPr>
      <w:r>
        <w:t xml:space="preserve">星期日，「主日」，是庆祝圣餐的主要日子，因为它是复活的日子。它是礼仪集会的卓越日子，基督徒家庭的日子，以及从工作中得到喜乐和休息的日子。星期日是「整个礼仪年的基础和核心」（《礼仪宪章》106）。</w:t>
      </w:r>
    </w:p>
    <w:p>
      <w:pPr>
        <w:pStyle w:val="BodyText"/>
      </w:pPr>
      <w:r>
        <w:t xml:space="preserve">教会「在一年的过程中……展开基督的整个奥秘，从他的化身和诞生，经过他的升天，到五旬节和对主来临的蒙福盼望的期待」（《礼仪宪章》102 § 2）。</w:t>
      </w:r>
    </w:p>
    <w:p>
      <w:pPr>
        <w:pStyle w:val="BodyText"/>
      </w:pPr>
      <w:r>
        <w:t xml:space="preserve">通过在礼仪年的固定日子保持对圣人的纪念——首先是神的圣母，然后是使徒、殉道者和其他圣人——地上的教会表明她与天上的礼仪联合。她为基督在他荣耀的肢体中成就的救恩而归荣耀给他；他们的榜样鼓励她在通往圣父的路上前行。</w:t>
      </w:r>
    </w:p>
    <w:p>
      <w:pPr>
        <w:pStyle w:val="BodyText"/>
      </w:pPr>
      <w:r>
        <w:t xml:space="preserve">庆祝时辰礼仪的信徒通过诗篇的祈祷、对神的道的默想以及赞美诗和祝福，与我们的大祭司基督结合，为了加入他那不断的、普世的祈祷，这祈祷将荣耀归于圣父，并为全世界祈求圣灵的恩赐。</w:t>
      </w:r>
    </w:p>
    <w:p>
      <w:pPr>
        <w:pStyle w:val="BodyText"/>
      </w:pPr>
      <w:r>
        <w:t xml:space="preserve">基督是神真正的圣殿，「他荣耀居住的地方」；借着神的恩典，基督徒也成为圣灵的殿，成为建造教会的活石。</w:t>
      </w:r>
    </w:p>
    <w:p>
      <w:pPr>
        <w:pStyle w:val="BodyText"/>
      </w:pPr>
      <w:r>
        <w:t xml:space="preserve">在其地上状态中，教会需要团体可以聚集的地方。我们可见的教堂，这些神圣的地方，是圣城、天上的耶路撒冷的形象，我们正在朝着它朝圣前进。</w:t>
      </w:r>
    </w:p>
    <w:p>
      <w:pPr>
        <w:pStyle w:val="BodyText"/>
      </w:pPr>
      <w:r>
        <w:t xml:space="preserve">正是在这些教堂中，教会庆祝公共敬拜以荣耀三位一体的神，聆听神的道并歌颂他的赞美，举起她的祈祷，并奉献基督的祭献，他圣事性地临在于会众中间。这些教堂也是回忆和个人祈祷的场所。</w:t>
      </w:r>
    </w:p>
    <w:p>
      <w:r>
        <w:br w:type="page"/>
      </w:r>
    </w:p>
    <w:bookmarkEnd w:id="2135"/>
    <w:bookmarkEnd w:id="2136"/>
    <w:bookmarkStart w:id="2149" w:name="第二条礼仪多样性与奥秘的合一"/>
    <w:p>
      <w:pPr>
        <w:pStyle w:val="Heading4"/>
      </w:pPr>
      <w:r>
        <w:t xml:space="preserve">第二条：礼仪多样性与奥秘的合一</w:t>
      </w:r>
    </w:p>
    <w:bookmarkStart w:id="2141" w:name="礼仪传统与教会的大公性"/>
    <w:p>
      <w:pPr>
        <w:pStyle w:val="Heading5"/>
      </w:pPr>
      <w:r>
        <w:t xml:space="preserve">礼仪传统与教会的大公性</w:t>
      </w:r>
    </w:p>
    <w:p>
      <w:pPr>
        <w:pStyle w:val="FirstParagraph"/>
      </w:pPr>
      <w:r>
        <w:t xml:space="preserve">从耶路撒冷的第一个团体直到基督再临，神的众教会在每个地方都按照使徒信仰庆祝着同一个逾越奥秘。礼仪中所庆祝的奥秘是一个，但其庆祝的形式却是多样的。</w:t>
      </w:r>
    </w:p>
    <w:p>
      <w:pPr>
        <w:pStyle w:val="BodyText"/>
      </w:pPr>
      <w:r>
        <w:t xml:space="preserve">基督的奥秘如此深不可测，任何单一的礼仪传统都无法穷尽其表达。这些礼仪绽放发展的历史见证了一种显著的互补性。当各教会在信仰的共融和信仰的圣事中生活各自的礼仪传统时，它们彼此丰富，并在对传统的忠诚和对整个教会的共同使命上成长。</w:t>
      </w:r>
      <w:r>
        <w:rPr>
          <w:rStyle w:val="FootnoteReference"/>
        </w:rPr>
        <w:footnoteReference w:id="2137"/>
      </w:r>
    </w:p>
    <w:p>
      <w:pPr>
        <w:pStyle w:val="BodyText"/>
      </w:pPr>
      <w:r>
        <w:t xml:space="preserve">不同的礼仪传统正是因教会的使命而产生。同一地理和文化区域的教会通过特定的表达方式来庆祝基督的奥秘，这些表达方式由文化特征：在「信仰宝库」的传统中，</w:t>
      </w:r>
      <w:r>
        <w:rPr>
          <w:rStyle w:val="FootnoteReference"/>
        </w:rPr>
        <w:footnoteReference w:id="2138"/>
      </w:r>
      <w:r>
        <w:t xml:space="preserve">在礼仪象征中，在兄弟共融的组织中，在对奥秘的神学理解中，以及在各种形式的圣洁中。通过地方教会的礼仪生活，基督，万民的光明和救恩，向该教会所服务并扎根的特定民族和文化彰显出来。教会是大公的，能够将所有文化中的真正财富整合到她的合一中，同时净化它们。</w:t>
      </w:r>
      <w:r>
        <w:rPr>
          <w:rStyle w:val="FootnoteReference"/>
        </w:rPr>
        <w:footnoteReference w:id="2139"/>
      </w:r>
    </w:p>
    <w:p>
      <w:pPr>
        <w:pStyle w:val="BodyText"/>
      </w:pPr>
      <w:r>
        <w:t xml:space="preserve">目前教会使用的礼仪传统或礼仪有拉丁礼（主要是罗马礼，但也包括某些地方教会的礼仪，如安布罗修礼，或某些修会的礼仪）以及拜占庭礼、亚历山大礼或科普特礼、叙利亚礼、亚美尼亚礼、马龙礼和迦勒底礼。「神圣大公会议忠实地遵循传统，宣布慈母圣教会认为所有合法认可的礼仪具有同等的权利和尊严，并希望在未来保存它们，并以各种方式促进它们。」</w:t>
      </w:r>
      <w:r>
        <w:rPr>
          <w:rStyle w:val="FootnoteReference"/>
        </w:rPr>
        <w:footnoteReference w:id="2140"/>
      </w:r>
    </w:p>
    <w:bookmarkEnd w:id="2141"/>
    <w:bookmarkStart w:id="2147" w:name="礼仪与文化"/>
    <w:p>
      <w:pPr>
        <w:pStyle w:val="Heading5"/>
      </w:pPr>
      <w:r>
        <w:t xml:space="preserve">礼仪与文化</w:t>
      </w:r>
    </w:p>
    <w:p>
      <w:pPr>
        <w:pStyle w:val="FirstParagraph"/>
      </w:pPr>
      <w:r>
        <w:t xml:space="preserve">因此，礼仪的庆祝应当符合不同民族的天赋和文化。</w:t>
      </w:r>
      <w:r>
        <w:rPr>
          <w:rStyle w:val="FootnoteReference"/>
        </w:rPr>
        <w:footnoteReference w:id="2142"/>
      </w:r>
      <w:r>
        <w:t xml:space="preserve">为了让基督的奥秘「传给万民……使他们信服真道」，</w:t>
      </w:r>
      <w:r>
        <w:rPr>
          <w:rStyle w:val="FootnoteReference"/>
        </w:rPr>
        <w:footnoteReference w:id="2143"/>
      </w:r>
      <w:r>
        <w:t xml:space="preserve">必须以这样的方式在所有文化中宣告、庆祝和生活，使这些文化本身不被消除，而是被救赎和完成：</w:t>
      </w:r>
      <w:r>
        <w:rPr>
          <w:rStyle w:val="FootnoteReference"/>
        </w:rPr>
        <w:footnoteReference w:id="2144"/>
      </w:r>
      <w:r>
        <w:t xml:space="preserve">正是通过他们自己的人类文化，被基督所接纳和改变，神众多的儿女能够接近圣父，在同一位圣灵中荣耀他。</w:t>
      </w:r>
    </w:p>
    <w:p>
      <w:pPr>
        <w:pStyle w:val="BodyText"/>
      </w:pPr>
      <w:r>
        <w:t xml:space="preserve">「在礼仪中，尤其是圣事的礼仪中，有一个</w:t>
      </w:r>
      <w:r>
        <w:rPr>
          <w:i/>
          <w:iCs/>
        </w:rPr>
        <w:t xml:space="preserve">不可改变的部分</w:t>
      </w:r>
      <w:r>
        <w:t xml:space="preserve">，一个由神设立的部分，教会是其守护者，也有一些</w:t>
      </w:r>
      <w:r>
        <w:rPr>
          <w:i/>
          <w:iCs/>
        </w:rPr>
        <w:t xml:space="preserve">可以改变的</w:t>
      </w:r>
      <w:r>
        <w:t xml:space="preserve">部分，教会有权力，有时也有责任使之适应最近福传的民族的文化。」</w:t>
      </w:r>
      <w:r>
        <w:rPr>
          <w:rStyle w:val="FootnoteReference"/>
        </w:rPr>
        <w:footnoteReference w:id="2145"/>
      </w:r>
    </w:p>
    <w:p>
      <w:pPr>
        <w:pStyle w:val="BodyText"/>
      </w:pPr>
      <w:r>
        <w:t xml:space="preserve">「礼仪多样性可以成为丰富的源泉，但它也可能引起紧张、相互误解，甚至分裂。在这方面，很明显，多样性不得损害合一。它必须只表达对共同信仰、对教会从基督那里接受的圣事标记以及对等级共融的忠诚。文化适应也需要心灵的皈依，甚至在必要时，摒弃与公教信仰不相容的祖先习俗。」</w:t>
      </w:r>
      <w:r>
        <w:rPr>
          <w:rStyle w:val="FootnoteReference"/>
        </w:rPr>
        <w:footnoteReference w:id="2146"/>
      </w:r>
    </w:p>
    <w:bookmarkEnd w:id="2147"/>
    <w:bookmarkStart w:id="2148" w:name="综述-33"/>
    <w:p>
      <w:pPr>
        <w:pStyle w:val="Heading5"/>
      </w:pPr>
      <w:r>
        <w:t xml:space="preserve">综述</w:t>
      </w:r>
    </w:p>
    <w:p>
      <w:pPr>
        <w:pStyle w:val="FirstParagraph"/>
      </w:pPr>
      <w:r>
        <w:t xml:space="preserve">礼仪庆祝应当表达自己所在教会的民族文化，尽管不应屈从于它。此外，礼仪本身也产生文化并塑造文化。</w:t>
      </w:r>
    </w:p>
    <w:p>
      <w:pPr>
        <w:pStyle w:val="BodyText"/>
      </w:pPr>
      <w:r>
        <w:t xml:space="preserve">不同的礼仪传统或礼仪，被合法认可，显示了教会的大公性，因为它们表达并传达同一个基督的奥秘。</w:t>
      </w:r>
    </w:p>
    <w:p>
      <w:pPr>
        <w:pStyle w:val="BodyText"/>
      </w:pPr>
      <w:r>
        <w:t xml:space="preserve">确保礼仪传统多样性中合一的标准是对使徒传统的忠诚，即在使徒所传递的信仰和圣事中的共融，这种共融既被使徒继承所表达，也被使徒继承所保证。</w:t>
      </w:r>
    </w:p>
    <w:p>
      <w:r>
        <w:br w:type="page"/>
      </w:r>
    </w:p>
    <w:bookmarkEnd w:id="2148"/>
    <w:bookmarkEnd w:id="2149"/>
    <w:bookmarkEnd w:id="2150"/>
    <w:bookmarkEnd w:id="2151"/>
    <w:bookmarkStart w:id="2815" w:name="第二部分教会的七件圣事"/>
    <w:p>
      <w:pPr>
        <w:pStyle w:val="Heading2"/>
      </w:pPr>
      <w:r>
        <w:t xml:space="preserve">第二部分：教会的七件圣事</w:t>
      </w:r>
    </w:p>
    <w:p>
      <w:pPr>
        <w:pStyle w:val="FirstParagraph"/>
      </w:pPr>
      <w:r>
        <w:t xml:space="preserve">基督设立了新律法的圣事。有七件：圣洗、坚振（或傅油礼）、圣餐、告解、病人傅油、圣秩和婚姻。这七件圣事触及基督徒生活的各个阶段和所有重要时刻：</w:t>
      </w:r>
      <w:r>
        <w:rPr>
          <w:rStyle w:val="FootnoteReference"/>
        </w:rPr>
        <w:footnoteReference w:id="2152"/>
      </w:r>
      <w:r>
        <w:t xml:space="preserve">它们赋予基督徒信仰生活以诞生、成长、治愈和使命。因此，自然生命的阶段与灵性生活的阶段之间存在一定的相似性。</w:t>
      </w:r>
    </w:p>
    <w:p>
      <w:pPr>
        <w:pStyle w:val="BodyText"/>
      </w:pPr>
      <w:r>
        <w:t xml:space="preserve">按照这个类比，</w:t>
      </w:r>
      <w:r>
        <w:rPr>
          <w:i/>
          <w:iCs/>
        </w:rPr>
        <w:t xml:space="preserve">第一章</w:t>
      </w:r>
      <w:r>
        <w:t xml:space="preserve">将阐述基督徒入门的三件圣事；</w:t>
      </w:r>
      <w:r>
        <w:rPr>
          <w:i/>
          <w:iCs/>
        </w:rPr>
        <w:t xml:space="preserve">第二章</w:t>
      </w:r>
      <w:r>
        <w:t xml:space="preserve">，治愈的圣事；</w:t>
      </w:r>
      <w:r>
        <w:rPr>
          <w:i/>
          <w:iCs/>
        </w:rPr>
        <w:t xml:space="preserve">第三章</w:t>
      </w:r>
      <w:r>
        <w:t xml:space="preserve">，为信徒共融和使命服务的圣事。这一排序虽非唯一可能，但确实让人看到圣事形成一个有机整体，其中每一个特定圣事都有其重要位置。在这个有机整体中，圣餐作为「圣事中的圣事」占据独特地位：「所有其他圣事都以它为终极目标。」</w:t>
      </w:r>
      <w:r>
        <w:rPr>
          <w:rStyle w:val="FootnoteReference"/>
        </w:rPr>
        <w:footnoteReference w:id="2153"/>
      </w:r>
    </w:p>
    <w:bookmarkStart w:id="2430" w:name="第一章基督徒入门圣事"/>
    <w:p>
      <w:pPr>
        <w:pStyle w:val="Heading3"/>
      </w:pPr>
      <w:r>
        <w:t xml:space="preserve">第一章：基督徒入门圣事</w:t>
      </w:r>
    </w:p>
    <w:p>
      <w:pPr>
        <w:pStyle w:val="FirstParagraph"/>
      </w:pPr>
      <w:r>
        <w:t xml:space="preserve">1212 基督徒入门圣事——圣洗、坚振和圣餐——奠定了每个基督徒生活的</w:t>
      </w:r>
      <w:r>
        <w:rPr>
          <w:i/>
          <w:iCs/>
        </w:rPr>
        <w:t xml:space="preserve">基础</w:t>
      </w:r>
      <w:r>
        <w:t xml:space="preserve">。「通过基督恩典赐予人的神性分享，与自然生命的起源、发展和滋养有某种相似之处。信徒藉圣洗重生，藉坚振圣事得到坚固，并在圣餐中领受永生的食粮。藉着这些基督徒入门圣事，他们因此越来越多地领受神性生命的宝藏，并朝着仁爱的完美迈进。」</w:t>
      </w:r>
      <w:r>
        <w:rPr>
          <w:rStyle w:val="FootnoteReference"/>
        </w:rPr>
        <w:footnoteReference w:id="2154"/>
      </w:r>
    </w:p>
    <w:p>
      <w:r>
        <w:br w:type="page"/>
      </w:r>
    </w:p>
    <w:bookmarkStart w:id="2243" w:name="第一条洗礼圣事"/>
    <w:p>
      <w:pPr>
        <w:pStyle w:val="Heading4"/>
      </w:pPr>
      <w:r>
        <w:t xml:space="preserve">第一条：洗礼圣事</w:t>
      </w:r>
    </w:p>
    <w:p>
      <w:pPr>
        <w:pStyle w:val="FirstParagraph"/>
      </w:pPr>
      <w:r>
        <w:t xml:space="preserve">圣洗是整个基督徒生命的基础，是进入灵性生命的大门（vitae spiritualis ianua）</w:t>
      </w:r>
      <w:r>
        <w:rPr>
          <w:rStyle w:val="FootnoteReference"/>
        </w:rPr>
        <w:footnoteReference w:id="2155"/>
      </w:r>
      <w:r>
        <w:t xml:space="preserve">，也是通往其他圣事的门户。藉着洗礼，我们从罪中得释放，重生为神的儿女；我们成为基督的肢体，被纳入教会，并参与她的使命：「洗礼是藉着水在道中的重生圣事。」</w:t>
      </w:r>
      <w:r>
        <w:rPr>
          <w:rStyle w:val="FootnoteReference"/>
        </w:rPr>
        <w:footnoteReference w:id="2156"/>
      </w:r>
    </w:p>
    <w:bookmarkStart w:id="2162" w:name="一这圣事称为什么"/>
    <w:p>
      <w:pPr>
        <w:pStyle w:val="Heading5"/>
      </w:pPr>
      <w:r>
        <w:t xml:space="preserve">一、这圣事称为什么？</w:t>
      </w:r>
    </w:p>
    <w:p>
      <w:pPr>
        <w:pStyle w:val="FirstParagraph"/>
      </w:pPr>
      <w:r>
        <w:t xml:space="preserve">这圣事称为洗礼，因其核心仪式为施洗：希腊文</w:t>
      </w:r>
      <w:r>
        <w:rPr>
          <w:i/>
          <w:iCs/>
        </w:rPr>
        <w:t xml:space="preserve">baptizein</w:t>
      </w:r>
      <w:r>
        <w:t xml:space="preserve">意为「浸入」或「浸没」；浸入水中象征慕道者与基督同死同葬，并与他一同复活，成为「新造的人」。</w:t>
      </w:r>
      <w:r>
        <w:rPr>
          <w:rStyle w:val="FootnoteReference"/>
        </w:rPr>
        <w:footnoteReference w:id="2157"/>
      </w:r>
    </w:p>
    <w:p>
      <w:pPr>
        <w:pStyle w:val="BodyText"/>
      </w:pPr>
      <w:r>
        <w:t xml:space="preserve">这圣事也称为「重生的洗和圣灵的更新」，因为它象征并实际带来水与圣灵的重生，没有这重生，没有人能「进神的国」。</w:t>
      </w:r>
      <w:r>
        <w:rPr>
          <w:rStyle w:val="FootnoteReference"/>
        </w:rPr>
        <w:footnoteReference w:id="2158"/>
      </w:r>
    </w:p>
    <w:p>
      <w:pPr>
        <w:pStyle w:val="BodyText"/>
      </w:pPr>
      <w:r>
        <w:t xml:space="preserve">「这洗称为光照，因为接受这教理讲授的人，其理解力得以光照……」</w:t>
      </w:r>
      <w:r>
        <w:rPr>
          <w:rStyle w:val="FootnoteReference"/>
        </w:rPr>
        <w:footnoteReference w:id="2159"/>
      </w:r>
      <w:r>
        <w:t xml:space="preserve">在洗礼中领受了道，即「那光是真光，照亮一切生在世上的人」，受洗者便被「光照」，成为「光明之子」，甚至他自己也成为「光」。</w:t>
      </w:r>
      <w:r>
        <w:rPr>
          <w:rStyle w:val="FootnoteReference"/>
        </w:rPr>
        <w:footnoteReference w:id="2160"/>
      </w:r>
    </w:p>
    <w:p>
      <w:pPr>
        <w:pStyle w:val="BodyText"/>
      </w:pPr>
      <w:r>
        <w:t xml:space="preserve">洗礼是神最美好、最宏伟的恩赐……我们称之为礼物、恩典、傅油、光照、不朽的衣袍、重生的洗浴、印记和最珍贵的礼物。称为礼物，因为它赐给那些自身一无所有的人；称为恩典，因为它甚至赐给有罪的人；称为洗礼，因为罪被埋葬在水中；称为傅油，因为它具有祭司和君王的特质，如同那些被傅油的人；称为光照，因为它散发光明；称为衣袍，因为它遮盖我们的羞耻；称为洗浴，因为它洁净我们；称为印记，因为它是我们的守护和神主权的标记。</w:t>
      </w:r>
      <w:r>
        <w:rPr>
          <w:rStyle w:val="FootnoteReference"/>
        </w:rPr>
        <w:footnoteReference w:id="2161"/>
      </w:r>
    </w:p>
    <w:bookmarkEnd w:id="2162"/>
    <w:bookmarkStart w:id="2179" w:name="二救恩计划中的洗礼"/>
    <w:p>
      <w:pPr>
        <w:pStyle w:val="Heading5"/>
      </w:pPr>
      <w:r>
        <w:t xml:space="preserve">二、救恩计划中的洗礼</w:t>
      </w:r>
    </w:p>
    <w:bookmarkStart w:id="2170" w:name="旧约中洗礼的预表"/>
    <w:p>
      <w:pPr>
        <w:pStyle w:val="Heading6"/>
      </w:pPr>
      <w:r>
        <w:t xml:space="preserve">旧约中洗礼的预表</w:t>
      </w:r>
    </w:p>
    <w:p>
      <w:pPr>
        <w:pStyle w:val="FirstParagraph"/>
      </w:pPr>
      <w:r>
        <w:t xml:space="preserve">在复活节守夜礼的礼仪中，祝圣洗礼用水时，教会隆重纪念救恩历史中那些预表圣洗奥秘的伟大事件：</w:t>
      </w:r>
      <w:r>
        <w:rPr>
          <w:rStyle w:val="FootnoteReference"/>
        </w:rPr>
        <w:footnoteReference w:id="2163"/>
      </w:r>
    </w:p>
    <w:p>
      <w:pPr>
        <w:pStyle w:val="BodyText"/>
      </w:pPr>
      <w:r>
        <w:t xml:space="preserve">父啊，你藉着圣事的标记赐予我们恩典，这些标记向我们述说你不可见能力的奇妙作为。在圣洗中，我们使用你所赐的水，这水已成为你在此圣事中赐予我们恩典的丰富象征。</w:t>
      </w:r>
      <w:r>
        <w:rPr>
          <w:rStyle w:val="FootnoteReference"/>
        </w:rPr>
        <w:footnoteReference w:id="2164"/>
      </w:r>
    </w:p>
    <w:p>
      <w:pPr>
        <w:pStyle w:val="BodyText"/>
      </w:pPr>
      <w:r>
        <w:t xml:space="preserve">自创世之初，水，这谦卑而奇妙的受造物，便是生命与丰饶的源泉。圣经视之为被神的灵「运行」其上：</w:t>
      </w:r>
      <w:r>
        <w:rPr>
          <w:rStyle w:val="FootnoteReference"/>
        </w:rPr>
        <w:footnoteReference w:id="2165"/>
      </w:r>
    </w:p>
    <w:p>
      <w:pPr>
        <w:pStyle w:val="BodyText"/>
      </w:pPr>
      <w:r>
        <w:t xml:space="preserve">在创世之初，你的灵运行在水面上，使水成为一切圣洁的泉源。</w:t>
      </w:r>
      <w:r>
        <w:rPr>
          <w:rStyle w:val="FootnoteReference"/>
        </w:rPr>
        <w:footnoteReference w:id="2166"/>
      </w:r>
    </w:p>
    <w:p>
      <w:pPr>
        <w:pStyle w:val="BodyText"/>
      </w:pPr>
      <w:r>
        <w:t xml:space="preserve">教会在挪亚方舟中看到了洗礼救恩的预表，因为藉着它「仅有八个人，藉着水得救」：</w:t>
      </w:r>
      <w:r>
        <w:rPr>
          <w:rStyle w:val="FootnoteReference"/>
        </w:rPr>
        <w:footnoteReference w:id="2167"/>
      </w:r>
    </w:p>
    <w:p>
      <w:pPr>
        <w:pStyle w:val="BodyText"/>
      </w:pPr>
      <w:r>
        <w:t xml:space="preserve">你使洪水的水成为洗礼之水的标记，终结罪恶，开启善的新起点。</w:t>
      </w:r>
      <w:r>
        <w:rPr>
          <w:rStyle w:val="FootnoteReference"/>
        </w:rPr>
        <w:footnoteReference w:id="2168"/>
      </w:r>
    </w:p>
    <w:p>
      <w:pPr>
        <w:pStyle w:val="BodyText"/>
      </w:pPr>
      <w:r>
        <w:t xml:space="preserve">若从地涌出的水象征生命，那么海水则象征死亡，因此也可代表十字架的奥秘。藉此象征，洗礼标志着与基督死亡的共融。</w:t>
      </w:r>
    </w:p>
    <w:p>
      <w:pPr>
        <w:pStyle w:val="BodyText"/>
      </w:pPr>
      <w:r>
        <w:t xml:space="preserve">但最重要的是，过红海事件，即以色列人从埃及奴役中获得解放，预示了洗礼所带来的解放：</w:t>
      </w:r>
    </w:p>
    <w:p>
      <w:pPr>
        <w:pStyle w:val="BodyText"/>
      </w:pPr>
      <w:r>
        <w:t xml:space="preserve">你使亚伯拉罕的子孙摆脱法老的奴役，干脚走过红海的水，预示受洗子民的解放。</w:t>
      </w:r>
      <w:r>
        <w:rPr>
          <w:rStyle w:val="FootnoteReference"/>
        </w:rPr>
        <w:footnoteReference w:id="2169"/>
      </w:r>
    </w:p>
    <w:p>
      <w:pPr>
        <w:pStyle w:val="BodyText"/>
      </w:pPr>
      <w:r>
        <w:t xml:space="preserve">最后，洗礼也预表于以色列人渡过约旦河，神的子民藉此领受了应许给亚伯拉罕后裔的土地，这土地象征永生。这蒙福产业的应许在新约中得以实现。</w:t>
      </w:r>
    </w:p>
    <w:bookmarkEnd w:id="2170"/>
    <w:bookmarkStart w:id="2178" w:name="基督的受洗"/>
    <w:p>
      <w:pPr>
        <w:pStyle w:val="Heading6"/>
      </w:pPr>
      <w:r>
        <w:t xml:space="preserve">基督的受洗</w:t>
      </w:r>
    </w:p>
    <w:p>
      <w:pPr>
        <w:pStyle w:val="FirstParagraph"/>
      </w:pPr>
      <w:r>
        <w:t xml:space="preserve">旧约所有的预表都在基督耶稣身上得以实现。他在约旦河接受施洗约翰的洗礼后，开始了他的公开生活。</w:t>
      </w:r>
      <w:r>
        <w:rPr>
          <w:rStyle w:val="FootnoteReference"/>
        </w:rPr>
        <w:footnoteReference w:id="2171"/>
      </w:r>
      <w:r>
        <w:t xml:space="preserve">复活后，基督将此使命交给他的使徒：「所以，你们要去，使万民作我的门徒，奉父、子、圣灵的名给他们施洗。凡我所吩咐你们的，都教训他们遵守。」</w:t>
      </w:r>
      <w:r>
        <w:rPr>
          <w:rStyle w:val="FootnoteReference"/>
        </w:rPr>
        <w:footnoteReference w:id="2172"/>
      </w:r>
    </w:p>
    <w:p>
      <w:pPr>
        <w:pStyle w:val="BodyText"/>
      </w:pPr>
      <w:r>
        <w:t xml:space="preserve">我们的主自愿接受了施洗约翰为罪人施行的洗礼，以「尽诸般的义」。</w:t>
      </w:r>
      <w:r>
        <w:rPr>
          <w:rStyle w:val="FootnoteReference"/>
        </w:rPr>
        <w:footnoteReference w:id="2173"/>
      </w:r>
    </w:p>
    <w:p>
      <w:pPr>
        <w:pStyle w:val="BodyText"/>
      </w:pPr>
      <w:r>
        <w:t xml:space="preserve">在他的逾越奥迹中，基督为所有人开启了洗礼的泉源。他曾将自己即将在耶路撒冷受的苦难称为他必须受的「洗」。</w:t>
      </w:r>
      <w:r>
        <w:rPr>
          <w:rStyle w:val="FootnoteReference"/>
        </w:rPr>
        <w:footnoteReference w:id="2174"/>
      </w:r>
      <w:r>
        <w:t xml:space="preserve">被钉十字架的耶稣肋旁流出的血与水，预表洗礼与圣餐，这些新生命的圣事。</w:t>
      </w:r>
      <w:r>
        <w:rPr>
          <w:rStyle w:val="FootnoteReference"/>
        </w:rPr>
        <w:footnoteReference w:id="2175"/>
      </w:r>
      <w:r>
        <w:t xml:space="preserve">从此，人们得以「从水和圣灵生」</w:t>
      </w:r>
      <w:r>
        <w:rPr>
          <w:rStyle w:val="FootnoteReference"/>
        </w:rPr>
        <w:footnoteReference w:id="2176"/>
      </w:r>
      <w:r>
        <w:t xml:space="preserve">，进入神的国。</w:t>
      </w:r>
    </w:p>
    <w:p>
      <w:pPr>
        <w:pStyle w:val="BodyText"/>
      </w:pPr>
      <w:r>
        <w:t xml:space="preserve">看看你在哪里受洗，看看洗礼从何而来，若非来自基督的十字架，来自他的死亡。这就是全部的奥秘：他为你而死。在他内你得赎，在他内你得救。</w:t>
      </w:r>
      <w:r>
        <w:rPr>
          <w:rStyle w:val="FootnoteReference"/>
        </w:rPr>
        <w:footnoteReference w:id="2177"/>
      </w:r>
    </w:p>
    <w:bookmarkEnd w:id="2178"/>
    <w:bookmarkEnd w:id="2179"/>
    <w:bookmarkStart w:id="2194" w:name="三洗礼圣事如何举行"/>
    <w:p>
      <w:pPr>
        <w:pStyle w:val="Heading5"/>
      </w:pPr>
      <w:r>
        <w:t xml:space="preserve">三、洗礼圣事如何举行？</w:t>
      </w:r>
    </w:p>
    <w:bookmarkStart w:id="2185" w:name="基督徒入门"/>
    <w:p>
      <w:pPr>
        <w:pStyle w:val="Heading6"/>
      </w:pPr>
      <w:r>
        <w:t xml:space="preserve">基督徒入门</w:t>
      </w:r>
    </w:p>
    <w:p>
      <w:pPr>
        <w:pStyle w:val="FirstParagraph"/>
      </w:pPr>
      <w:r>
        <w:t xml:space="preserve">自使徒时代起，成为基督徒便是经由数个阶段的旅程与入门。这旅程可快可慢，但某些基本要素必不可少：宣讲道、接受福音并悔改、宣认信仰、洗礼本身、圣灵的倾注，以及领受圣餐的共融。</w:t>
      </w:r>
    </w:p>
    <w:p>
      <w:pPr>
        <w:pStyle w:val="BodyText"/>
      </w:pPr>
      <w:r>
        <w:t xml:space="preserve">几个世纪以来，这种入门仪式因情况不同而有很大变化。在教会最初几个世纪，基督徒入门经历了相当大的发展。一段漫长的慕道期包括一系列预备礼仪，这些礼仪是慕道准备过程中的礼仪标志，并最终达到基督徒入门圣事的庆祝。</w:t>
      </w:r>
    </w:p>
    <w:p>
      <w:pPr>
        <w:pStyle w:val="BodyText"/>
      </w:pPr>
      <w:r>
        <w:t xml:space="preserve">在婴儿洗礼成为通常举行此圣事的形式后，它便成为一个单一的行动，以极为简略的方式涵盖了基督徒入门的预备阶段。婴儿洗礼本质上需要一个「洗礼后的慕道期」。不仅洗礼后需要教理讲授，也需要洗礼恩典在个人成长中必要的开花结果。教理在此占有适当的位置。</w:t>
      </w:r>
    </w:p>
    <w:p>
      <w:pPr>
        <w:pStyle w:val="BodyText"/>
      </w:pPr>
      <w:r>
        <w:t xml:space="preserve">第二次梵蒂冈大公会议为拉丁教会恢复了「成人慕道期，包括几个不同的阶段」。</w:t>
      </w:r>
      <w:r>
        <w:rPr>
          <w:rStyle w:val="FootnoteReference"/>
        </w:rPr>
        <w:footnoteReference w:id="2180"/>
      </w:r>
      <w:r>
        <w:t xml:space="preserve">这些阶段的礼仪可见于《成人基督徒入门礼仪》（RCIA）中。</w:t>
      </w:r>
      <w:r>
        <w:rPr>
          <w:rStyle w:val="FootnoteReference"/>
        </w:rPr>
        <w:footnoteReference w:id="2181"/>
      </w:r>
      <w:r>
        <w:t xml:space="preserve">大公会议也允许：「在传教地区，除了基督徒传统所提供的内容外，也可接纳某些民族已在使用的入门礼仪元素，只要这些元素能适应基督徒礼仪。」</w:t>
      </w:r>
      <w:r>
        <w:rPr>
          <w:rStyle w:val="FootnoteReference"/>
        </w:rPr>
        <w:footnoteReference w:id="2182"/>
      </w:r>
    </w:p>
    <w:p>
      <w:pPr>
        <w:pStyle w:val="BodyText"/>
      </w:pPr>
      <w:r>
        <w:t xml:space="preserve">今天，在所有礼仪中，无论拉丁礼还是东方礼，成人的基督徒入门都始于进入慕道期，并在一次庆典中达到高峰，领受三件入门圣事：洗礼、坚振和圣餐。</w:t>
      </w:r>
      <w:r>
        <w:rPr>
          <w:rStyle w:val="FootnoteReference"/>
        </w:rPr>
        <w:footnoteReference w:id="2183"/>
      </w:r>
      <w:r>
        <w:t xml:space="preserve">在东方礼中，婴儿的基督徒入门也始于洗礼，随后立即领受坚振和圣餐；而在罗马礼中，则在洗礼后经过数年的教理讲授，随后才完成坚振和圣餐，这两项圣事是基督徒入门的高峰。</w:t>
      </w:r>
      <w:r>
        <w:rPr>
          <w:rStyle w:val="FootnoteReference"/>
        </w:rPr>
        <w:footnoteReference w:id="2184"/>
      </w:r>
    </w:p>
    <w:bookmarkEnd w:id="2185"/>
    <w:bookmarkStart w:id="2193" w:name="庆典的奥秘教导"/>
    <w:p>
      <w:pPr>
        <w:pStyle w:val="Heading6"/>
      </w:pPr>
      <w:r>
        <w:t xml:space="preserve">庆典的奥秘教导</w:t>
      </w:r>
    </w:p>
    <w:p>
      <w:pPr>
        <w:pStyle w:val="FirstParagraph"/>
      </w:pPr>
      <w:r>
        <w:t xml:space="preserve">洗礼圣事的意义和恩典清楚地体现在其庆典的礼仪中。藉着细心参与庆典中的动作和言语，信徒得以进入这圣事所象征并实际带给每位新受洗者的丰富恩典。</w:t>
      </w:r>
    </w:p>
    <w:p>
      <w:pPr>
        <w:pStyle w:val="BodyText"/>
      </w:pPr>
      <w:r>
        <w:t xml:space="preserve">庆典开始时的「十字圣号」，以基督的印记标记即将属于他的人，象征基督藉十字架为我们赢得的救赎恩典。</w:t>
      </w:r>
    </w:p>
    <w:p>
      <w:pPr>
        <w:pStyle w:val="BodyText"/>
      </w:pPr>
      <w:r>
        <w:t xml:space="preserve">宣讲神的道，以启示的真理光照慕道者和会众，并激发信心的回应，而信心与洗礼是不可分离的。事实上，洗礼特别是「信心的圣事」，因为它是进入信心生命的圣事性入口。</w:t>
      </w:r>
    </w:p>
    <w:p>
      <w:pPr>
        <w:pStyle w:val="BodyText"/>
      </w:pPr>
      <w:r>
        <w:t xml:space="preserve">由于洗礼象征从罪及其唆使者魔鬼的解放，因此要对慕道者进行一次或多次「驱魔礼」。主礼者随后以慕道者圣油傅抹他，或为他覆手，他明确地弃绝撒但。经过这样的准备，他便能「宣认教会的信仰」，并藉着洗礼被「交托」给教会。</w:t>
      </w:r>
      <w:r>
        <w:rPr>
          <w:rStyle w:val="FootnoteReference"/>
        </w:rPr>
        <w:footnoteReference w:id="2186"/>
      </w:r>
    </w:p>
    <w:p>
      <w:pPr>
        <w:pStyle w:val="BodyText"/>
      </w:pPr>
      <w:r>
        <w:t xml:space="preserve">「洗礼用水」藉着求降圣神的祷告（或在此时，或在复活节守夜礼）而被祝圣。教会祈求神藉着他的圣子派遣圣灵的能力降临于水上，使那些将在其中受洗的人得以「从水和圣灵生」。</w:t>
      </w:r>
      <w:r>
        <w:rPr>
          <w:rStyle w:val="FootnoteReference"/>
        </w:rPr>
        <w:footnoteReference w:id="2187"/>
      </w:r>
    </w:p>
    <w:p>
      <w:pPr>
        <w:pStyle w:val="BodyText"/>
      </w:pPr>
      <w:r>
        <w:t xml:space="preserve">接下来是此圣事的「基本仪式」：即洗礼本身。它象征并实际带来向罪的死亡，并藉着与基督逾越奥迹的结合，进入至圣三位一体的生命。洗礼最富表现力的方式是三次浸入洗礼用水中。然而，自古以来，也可藉着三次将水倾倒在受洗者头上来施行。</w:t>
      </w:r>
    </w:p>
    <w:p>
      <w:pPr>
        <w:pStyle w:val="BodyText"/>
      </w:pPr>
      <w:r>
        <w:t xml:space="preserve">在拉丁教会，这三次倾水伴随主礼者的话：「某某，我奉父、子、圣灵的名给你付洗。」在东方礼仪中，慕道者面向东方，司祭说：「神的仆人某某，奉父、子、圣灵的名受洗。」每次呼求至圣三位一体的一位时，司祭便将受洗者浸入水中，再将他提起。</w:t>
      </w:r>
    </w:p>
    <w:p>
      <w:pPr>
        <w:pStyle w:val="BodyText"/>
      </w:pPr>
      <w:r>
        <w:t xml:space="preserve">「傅抹圣化圣油」，即主教祝圣的芬芳油，象征圣灵赐予新受洗者的恩典，使他成为基督徒，即被圣灵「傅抹」的人，被纳入基督里，而基督是被傅抹为祭司、先知和君王的。</w:t>
      </w:r>
      <w:r>
        <w:rPr>
          <w:rStyle w:val="FootnoteReference"/>
        </w:rPr>
        <w:footnoteReference w:id="2188"/>
      </w:r>
    </w:p>
    <w:p>
      <w:pPr>
        <w:pStyle w:val="BodyText"/>
      </w:pPr>
      <w:r>
        <w:t xml:space="preserve">在东方教会的礼仪中，洗礼后的傅油即是坚振圣事。在罗马礼仪中，洗礼后的傅油预示着稍后由主教施行的第二次圣化圣油傅抹，即坚振圣事，这圣事将「坚固」并完成洗礼的傅油。</w:t>
      </w:r>
    </w:p>
    <w:p>
      <w:pPr>
        <w:pStyle w:val="BodyText"/>
      </w:pPr>
      <w:r>
        <w:t xml:space="preserve">白色衣袍象征受洗者「穿上了基督」，与基督一同复活。从复活蜡烛点燃的「蜡烛」象征基督光照了新受洗者。在他内，受洗者成为「世界的光」。</w:t>
      </w:r>
      <w:r>
        <w:rPr>
          <w:rStyle w:val="FootnoteReference"/>
        </w:rPr>
        <w:footnoteReference w:id="2189"/>
      </w:r>
      <w:r>
        <w:rPr>
          <w:rStyle w:val="FootnoteReference"/>
        </w:rPr>
        <w:footnoteReference w:id="2190"/>
      </w:r>
    </w:p>
    <w:p>
      <w:pPr>
        <w:pStyle w:val="BodyText"/>
      </w:pPr>
      <w:r>
        <w:t xml:space="preserve">新受洗者如今在独生子内成为神的儿女，有资格诵念神儿女的祷文：主祷文。</w:t>
      </w:r>
    </w:p>
    <w:p>
      <w:pPr>
        <w:pStyle w:val="BodyText"/>
      </w:pPr>
      <w:r>
        <w:t xml:space="preserve">首次领受圣餐。成为神的儿女并穿上婚宴礼服后，新受洗者被接纳参加「羔羊的婚宴」，</w:t>
      </w:r>
      <w:r>
        <w:rPr>
          <w:rStyle w:val="FootnoteReference"/>
        </w:rPr>
        <w:footnoteReference w:id="2191"/>
      </w:r>
      <w:r>
        <w:t xml:space="preserve">领受新生命的食粮，即基督的圣体圣血。东方教会保持着基督徒入门统一性的鲜明意识，向所有新受洗和坚振者，包括幼童，授予圣餐，忆起主的话：「让小孩子到我这里来，不要禁止他们。」</w:t>
      </w:r>
      <w:r>
        <w:rPr>
          <w:rStyle w:val="FootnoteReference"/>
        </w:rPr>
        <w:footnoteReference w:id="2192"/>
      </w:r>
      <w:r>
        <w:t xml:space="preserve">而拉丁教会则将领受圣餐保留给达到理性年龄的人，以新受洗的婴孩被带到祭台前诵念主祷文，表达洗礼朝向圣餐的方向。</w:t>
      </w:r>
    </w:p>
    <w:p>
      <w:pPr>
        <w:pStyle w:val="BodyText"/>
      </w:pPr>
      <w:r>
        <w:t xml:space="preserve">「隆重降福」结束洗礼庆典。在新生儿的洗礼中，特别为母亲的祝福占有特殊地位。</w:t>
      </w:r>
    </w:p>
    <w:bookmarkEnd w:id="2193"/>
    <w:bookmarkEnd w:id="2194"/>
    <w:bookmarkStart w:id="2208" w:name="四谁能领受洗礼"/>
    <w:p>
      <w:pPr>
        <w:pStyle w:val="Heading5"/>
      </w:pPr>
      <w:r>
        <w:t xml:space="preserve">四、谁能领受洗礼？</w:t>
      </w:r>
    </w:p>
    <w:p>
      <w:pPr>
        <w:pStyle w:val="FirstParagraph"/>
      </w:pPr>
      <w:r>
        <w:t xml:space="preserve">「凡尚未受洗的人，且只有这样的人，才能领受洗礼。」</w:t>
      </w:r>
      <w:r>
        <w:rPr>
          <w:rStyle w:val="FootnoteReference"/>
        </w:rPr>
        <w:footnoteReference w:id="2195"/>
      </w:r>
    </w:p>
    <w:bookmarkStart w:id="2199" w:name="成人的洗礼"/>
    <w:p>
      <w:pPr>
        <w:pStyle w:val="Heading6"/>
      </w:pPr>
      <w:r>
        <w:t xml:space="preserve">成人的洗礼</w:t>
      </w:r>
    </w:p>
    <w:p>
      <w:pPr>
        <w:pStyle w:val="FirstParagraph"/>
      </w:pPr>
      <w:r>
        <w:t xml:space="preserve">自教会初期起，成人洗礼便是在福音初次宣讲地区的常规做法。因此，慕道期（洗礼的预备）占有重要地位。这种基督徒信仰与生活的入门，应使慕道者准备好领受神在洗礼、坚振和圣餐中赐予的恩典。</w:t>
      </w:r>
    </w:p>
    <w:p>
      <w:pPr>
        <w:pStyle w:val="BodyText"/>
      </w:pPr>
      <w:r>
        <w:t xml:space="preserve">慕道期或慕道者的培育，旨在使他们的皈依与信心成熟，以回应神的主动，并与教会团体结合。慕道期应是「整个基督徒生命的培育……在此期间，门徒与他们的导师基督结合。慕道者应适当地进入救恩的奥秘和福音德行的实践，并藉着连续的神圣礼仪，进入神子民的信仰、礼仪和仁爱生活。」</w:t>
      </w:r>
      <w:r>
        <w:rPr>
          <w:rStyle w:val="FootnoteReference"/>
        </w:rPr>
        <w:footnoteReference w:id="2196"/>
      </w:r>
    </w:p>
    <w:p>
      <w:pPr>
        <w:pStyle w:val="BodyText"/>
      </w:pPr>
      <w:r>
        <w:t xml:space="preserve">慕道者「已与教会结合，已属于基督的家庭，且常已过着信、望、爱的生活。」</w:t>
      </w:r>
      <w:r>
        <w:rPr>
          <w:rStyle w:val="FootnoteReference"/>
        </w:rPr>
        <w:footnoteReference w:id="2197"/>
      </w:r>
      <w:r>
        <w:t xml:space="preserve">「母亲教会已怀着爱与关怀，将他们视为自己的成员。」</w:t>
      </w:r>
      <w:r>
        <w:rPr>
          <w:rStyle w:val="FootnoteReference"/>
        </w:rPr>
        <w:footnoteReference w:id="2198"/>
      </w:r>
    </w:p>
    <w:bookmarkEnd w:id="2199"/>
    <w:bookmarkStart w:id="2203" w:name="婴儿的洗礼"/>
    <w:p>
      <w:pPr>
        <w:pStyle w:val="Heading6"/>
      </w:pPr>
      <w:r>
        <w:t xml:space="preserve">婴儿的洗礼</w:t>
      </w:r>
    </w:p>
    <w:p>
      <w:pPr>
        <w:pStyle w:val="FirstParagraph"/>
      </w:pPr>
      <w:r>
        <w:t xml:space="preserve">婴儿生来具有堕落的人性，受原罪玷污，也需要藉洗礼重生，摆脱黑暗权势，进入神儿女自由的领域，这是所有人蒙召进入的领域。婴儿洗礼特别彰显救恩恩典的无偿性。教会与父母若不在婴儿出生后不久施行洗礼，便是拒绝给予孩子成为神儿女的无价恩典。</w:t>
      </w:r>
      <w:r>
        <w:rPr>
          <w:rStyle w:val="FootnoteReference"/>
        </w:rPr>
        <w:footnoteReference w:id="2200"/>
      </w:r>
    </w:p>
    <w:p>
      <w:pPr>
        <w:pStyle w:val="BodyText"/>
      </w:pPr>
      <w:r>
        <w:t xml:space="preserve">基督徒父母也认识到，这一做法符合他们作为神所托付生命培育者的角色。</w:t>
      </w:r>
      <w:r>
        <w:rPr>
          <w:rStyle w:val="FootnoteReference"/>
        </w:rPr>
        <w:footnoteReference w:id="2201"/>
      </w:r>
    </w:p>
    <w:p>
      <w:pPr>
        <w:pStyle w:val="BodyText"/>
      </w:pPr>
      <w:r>
        <w:t xml:space="preserve">婴儿洗礼的做法是教会自古以来的传统。自第二世纪起即有明确的证据表明此做法，很可能自使徒宣讲之初，当整个「家庭」接受洗礼时，婴儿也已受洗。</w:t>
      </w:r>
      <w:r>
        <w:rPr>
          <w:rStyle w:val="FootnoteReference"/>
        </w:rPr>
        <w:footnoteReference w:id="2202"/>
      </w:r>
    </w:p>
    <w:bookmarkEnd w:id="2203"/>
    <w:bookmarkStart w:id="2207" w:name="信心与洗礼"/>
    <w:p>
      <w:pPr>
        <w:pStyle w:val="Heading6"/>
      </w:pPr>
      <w:r>
        <w:t xml:space="preserve">信心与洗礼</w:t>
      </w:r>
    </w:p>
    <w:p>
      <w:pPr>
        <w:pStyle w:val="FirstParagraph"/>
      </w:pPr>
      <w:r>
        <w:t xml:space="preserve">洗礼是信心的圣事。</w:t>
      </w:r>
      <w:r>
        <w:rPr>
          <w:rStyle w:val="FootnoteReference"/>
        </w:rPr>
        <w:footnoteReference w:id="2204"/>
      </w:r>
    </w:p>
    <w:p>
      <w:pPr>
        <w:pStyle w:val="BodyText"/>
      </w:pPr>
      <w:r>
        <w:t xml:space="preserve">对所有受洗者而言，无论儿童或成人，信心都必须在洗礼之后成长。因此，教会每年在复活节守夜礼中庆祝重宣洗礼誓言。洗礼的准备只是引领人到新生命的门槛，而洗礼则是基督里新生命的泉源，整个基督徒生命都从此涌流而出。</w:t>
      </w:r>
    </w:p>
    <w:p>
      <w:pPr>
        <w:pStyle w:val="BodyText"/>
      </w:pPr>
      <w:r>
        <w:t xml:space="preserve">为使洗礼的恩典得以展开，父母的帮助至关重要。此外，「代父」与「代母」的角色也很重要，他们必须是坚定的信徒，能够并愿意帮助新受洗者——无论儿童或成人——走上基督徒生命的道路。</w:t>
      </w:r>
      <w:r>
        <w:rPr>
          <w:rStyle w:val="FootnoteReference"/>
        </w:rPr>
        <w:footnoteReference w:id="2205"/>
      </w:r>
      <w:r>
        <w:rPr>
          <w:rStyle w:val="FootnoteReference"/>
        </w:rPr>
        <w:footnoteReference w:id="2206"/>
      </w:r>
    </w:p>
    <w:bookmarkEnd w:id="2207"/>
    <w:bookmarkEnd w:id="2208"/>
    <w:bookmarkStart w:id="2212" w:name="五谁能施行洗礼"/>
    <w:p>
      <w:pPr>
        <w:pStyle w:val="Heading5"/>
      </w:pPr>
      <w:r>
        <w:t xml:space="preserve">五、谁能施行洗礼？</w:t>
      </w:r>
    </w:p>
    <w:p>
      <w:pPr>
        <w:pStyle w:val="FirstParagraph"/>
      </w:pPr>
      <w:r>
        <w:t xml:space="preserve">洗礼的通常施行者是主教和祭司，在拉丁教会中也包括执事。在必要情况下，任何人，即使是未受洗者，只要具有适当的意向，都可以使用三位一体的洗礼格式施行洗礼。所需的意向是愿意做教会施行洗礼时所做的事。教会之所以允许这种可能性，是基于神普遍的救赎意愿以及洗礼对救恩的必要性。</w:t>
      </w:r>
      <w:r>
        <w:rPr>
          <w:rStyle w:val="FootnoteReference"/>
        </w:rPr>
        <w:footnoteReference w:id="2209"/>
      </w:r>
      <w:r>
        <w:rPr>
          <w:rStyle w:val="FootnoteReference"/>
        </w:rPr>
        <w:footnoteReference w:id="2210"/>
      </w:r>
      <w:r>
        <w:rPr>
          <w:rStyle w:val="FootnoteReference"/>
        </w:rPr>
        <w:footnoteReference w:id="2211"/>
      </w:r>
    </w:p>
    <w:bookmarkEnd w:id="2212"/>
    <w:bookmarkStart w:id="2219" w:name="六洗礼的必要性"/>
    <w:p>
      <w:pPr>
        <w:pStyle w:val="Heading5"/>
      </w:pPr>
      <w:r>
        <w:t xml:space="preserve">六、洗礼的必要性</w:t>
      </w:r>
    </w:p>
    <w:p>
      <w:pPr>
        <w:pStyle w:val="FirstParagraph"/>
      </w:pPr>
      <w:r>
        <w:t xml:space="preserve">主亲自确认洗礼对于得救是必要的。</w:t>
      </w:r>
      <w:r>
        <w:rPr>
          <w:rStyle w:val="FootnoteReference"/>
        </w:rPr>
        <w:footnoteReference w:id="2213"/>
      </w:r>
      <w:r>
        <w:t xml:space="preserve">他也命令门徒向万民传福音并给他们施洗。</w:t>
      </w:r>
      <w:r>
        <w:rPr>
          <w:rStyle w:val="FootnoteReference"/>
        </w:rPr>
        <w:footnoteReference w:id="2214"/>
      </w:r>
      <w:r>
        <w:t xml:space="preserve">对于那些已经听过福音并有条件请求这圣事的人，洗礼是得救所必需的。</w:t>
      </w:r>
      <w:r>
        <w:rPr>
          <w:rStyle w:val="FootnoteReference"/>
        </w:rPr>
        <w:footnoteReference w:id="2215"/>
      </w:r>
      <w:r>
        <w:t xml:space="preserve">教会不知道除洗礼外还有其他确保进入永福的途径；因此她谨慎履行从主所领受的使命，使所有能受洗的人「从水和圣灵重生」。</w:t>
      </w:r>
      <w:r>
        <w:rPr>
          <w:i/>
          <w:iCs/>
        </w:rPr>
        <w:t xml:space="preserve">神将救恩与洗礼圣事束缚，但他自己并不受圣事束缚。</w:t>
      </w:r>
    </w:p>
    <w:p>
      <w:pPr>
        <w:pStyle w:val="BodyText"/>
      </w:pPr>
      <w:r>
        <w:t xml:space="preserve">教会一直坚定地相信，那些为信仰而殉道却未领受洗礼的人，藉着他们为基督并与基督一同的死亡，已领受了「血的洗礼」。这种「血的洗礼」与「渴望洗礼」一样，虽非圣事，却能带来洗礼的果实。</w:t>
      </w:r>
    </w:p>
    <w:p>
      <w:pPr>
        <w:pStyle w:val="BodyText"/>
      </w:pPr>
      <w:r>
        <w:t xml:space="preserve">对于在领洗前去世的慕道者，他们明确渴望领洗，并为自己的罪悔改，且怀有仁爱，这便确保他们获得本应藉圣事领受的救恩。</w:t>
      </w:r>
      <w:r>
        <w:rPr>
          <w:rStyle w:val="FootnoteReference"/>
        </w:rPr>
        <w:footnoteReference w:id="2216"/>
      </w:r>
    </w:p>
    <w:p>
      <w:pPr>
        <w:pStyle w:val="BodyText"/>
      </w:pPr>
      <w:r>
        <w:t xml:space="preserve">「既然基督为所有人而死，且所有人事实上都被召唤到同一神性的终极目标，我们必须相信圣灵以神所知的方式，向所有人提供了参与逾越奥迹的可能性。」</w:t>
      </w:r>
      <w:r>
        <w:rPr>
          <w:rStyle w:val="FootnoteReference"/>
        </w:rPr>
        <w:footnoteReference w:id="2217"/>
      </w:r>
      <w:r>
        <w:t xml:space="preserve">凡未认识基督福音及其教会，却寻求真理并按照自己所理解的神的旨意行事的人，都可能获得救恩。我们可以推测，这些人若知道洗礼的必要性，便会明确地渴望领洗。</w:t>
      </w:r>
    </w:p>
    <w:p>
      <w:pPr>
        <w:pStyle w:val="BodyText"/>
      </w:pPr>
      <w:r>
        <w:t xml:space="preserve">至于未受洗而去世的婴孩，教会只能将他们托付于神的慈悲，正如教会在他们的葬礼礼仪中所做的。事实上，神渴望所有人得救的无限慈悲，以及耶稣对儿童的温柔，使他曾说：「让小孩子到我这里来，不要禁止他们」，</w:t>
      </w:r>
      <w:r>
        <w:rPr>
          <w:rStyle w:val="FootnoteReference"/>
        </w:rPr>
        <w:footnoteReference w:id="2218"/>
      </w:r>
      <w:r>
        <w:t xml:space="preserve">这使我们有理由希望，未受洗而去世的婴孩也有得救的途径。因此，教会更迫切地呼吁，不要阻止小孩子藉着圣洗的恩典来到基督面前。</w:t>
      </w:r>
    </w:p>
    <w:bookmarkEnd w:id="2219"/>
    <w:bookmarkStart w:id="2241" w:name="七洗礼的恩典"/>
    <w:p>
      <w:pPr>
        <w:pStyle w:val="Heading5"/>
      </w:pPr>
      <w:r>
        <w:t xml:space="preserve">七、洗礼的恩典</w:t>
      </w:r>
    </w:p>
    <w:p>
      <w:pPr>
        <w:pStyle w:val="FirstParagraph"/>
      </w:pPr>
      <w:r>
        <w:t xml:space="preserve">洗礼的不同效果藉着圣事礼仪中可感知的元素而表达出来。浸入水中不仅象征死亡与洁净，也象征重生与更新。因此，洗礼的两个主要效果是罪的洁净和在圣灵中的重生。</w:t>
      </w:r>
      <w:r>
        <w:rPr>
          <w:rStyle w:val="FootnoteReference"/>
        </w:rPr>
        <w:footnoteReference w:id="2220"/>
      </w:r>
    </w:p>
    <w:bookmarkStart w:id="2224" w:name="为赦免罪"/>
    <w:p>
      <w:pPr>
        <w:pStyle w:val="Heading6"/>
      </w:pPr>
      <w:r>
        <w:t xml:space="preserve">为赦免罪……</w:t>
      </w:r>
    </w:p>
    <w:p>
      <w:pPr>
        <w:pStyle w:val="FirstParagraph"/>
      </w:pPr>
      <w:r>
        <w:t xml:space="preserve">藉着洗礼，「所有罪」都被赦免，包括原罪和所有个人罪，以及罪的一切惩罚。</w:t>
      </w:r>
      <w:r>
        <w:rPr>
          <w:rStyle w:val="FootnoteReference"/>
        </w:rPr>
        <w:footnoteReference w:id="2221"/>
      </w:r>
    </w:p>
    <w:p>
      <w:pPr>
        <w:pStyle w:val="BodyText"/>
      </w:pPr>
      <w:r>
        <w:t xml:space="preserve">然而，某些罪的暂时后果仍留在受洗者身上，例如痛苦、疾病、死亡，以及生命中固有的性格软弱等脆弱性，还有传统上称为「私欲」或比喻为「罪的火种」（fomes peccati）的犯罪倾向；因为私欲「留给我们与之搏斗，但它不能伤害那些不予同意、并藉着耶稣基督的恩典勇敢抵抗的人」。</w:t>
      </w:r>
      <w:r>
        <w:rPr>
          <w:rStyle w:val="FootnoteReference"/>
        </w:rPr>
        <w:footnoteReference w:id="2222"/>
      </w:r>
      <w:r>
        <w:rPr>
          <w:rStyle w:val="FootnoteReference"/>
        </w:rPr>
        <w:footnoteReference w:id="2223"/>
      </w:r>
    </w:p>
    <w:bookmarkEnd w:id="2224"/>
    <w:bookmarkStart w:id="2226" w:name="新造的人"/>
    <w:p>
      <w:pPr>
        <w:pStyle w:val="Heading6"/>
      </w:pPr>
      <w:r>
        <w:t xml:space="preserve">「新造的人」</w:t>
      </w:r>
    </w:p>
    <w:p>
      <w:pPr>
        <w:pStyle w:val="FirstParagraph"/>
      </w:pPr>
      <w:r>
        <w:t xml:space="preserve">洗礼不仅洁净所有罪，也使新受洗者成为「新造的人」，成为神的义子，「得与神的性情有分」，成为基督的肢体，与他同为后嗣，并成为圣灵的殿。</w:t>
      </w:r>
      <w:r>
        <w:rPr>
          <w:rStyle w:val="FootnoteReference"/>
        </w:rPr>
        <w:footnoteReference w:id="2225"/>
      </w:r>
    </w:p>
    <w:p>
      <w:pPr>
        <w:pStyle w:val="BodyText"/>
      </w:pPr>
      <w:r>
        <w:t xml:space="preserve">至圣三位一体赐予受洗者圣化恩典，即「成义」的恩典：使他们藉着信、望、爱的超性德行，相信神、仰望神、爱神；藉着圣灵的恩赐，使他们能在圣灵的推动下生活与行动；并藉着道德德行，使他们在善中成长。因此，基督徒超性生活的整个体系都植根于洗礼。</w:t>
      </w:r>
    </w:p>
    <w:bookmarkEnd w:id="2226"/>
    <w:bookmarkStart w:id="2232" w:name="被纳入教会即基督的身体"/>
    <w:p>
      <w:pPr>
        <w:pStyle w:val="Heading6"/>
      </w:pPr>
      <w:r>
        <w:t xml:space="preserve">被纳入教会，即基督的身体</w:t>
      </w:r>
    </w:p>
    <w:p>
      <w:pPr>
        <w:pStyle w:val="FirstParagraph"/>
      </w:pPr>
      <w:r>
        <w:t xml:space="preserve">洗礼使我们成为基督身体的肢体：「因此……我们互为肢体。」</w:t>
      </w:r>
      <w:r>
        <w:rPr>
          <w:rStyle w:val="FootnoteReference"/>
        </w:rPr>
        <w:footnoteReference w:id="2227"/>
      </w:r>
    </w:p>
    <w:p>
      <w:pPr>
        <w:pStyle w:val="BodyText"/>
      </w:pPr>
      <w:r>
        <w:t xml:space="preserve">受洗者已成为「活石」，被「建造成灵宫，作圣洁的祭司」。</w:t>
      </w:r>
      <w:r>
        <w:rPr>
          <w:rStyle w:val="FootnoteReference"/>
        </w:rPr>
        <w:footnoteReference w:id="2228"/>
      </w:r>
    </w:p>
    <w:p>
      <w:pPr>
        <w:pStyle w:val="BodyText"/>
      </w:pPr>
      <w:r>
        <w:t xml:space="preserve">成为教会的成员后，受洗者不再属于自己，而是属于那位为我们死而复活的基督。</w:t>
      </w:r>
      <w:r>
        <w:rPr>
          <w:rStyle w:val="FootnoteReference"/>
        </w:rPr>
        <w:footnoteReference w:id="2229"/>
      </w:r>
      <w:r>
        <w:t xml:space="preserve">洗礼将我们纳入教会。从洗礼池中诞生了新约中唯一的神子民，超越了民族、文化、种族和性别的一切自然或人为界限：「我们不拘是犹太人，是希腊人，是为奴的，是自主的，都从一位圣灵受洗，成了一个身体。」</w:t>
      </w:r>
      <w:r>
        <w:rPr>
          <w:rStyle w:val="FootnoteReference"/>
        </w:rPr>
        <w:footnoteReference w:id="2230"/>
      </w:r>
    </w:p>
    <w:p>
      <w:pPr>
        <w:pStyle w:val="BodyText"/>
      </w:pPr>
      <w:r>
        <w:t xml:space="preserve">「重生为神的儿女后，受洗者必须在人前宣认他们藉教会从神领受的信仰」，并参与神子民的使徒与传教活动。</w:t>
      </w:r>
      <w:r>
        <w:rPr>
          <w:rStyle w:val="FootnoteReference"/>
        </w:rPr>
        <w:footnoteReference w:id="2231"/>
      </w:r>
    </w:p>
    <w:bookmarkEnd w:id="2232"/>
    <w:bookmarkStart w:id="2234" w:name="基督徒合一的圣事性纽带"/>
    <w:p>
      <w:pPr>
        <w:pStyle w:val="Heading6"/>
      </w:pPr>
      <w:r>
        <w:t xml:space="preserve">基督徒合一的圣事性纽带</w:t>
      </w:r>
    </w:p>
    <w:p>
      <w:pPr>
        <w:pStyle w:val="FirstParagraph"/>
      </w:pPr>
      <w:r>
        <w:t xml:space="preserve">洗礼构成所有基督徒之间共融的基础，包括那些尚未与公教会完全共融的人：「凡相信基督并妥善领受洗礼的人，虽未完全共融，却已在某种程度上与公教会结合。藉着洗礼中的信心而成义，他们被纳入基督里，因此有权被称为基督徒，并理所当然地被公教会的儿女视为弟兄。」</w:t>
      </w:r>
      <w:r>
        <w:rPr>
          <w:rStyle w:val="FootnoteReference"/>
        </w:rPr>
        <w:footnoteReference w:id="2233"/>
      </w:r>
    </w:p>
    <w:bookmarkEnd w:id="2234"/>
    <w:bookmarkStart w:id="2240" w:name="不可磨灭的属灵印记"/>
    <w:p>
      <w:pPr>
        <w:pStyle w:val="Heading6"/>
      </w:pPr>
      <w:r>
        <w:t xml:space="preserve">不可磨灭的属灵印记……</w:t>
      </w:r>
    </w:p>
    <w:p>
      <w:pPr>
        <w:pStyle w:val="FirstParagraph"/>
      </w:pPr>
      <w:r>
        <w:t xml:space="preserve">藉洗礼被纳入基督里，受洗者被塑造成基督的肖像。洗礼以不可磨灭的属灵印记（character）标记基督徒属于基督。任何罪都无法抹去此印记，即使罪阻碍洗礼结出救恩的果实。</w:t>
      </w:r>
      <w:r>
        <w:rPr>
          <w:rStyle w:val="FootnoteReference"/>
        </w:rPr>
        <w:footnoteReference w:id="2235"/>
      </w:r>
    </w:p>
    <w:p>
      <w:pPr>
        <w:pStyle w:val="BodyText"/>
      </w:pPr>
      <w:r>
        <w:t xml:space="preserve">藉洗礼被纳入教会，信徒领受了圣事性印记，使他们奉献于基督徒的宗教敬拜。</w:t>
      </w:r>
      <w:r>
        <w:rPr>
          <w:rStyle w:val="FootnoteReference"/>
        </w:rPr>
        <w:footnoteReference w:id="2236"/>
      </w:r>
    </w:p>
    <w:p>
      <w:pPr>
        <w:pStyle w:val="BodyText"/>
      </w:pPr>
      <w:r>
        <w:t xml:space="preserve">圣灵以「主的印记」（Dominicus character）标记了我们，「为得赎的日子」。</w:t>
      </w:r>
      <w:r>
        <w:rPr>
          <w:rStyle w:val="FootnoteReference"/>
        </w:rPr>
        <w:footnoteReference w:id="2237"/>
      </w:r>
      <w:r>
        <w:t xml:space="preserve">「洗礼确是永生的印记。」</w:t>
      </w:r>
      <w:r>
        <w:rPr>
          <w:rStyle w:val="FootnoteReference"/>
        </w:rPr>
        <w:footnoteReference w:id="2238"/>
      </w:r>
      <w:r>
        <w:t xml:space="preserve">忠信的基督徒若「持守此印记」直到最后，忠于洗礼的要求，便能「带着信心的标记」离开此生，怀着洗礼的信心，期待神的真福异象——信心的圆满实现——并怀着复活的希望。</w:t>
      </w:r>
      <w:r>
        <w:rPr>
          <w:rStyle w:val="FootnoteReference"/>
        </w:rPr>
        <w:footnoteReference w:id="2239"/>
      </w:r>
    </w:p>
    <w:bookmarkEnd w:id="2240"/>
    <w:bookmarkEnd w:id="2241"/>
    <w:bookmarkStart w:id="2242" w:name="综述-34"/>
    <w:p>
      <w:pPr>
        <w:pStyle w:val="Heading5"/>
      </w:pPr>
      <w:r>
        <w:t xml:space="preserve">综述</w:t>
      </w:r>
    </w:p>
    <w:p>
      <w:pPr>
        <w:pStyle w:val="FirstParagraph"/>
      </w:pPr>
      <w:r>
        <w:t xml:space="preserve">基督徒入门是藉着三件圣事共同完成的：洗礼开启新生命；坚振使之坚固；圣餐则以基督的圣体圣血滋养门徒，使他在基督里转化。</w:t>
      </w:r>
    </w:p>
    <w:p>
      <w:pPr>
        <w:pStyle w:val="BodyText"/>
      </w:pPr>
      <w:r>
        <w:t xml:space="preserve">「所以，你们要去，使万民作我的门徒，奉父、子、圣灵的名给他们施洗。凡我所吩咐你们的，都教训他们遵守。」（太 28:19-20）</w:t>
      </w:r>
    </w:p>
    <w:p>
      <w:pPr>
        <w:pStyle w:val="BodyText"/>
      </w:pPr>
      <w:r>
        <w:t xml:space="preserve">洗礼是在基督里新生命的诞生。按照主的旨意，洗礼对救恩是必要的，教会本身也是如此，我们藉着洗礼进入教会。</w:t>
      </w:r>
    </w:p>
    <w:p>
      <w:pPr>
        <w:pStyle w:val="BodyText"/>
      </w:pPr>
      <w:r>
        <w:t xml:space="preserve">洗礼的基本仪式包括将受洗者浸入水中或将水倒在他头上，同时呼求至圣三位一体：父、子、圣灵。</w:t>
      </w:r>
    </w:p>
    <w:p>
      <w:pPr>
        <w:pStyle w:val="BodyText"/>
      </w:pPr>
      <w:r>
        <w:t xml:space="preserve">洗礼的果实，即洗礼恩典，是丰富的现实，包括原罪与所有个人罪的赦免，诞生于新生命，使人成为圣父的义子、基督的肢体和圣灵的殿。因此，受洗者被纳入教会，即基督的身体，并分享基督的司祭职。</w:t>
      </w:r>
    </w:p>
    <w:p>
      <w:pPr>
        <w:pStyle w:val="BodyText"/>
      </w:pPr>
      <w:r>
        <w:t xml:space="preserve">洗礼在灵魂上印下不可磨灭的属灵印记，即圣事性印记，使受洗者奉献于基督徒的敬拜。由于此印记，洗礼不能重复施行（参 DS 1609 及 DS 1624）。</w:t>
      </w:r>
    </w:p>
    <w:p>
      <w:pPr>
        <w:pStyle w:val="BodyText"/>
      </w:pPr>
      <w:r>
        <w:t xml:space="preserve">那些为信仰而殉道的人、慕道者，以及所有虽未认识教会，却在恩典的启发下真诚寻求神并努力履行他旨意的人，即使未受洗，也能得救（参 LG 16）。</w:t>
      </w:r>
    </w:p>
    <w:p>
      <w:pPr>
        <w:pStyle w:val="BodyText"/>
      </w:pPr>
      <w:r>
        <w:t xml:space="preserve">自最初时代起，洗礼便施行于婴孩，因为它是神的恩典与礼物，不以任何人的功德为前提；婴孩是在教会的信仰中受洗的。进入基督徒生命使人获得真正的自由。</w:t>
      </w:r>
    </w:p>
    <w:p>
      <w:pPr>
        <w:pStyle w:val="BodyText"/>
      </w:pPr>
      <w:r>
        <w:t xml:space="preserve">对于未受洗而去世的婴孩，教会的礼仪邀请我们信赖神的怜悯，并为他们的救恩祷告。</w:t>
      </w:r>
    </w:p>
    <w:p>
      <w:pPr>
        <w:pStyle w:val="BodyText"/>
      </w:pPr>
      <w:r>
        <w:t xml:space="preserve">在必要情况下，任何人都可以施行洗礼，只要他具有教会施行洗礼的意向，并在将水倒在受洗者头上时说：「我奉父、子、圣灵的名给你施洗。」</w:t>
      </w:r>
    </w:p>
    <w:p>
      <w:r>
        <w:br w:type="page"/>
      </w:r>
    </w:p>
    <w:bookmarkEnd w:id="2242"/>
    <w:bookmarkEnd w:id="2243"/>
    <w:bookmarkStart w:id="2295" w:name="第二条坚振圣事"/>
    <w:p>
      <w:pPr>
        <w:pStyle w:val="Heading4"/>
      </w:pPr>
      <w:r>
        <w:t xml:space="preserve">第二条：坚振圣事</w:t>
      </w:r>
    </w:p>
    <w:p>
      <w:pPr>
        <w:pStyle w:val="FirstParagraph"/>
      </w:pPr>
      <w:r>
        <w:t xml:space="preserve">洗礼、圣餐与坚振圣事共同构成「基督徒入门圣事」，其合一性必须受到维护。应当向信徒解释，领受坚振圣事是完成洗礼恩典所必需的。</w:t>
      </w:r>
      <w:r>
        <w:rPr>
          <w:rStyle w:val="FootnoteReference"/>
        </w:rPr>
        <w:footnoteReference w:id="2244"/>
      </w:r>
      <w:r>
        <w:t xml:space="preserve">因为「借着坚振圣事，（受洗者）更完美地与教会结合，并领受圣灵特别的力量。因此，他们作为基督真正的见证人，更严格地负有以言行传播并捍卫信仰的义务。」</w:t>
      </w:r>
      <w:r>
        <w:rPr>
          <w:rStyle w:val="FootnoteReference"/>
        </w:rPr>
        <w:footnoteReference w:id="2245"/>
      </w:r>
    </w:p>
    <w:bookmarkStart w:id="2256" w:name="一救恩计划中的坚振圣事"/>
    <w:p>
      <w:pPr>
        <w:pStyle w:val="Heading5"/>
      </w:pPr>
      <w:r>
        <w:t xml:space="preserve">一、救恩计划中的坚振圣事</w:t>
      </w:r>
    </w:p>
    <w:p>
      <w:pPr>
        <w:pStyle w:val="FirstParagraph"/>
      </w:pPr>
      <w:r>
        <w:t xml:space="preserve">在旧约中，先知们预言主的灵将降临在所盼望的弥赛亚身上，以完成他的救赎使命。</w:t>
      </w:r>
      <w:r>
        <w:rPr>
          <w:rStyle w:val="FootnoteReference"/>
        </w:rPr>
        <w:footnoteReference w:id="2246"/>
      </w:r>
      <w:r>
        <w:t xml:space="preserve">圣灵在耶稣受约翰洗礼时降临在他身上，这是他就是那位将要来的弥赛亚、神儿子的标记。</w:t>
      </w:r>
      <w:r>
        <w:rPr>
          <w:rStyle w:val="FootnoteReference"/>
        </w:rPr>
        <w:footnoteReference w:id="2247"/>
      </w:r>
      <w:r>
        <w:t xml:space="preserve">他由圣灵感孕；他的一生和整个使命都完全与圣灵相通，而圣灵是父赐给他「无限量」的。</w:t>
      </w:r>
      <w:r>
        <w:rPr>
          <w:rStyle w:val="FootnoteReference"/>
        </w:rPr>
        <w:footnoteReference w:id="2248"/>
      </w:r>
    </w:p>
    <w:p>
      <w:pPr>
        <w:pStyle w:val="BodyText"/>
      </w:pPr>
      <w:r>
        <w:t xml:space="preserve">圣灵的这种圆满并非仅限于弥赛亚一人，而是要传递给</w:t>
      </w:r>
      <w:r>
        <w:rPr>
          <w:i/>
          <w:iCs/>
        </w:rPr>
        <w:t xml:space="preserve">整个弥赛亚子民</w:t>
      </w:r>
      <w:r>
        <w:t xml:space="preserve">。</w:t>
      </w:r>
      <w:r>
        <w:rPr>
          <w:rStyle w:val="FootnoteReference"/>
        </w:rPr>
        <w:footnoteReference w:id="2249"/>
      </w:r>
      <w:r>
        <w:t xml:space="preserve">基督多次许诺圣灵的倾注，</w:t>
      </w:r>
      <w:r>
        <w:rPr>
          <w:rStyle w:val="FootnoteReference"/>
        </w:rPr>
        <w:footnoteReference w:id="2250"/>
      </w:r>
      <w:r>
        <w:t xml:space="preserve">他首先在复活主日实现了这一许诺，随后在五旬节更显著地实现了。</w:t>
      </w:r>
      <w:r>
        <w:rPr>
          <w:rStyle w:val="FootnoteReference"/>
        </w:rPr>
        <w:footnoteReference w:id="2251"/>
      </w:r>
      <w:r>
        <w:t xml:space="preserve">使徒们充满圣灵，开始宣讲「神的大作为」，彼得宣告圣灵的倾注是弥赛亚时代的标记。</w:t>
      </w:r>
      <w:r>
        <w:rPr>
          <w:rStyle w:val="FootnoteReference"/>
        </w:rPr>
        <w:footnoteReference w:id="2252"/>
      </w:r>
      <w:r>
        <w:t xml:space="preserve">那些相信使徒宣讲并受洗的人，也依次领受了圣灵的恩赐。</w:t>
      </w:r>
      <w:r>
        <w:rPr>
          <w:rStyle w:val="FootnoteReference"/>
        </w:rPr>
        <w:footnoteReference w:id="2253"/>
      </w:r>
    </w:p>
    <w:p>
      <w:pPr>
        <w:pStyle w:val="BodyText"/>
      </w:pPr>
      <w:r>
        <w:t xml:space="preserve">从那时起，使徒们遵照基督的旨意，借着按手将圣灵的恩赐传给新受洗者，以完成洗礼的恩典。因此，在《希伯来书》中，关于洗礼和按手的教义被列为基督徒教导的基本内容之一。按手礼被公教会传统正确地视为坚振圣事的起源，这圣事在某种意义上使五旬节的恩典在教会中延续。</w:t>
      </w:r>
      <w:r>
        <w:rPr>
          <w:rStyle w:val="FootnoteReference"/>
        </w:rPr>
        <w:footnoteReference w:id="2254"/>
      </w:r>
    </w:p>
    <w:p>
      <w:pPr>
        <w:pStyle w:val="BodyText"/>
      </w:pPr>
      <w:r>
        <w:t xml:space="preserve">很早期，为了更好地表示圣灵的恩赐，在按手礼之外还加入了用芳香油（圣膏）的傅油礼。这傅油礼突显了「基督徒」这一名称，意即「受膏者」，源自基督本身，因为神「以圣灵和能力膏拿撒勒人耶稣」。</w:t>
      </w:r>
      <w:r>
        <w:rPr>
          <w:rStyle w:val="FootnoteReference"/>
        </w:rPr>
        <w:footnoteReference w:id="2255"/>
      </w:r>
    </w:p>
    <w:bookmarkEnd w:id="2256"/>
    <w:bookmarkStart w:id="2259" w:name="两种传统东方与西方"/>
    <w:p>
      <w:pPr>
        <w:pStyle w:val="Heading5"/>
      </w:pPr>
      <w:r>
        <w:t xml:space="preserve">两种传统：东方与西方</w:t>
      </w:r>
    </w:p>
    <w:p>
      <w:pPr>
        <w:pStyle w:val="FirstParagraph"/>
      </w:pPr>
      <w:r>
        <w:t xml:space="preserve">在最初几个世纪，坚振圣事通常与洗礼合并举行，形成圣居普良所称的「双重圣事」。由于婴儿洗礼全年增加、乡村堂区增多以及教区规模扩大等原因，主教往往无法出席所有的洗礼庆典。在西方教会，因为希望保留主教完成洗礼的形式，导致了这两件圣事在时间上的分离。东方教会则保持了二者的合一，因此坚振圣事由施洗的祭司授予，但他只能使用由主教祝圣的「圣膏」。</w:t>
      </w:r>
      <w:r>
        <w:rPr>
          <w:rStyle w:val="FootnoteReference"/>
        </w:rPr>
        <w:footnoteReference w:id="2257"/>
      </w:r>
    </w:p>
    <w:p>
      <w:pPr>
        <w:pStyle w:val="BodyText"/>
      </w:pPr>
      <w:r>
        <w:t xml:space="preserve">罗马教会的一项习俗促进了西方实践的发展：洗礼后进行两次圣膏傅油。新受洗者从洗礼池出来后的第一次傅油由祭司执行；随后主教在新受洗者额头上进行第二次傅油，以完成圣事。</w:t>
      </w:r>
      <w:r>
        <w:rPr>
          <w:rStyle w:val="FootnoteReference"/>
        </w:rPr>
        <w:footnoteReference w:id="2258"/>
      </w:r>
      <w:r>
        <w:t xml:space="preserve">祭司进行的第一次圣膏傅油仍附属于洗礼仪式，象征受洗者参与基督的先知、司祭和君王职务。如果是成人受洗，则洗礼后只有一次傅油，即坚振圣事的傅油。</w:t>
      </w:r>
    </w:p>
    <w:p>
      <w:pPr>
        <w:pStyle w:val="BodyText"/>
      </w:pPr>
      <w:r>
        <w:t xml:space="preserve">东方教会的实践更强调基督徒入门圣事的合一性。拉丁教会的实践则更清楚地表达了新基督徒与主教的共融，主教是教会合一性、大公性和使徒性的保证者和仆人，因此也表达了与基督教会使徒起源的联系。</w:t>
      </w:r>
    </w:p>
    <w:bookmarkEnd w:id="2259"/>
    <w:bookmarkStart w:id="2273" w:name="二坚振圣事的标记与礼仪"/>
    <w:p>
      <w:pPr>
        <w:pStyle w:val="Heading5"/>
      </w:pPr>
      <w:r>
        <w:t xml:space="preserve">二、坚振圣事的标记与礼仪</w:t>
      </w:r>
    </w:p>
    <w:p>
      <w:pPr>
        <w:pStyle w:val="FirstParagraph"/>
      </w:pPr>
      <w:r>
        <w:t xml:space="preserve">在讨论坚振圣事的礼仪时，应当考虑</w:t>
      </w:r>
      <w:r>
        <w:rPr>
          <w:i/>
          <w:iCs/>
        </w:rPr>
        <w:t xml:space="preserve">傅油</w:t>
      </w:r>
      <w:r>
        <w:t xml:space="preserve">这一标记及其所象征和印记的意义：即属灵的</w:t>
      </w:r>
      <w:r>
        <w:rPr>
          <w:i/>
          <w:iCs/>
        </w:rPr>
        <w:t xml:space="preserve">印记</w:t>
      </w:r>
      <w:r>
        <w:t xml:space="preserve">。</w:t>
      </w:r>
    </w:p>
    <w:p>
      <w:pPr>
        <w:pStyle w:val="BodyText"/>
      </w:pPr>
      <w:r>
        <w:t xml:space="preserve">在圣经及其他古代象征中，傅油具有丰富的意义：油象征丰盛与喜乐；</w:t>
      </w:r>
      <w:r>
        <w:rPr>
          <w:rStyle w:val="FootnoteReference"/>
        </w:rPr>
        <w:footnoteReference w:id="2260"/>
      </w:r>
      <w:r>
        <w:t xml:space="preserve">它具有洁净（沐浴前后的傅油）和柔软（运动员和摔跤手的傅油）的作用；油也象征治愈，因为它能舒缓瘀伤和伤口；</w:t>
      </w:r>
      <w:r>
        <w:rPr>
          <w:rStyle w:val="FootnoteReference"/>
        </w:rPr>
        <w:footnoteReference w:id="2261"/>
      </w:r>
      <w:r>
        <w:t xml:space="preserve">它还能使人焕发美丽、健康和力量。</w:t>
      </w:r>
    </w:p>
    <w:p>
      <w:pPr>
        <w:pStyle w:val="BodyText"/>
      </w:pPr>
      <w:r>
        <w:t xml:space="preserve">在圣事生活中，傅油具有上述所有意义。慕道者在洗礼前的傅油象征洁净与强化；病人傅油表达治愈与安慰。洗礼后的坚振圣事和圣秩圣事中的圣膏傅油则象征奉献。借着坚振圣事，基督徒，即受膏者，更完全地分享耶稣基督的使命以及他所充满的圣灵的圆满，使他们的生命散发出「基督馨香之气」。</w:t>
      </w:r>
      <w:r>
        <w:rPr>
          <w:rStyle w:val="FootnoteReference"/>
        </w:rPr>
        <w:footnoteReference w:id="2262"/>
      </w:r>
    </w:p>
    <w:p>
      <w:pPr>
        <w:pStyle w:val="BodyText"/>
      </w:pPr>
      <w:r>
        <w:t xml:space="preserve">借着这傅油，领受坚振者接受了圣灵的「印记」。印记象征一个人，代表个人的权威或对物品的所有权。</w:t>
      </w:r>
      <w:r>
        <w:rPr>
          <w:rStyle w:val="FootnoteReference"/>
        </w:rPr>
        <w:footnoteReference w:id="2263"/>
      </w:r>
      <w:r>
        <w:t xml:space="preserve">因此士兵带有领袖的印记，奴隶带有主人的印记。印记也用于认证法律行为或文件，有时还用于保密。</w:t>
      </w:r>
      <w:r>
        <w:rPr>
          <w:rStyle w:val="FootnoteReference"/>
        </w:rPr>
        <w:footnoteReference w:id="2264"/>
      </w:r>
    </w:p>
    <w:p>
      <w:pPr>
        <w:pStyle w:val="BodyText"/>
      </w:pPr>
      <w:r>
        <w:t xml:space="preserve">基督自己宣称他带有父的印记。</w:t>
      </w:r>
      <w:r>
        <w:rPr>
          <w:rStyle w:val="FootnoteReference"/>
        </w:rPr>
        <w:footnoteReference w:id="2265"/>
      </w:r>
      <w:r>
        <w:t xml:space="preserve">基督徒也带有印记：「那在基督里坚固我们和你们，并且膏我们的，就是神。他又用印印了我们，并赐圣灵在我们心里作凭据。」</w:t>
      </w:r>
      <w:r>
        <w:rPr>
          <w:rStyle w:val="FootnoteReference"/>
        </w:rPr>
        <w:footnoteReference w:id="2266"/>
      </w:r>
      <w:r>
        <w:t xml:space="preserve">圣灵的印记标志着我们完全属于基督，永远服事他，并在末世的大试炼中得到神保护的应许。</w:t>
      </w:r>
      <w:r>
        <w:rPr>
          <w:rStyle w:val="FootnoteReference"/>
        </w:rPr>
        <w:footnoteReference w:id="2267"/>
      </w:r>
    </w:p>
    <w:bookmarkStart w:id="2272" w:name="坚振圣事的庆典"/>
    <w:p>
      <w:pPr>
        <w:pStyle w:val="Heading6"/>
      </w:pPr>
      <w:r>
        <w:t xml:space="preserve">坚振圣事的庆典</w:t>
      </w:r>
    </w:p>
    <w:p>
      <w:pPr>
        <w:pStyle w:val="FirstParagraph"/>
      </w:pPr>
      <w:r>
        <w:t xml:space="preserve">「圣膏的祝圣」是坚振圣事庆典前的重要行动，但在某种意义上也是庆典的一部分。主教在圣周四的圣膏弥撒中为整个教区祝圣圣膏。在一些东方教会，这一祝圣甚至保留给宗主教。</w:t>
      </w:r>
    </w:p>
    <w:p>
      <w:pPr>
        <w:pStyle w:val="BodyText"/>
      </w:pPr>
      <w:r>
        <w:t xml:space="preserve">安提阿礼仪中圣膏祝圣的求圣灵降临祷文如此表达：「父啊……求你派遣你的圣灵降临在我们和我们面前的油上，祝圣它，使它成为圣膏、祭司膏、君王膏、喜乐的傅油、光明的衣裳、救恩的外袍、属灵的恩赐、灵魂与身体的圣化、不朽的幸福、不可磨灭的印记、信心的盾牌，以及抵御仇敌一切作为的可畏头盔。」</w:t>
      </w:r>
    </w:p>
    <w:p>
      <w:pPr>
        <w:pStyle w:val="BodyText"/>
      </w:pPr>
      <w:r>
        <w:t xml:space="preserve">当坚振圣事与洗礼分开举行时，如罗马礼所行，坚振礼仪以领受坚振者重申洗礼誓言和宣认信仰开始。这清楚表明坚振圣事继洗礼而来。</w:t>
      </w:r>
      <w:r>
        <w:rPr>
          <w:rStyle w:val="FootnoteReference"/>
        </w:rPr>
        <w:footnoteReference w:id="2268"/>
      </w:r>
    </w:p>
    <w:p>
      <w:pPr>
        <w:pStyle w:val="BodyText"/>
      </w:pPr>
      <w:r>
        <w:t xml:space="preserve">在罗马礼中，主教向所有领受坚振者伸出双手。这一姿势自使徒时代起即象征圣灵的恩赐。主教以如下话语祈求圣灵的倾注：</w:t>
      </w:r>
    </w:p>
    <w:p>
      <w:pPr>
        <w:pStyle w:val="BodyText"/>
      </w:pPr>
      <w:r>
        <w:t xml:space="preserve">全能的神，我们主耶稣基督的父，你借着水和圣灵使你的子女脱离罪恶，获得新生命。求你派遣圣灵降临他们，作他们的护佑与引导。求你赐给他们智慧和聪明的灵，明辨和刚毅的灵，知识和敬虔的灵。求你以敬畏你的灵充满他们。借我们的主基督。</w:t>
      </w:r>
      <w:r>
        <w:rPr>
          <w:rStyle w:val="FootnoteReference"/>
        </w:rPr>
        <w:footnoteReference w:id="2269"/>
      </w:r>
    </w:p>
    <w:p>
      <w:pPr>
        <w:pStyle w:val="BodyText"/>
      </w:pPr>
      <w:r>
        <w:t xml:space="preserve">接下来是坚振圣事的</w:t>
      </w:r>
      <w:r>
        <w:rPr>
          <w:i/>
          <w:iCs/>
        </w:rPr>
        <w:t xml:space="preserve">基本礼仪</w:t>
      </w:r>
      <w:r>
        <w:t xml:space="preserve">。在拉丁礼中，「坚振圣事是借着在额头上傅圣膏并按手，以及以下的话语授予的：『Accipe signaculum doni Spiritus Sancti』（领受圣灵恩赐的印记）。」</w:t>
      </w:r>
      <w:r>
        <w:rPr>
          <w:rStyle w:val="FootnoteReference"/>
        </w:rPr>
        <w:footnoteReference w:id="2270"/>
      </w:r>
    </w:p>
    <w:p>
      <w:pPr>
        <w:pStyle w:val="BodyText"/>
      </w:pPr>
      <w:r>
        <w:t xml:space="preserve">礼仪结束时的平安礼象征并表达了与主教及全体信徒的教会共融。</w:t>
      </w:r>
      <w:r>
        <w:rPr>
          <w:rStyle w:val="FootnoteReference"/>
        </w:rPr>
        <w:footnoteReference w:id="2271"/>
      </w:r>
    </w:p>
    <w:bookmarkEnd w:id="2272"/>
    <w:bookmarkEnd w:id="2273"/>
    <w:bookmarkStart w:id="2280" w:name="三坚振圣事的效果"/>
    <w:p>
      <w:pPr>
        <w:pStyle w:val="Heading5"/>
      </w:pPr>
      <w:r>
        <w:t xml:space="preserve">三、坚振圣事的效果</w:t>
      </w:r>
    </w:p>
    <w:p>
      <w:pPr>
        <w:pStyle w:val="FirstParagraph"/>
      </w:pPr>
      <w:r>
        <w:t xml:space="preserve">从坚振圣事的庆典中可以明显看出，其效果是圣灵的特别倾注，如同昔日使徒们在五旬节所领受的一样。</w:t>
      </w:r>
    </w:p>
    <w:p>
      <w:pPr>
        <w:pStyle w:val="BodyText"/>
      </w:pPr>
      <w:r>
        <w:t xml:space="preserve">因此，坚振圣事带来洗礼恩典的增长与深化：— 它使我们更深地扎根于神子女的身份，使我们呼喊：「阿爸，父！」</w:t>
      </w:r>
      <w:r>
        <w:rPr>
          <w:rStyle w:val="FootnoteReference"/>
        </w:rPr>
        <w:footnoteReference w:id="2274"/>
      </w:r>
      <w:r>
        <w:t xml:space="preserve">— 它使我们更牢固地与基督结合；— 它增加我们内在的圣灵恩赐；— 它使我们与教会的联系更加完美；</w:t>
      </w:r>
      <w:r>
        <w:rPr>
          <w:rStyle w:val="FootnoteReference"/>
        </w:rPr>
        <w:footnoteReference w:id="2275"/>
      </w:r>
      <w:r>
        <w:t xml:space="preserve">— 它赐予我们圣灵特别的力量，使我们作为基督真正的见证人，以言行传播并捍卫信仰，勇敢地宣认基督的圣名，永不以十字架为耻。</w:t>
      </w:r>
      <w:r>
        <w:rPr>
          <w:rStyle w:val="FootnoteReference"/>
        </w:rPr>
        <w:footnoteReference w:id="2276"/>
      </w:r>
    </w:p>
    <w:p>
      <w:pPr>
        <w:pStyle w:val="BodyText"/>
      </w:pPr>
      <w:r>
        <w:t xml:space="preserve">因此，请记住你们已领受了属灵的印记，即智慧和聪明的灵，明辨和刚毅的灵，知识和敬虔的灵，以及在神面前的敬畏之灵。你们要守护所领受的恩赐。父神已用他的印记标记了你们；主基督已坚振了你们，并将他的保证——圣灵，放在你们心中作为凭据。</w:t>
      </w:r>
      <w:r>
        <w:rPr>
          <w:rStyle w:val="FootnoteReference"/>
        </w:rPr>
        <w:footnoteReference w:id="2277"/>
      </w:r>
    </w:p>
    <w:p>
      <w:pPr>
        <w:pStyle w:val="BodyText"/>
      </w:pPr>
      <w:r>
        <w:t xml:space="preserve">与它所完成的洗礼一样，坚振圣事只能领受一次，因为它也在灵魂上留下了不可磨灭的属灵印记，即「灵印」，这是耶稣基督以圣灵的印记标记基督徒，赐予他来自天上的能力，使他成为基督的见证人。</w:t>
      </w:r>
      <w:r>
        <w:rPr>
          <w:rStyle w:val="FootnoteReference"/>
        </w:rPr>
        <w:footnoteReference w:id="2278"/>
      </w:r>
    </w:p>
    <w:p>
      <w:pPr>
        <w:pStyle w:val="BodyText"/>
      </w:pPr>
      <w:r>
        <w:t xml:space="preserve">这一「灵印」完善了信徒在洗礼中所领受的共同祭司职，「领受坚振者获得公开并正式地（quasi Ex officio）宣认基督信仰的能力。」</w:t>
      </w:r>
      <w:r>
        <w:rPr>
          <w:rStyle w:val="FootnoteReference"/>
        </w:rPr>
        <w:footnoteReference w:id="2279"/>
      </w:r>
    </w:p>
    <w:bookmarkEnd w:id="2280"/>
    <w:bookmarkStart w:id="2287" w:name="四谁能领受这件圣事"/>
    <w:p>
      <w:pPr>
        <w:pStyle w:val="Heading5"/>
      </w:pPr>
      <w:r>
        <w:t xml:space="preserve">四、谁能领受这件圣事？</w:t>
      </w:r>
    </w:p>
    <w:p>
      <w:pPr>
        <w:pStyle w:val="FirstParagraph"/>
      </w:pPr>
      <w:r>
        <w:t xml:space="preserve">每一位已受洗而尚未领受坚振圣事的人，都能够并且应当领受坚振圣事。</w:t>
      </w:r>
      <w:r>
        <w:rPr>
          <w:rStyle w:val="FootnoteReference"/>
        </w:rPr>
        <w:footnoteReference w:id="2281"/>
      </w:r>
    </w:p>
    <w:p>
      <w:pPr>
        <w:pStyle w:val="BodyText"/>
      </w:pPr>
      <w:r>
        <w:t xml:space="preserve">几个世纪以来，拉丁教会的习惯以「明辨年龄」作为领受坚振圣事的参考点。但在临终危险时，即使儿童尚未达到明辨年龄，也应当为他们施行坚振圣事。</w:t>
      </w:r>
      <w:r>
        <w:rPr>
          <w:rStyle w:val="FootnoteReference"/>
        </w:rPr>
        <w:footnoteReference w:id="2282"/>
      </w:r>
    </w:p>
    <w:p>
      <w:pPr>
        <w:pStyle w:val="BodyText"/>
      </w:pPr>
      <w:r>
        <w:t xml:space="preserve">虽然坚振圣事有时被称为「基督徒成熟的圣事」，但我们不应将成人的信仰与自然成长的成人年龄混为一谈，也不应忘记洗礼恩典是一种白白赐予的恩典，无需「批准」即可生效。圣托马斯提醒我们：</w:t>
      </w:r>
    </w:p>
    <w:p>
      <w:pPr>
        <w:pStyle w:val="BodyText"/>
      </w:pPr>
      <w:r>
        <w:t xml:space="preserve">身体的年龄并不决定灵魂的年龄。即使在童年，人也可以达到属灵的成熟，正如《智慧篇》所说：「因为，可尊敬的老年并不在于高寿，也不在于以年岁来衡量。许多儿童借着所领受的圣灵力量，勇敢地为基督作战，甚至流出自己的鲜血。」</w:t>
      </w:r>
      <w:r>
        <w:rPr>
          <w:rStyle w:val="FootnoteReference"/>
        </w:rPr>
        <w:footnoteReference w:id="2283"/>
      </w:r>
    </w:p>
    <w:p>
      <w:pPr>
        <w:pStyle w:val="BodyText"/>
      </w:pPr>
      <w:r>
        <w:t xml:space="preserve">坚振圣事的</w:t>
      </w:r>
      <w:r>
        <w:rPr>
          <w:i/>
          <w:iCs/>
        </w:rPr>
        <w:t xml:space="preserve">准备</w:t>
      </w:r>
      <w:r>
        <w:t xml:space="preserve">应旨在引导基督徒与基督建立更亲密的结合，并更生动地熟悉圣灵——他的行动、恩赐和召唤，以便更好地承担基督徒生活中的使徒责任。为此，坚振圣事的教理讲授应努力唤醒对耶稣基督教会的归属感，包括普世教会以及堂区团体。堂区团体对领受坚振者的准备负有特别的责任。</w:t>
      </w:r>
      <w:r>
        <w:rPr>
          <w:rStyle w:val="FootnoteReference"/>
        </w:rPr>
        <w:footnoteReference w:id="2284"/>
      </w:r>
    </w:p>
    <w:p>
      <w:pPr>
        <w:pStyle w:val="BodyText"/>
      </w:pPr>
      <w:r>
        <w:t xml:space="preserve">领受坚振圣事者必须处于恩典状态。应当领受忏悔圣事，以洁净自己来领受圣灵的恩赐。更热切的祈祷应当帮助人以顺服和行动的准备来领受圣灵的力量与恩典。</w:t>
      </w:r>
      <w:r>
        <w:rPr>
          <w:rStyle w:val="FootnoteReference"/>
        </w:rPr>
        <w:footnoteReference w:id="2285"/>
      </w:r>
    </w:p>
    <w:p>
      <w:pPr>
        <w:pStyle w:val="BodyText"/>
      </w:pPr>
      <w:r>
        <w:t xml:space="preserve">如同洗礼一样，坚振圣事的候选人适宜寻求一位</w:t>
      </w:r>
      <w:r>
        <w:rPr>
          <w:i/>
          <w:iCs/>
        </w:rPr>
        <w:t xml:space="preserve">代父母</w:t>
      </w:r>
      <w:r>
        <w:t xml:space="preserve">的属灵帮助。为强调这两件圣事的合一性，适宜由洗礼时的代父母之一担任。</w:t>
      </w:r>
      <w:r>
        <w:rPr>
          <w:rStyle w:val="FootnoteReference"/>
        </w:rPr>
        <w:footnoteReference w:id="2286"/>
      </w:r>
    </w:p>
    <w:bookmarkEnd w:id="2287"/>
    <w:bookmarkStart w:id="2292" w:name="五坚振圣事的施行者"/>
    <w:p>
      <w:pPr>
        <w:pStyle w:val="Heading5"/>
      </w:pPr>
      <w:r>
        <w:t xml:space="preserve">五、坚振圣事的施行者</w:t>
      </w:r>
    </w:p>
    <w:p>
      <w:pPr>
        <w:pStyle w:val="FirstParagraph"/>
      </w:pPr>
      <w:r>
        <w:t xml:space="preserve">坚振圣事的</w:t>
      </w:r>
      <w:r>
        <w:rPr>
          <w:i/>
          <w:iCs/>
        </w:rPr>
        <w:t xml:space="preserve">原始施行者</w:t>
      </w:r>
      <w:r>
        <w:t xml:space="preserve">是主教。</w:t>
      </w:r>
      <w:r>
        <w:rPr>
          <w:rStyle w:val="FootnoteReference"/>
        </w:rPr>
        <w:footnoteReference w:id="2288"/>
      </w:r>
    </w:p>
    <w:p>
      <w:pPr>
        <w:pStyle w:val="BodyText"/>
      </w:pPr>
      <w:r>
        <w:t xml:space="preserve">在东方教会中，通常由施洗的祭司在同一庆典中立即授予坚振圣事。但他必须使用由宗主教或主教祝圣的圣膏，以表达教会的使徒合一性，这种合一性借着坚振圣事得以加强。在拉丁教会中，同样的规定适用于成人的洗礼，或接纳已在其他基督教团体受洗但未有效领受坚振圣事者进入教会的情况。</w:t>
      </w:r>
      <w:r>
        <w:rPr>
          <w:rStyle w:val="FootnoteReference"/>
        </w:rPr>
        <w:footnoteReference w:id="2289"/>
      </w:r>
    </w:p>
    <w:p>
      <w:pPr>
        <w:pStyle w:val="BodyText"/>
      </w:pPr>
      <w:r>
        <w:t xml:space="preserve">在</w:t>
      </w:r>
      <w:r>
        <w:rPr>
          <w:i/>
          <w:iCs/>
        </w:rPr>
        <w:t xml:space="preserve">拉丁礼</w:t>
      </w:r>
      <w:r>
        <w:t xml:space="preserve">中，坚振圣事的通常施行者是主教。</w:t>
      </w:r>
      <w:r>
        <w:rPr>
          <w:rStyle w:val="FootnoteReference"/>
        </w:rPr>
        <w:footnoteReference w:id="2290"/>
      </w:r>
    </w:p>
    <w:p>
      <w:pPr>
        <w:pStyle w:val="BodyText"/>
      </w:pPr>
      <w:r>
        <w:t xml:space="preserve">若基督徒处于临终危险，任何祭司都可以为他施行坚振圣事。</w:t>
      </w:r>
      <w:r>
        <w:rPr>
          <w:rStyle w:val="FootnoteReference"/>
        </w:rPr>
        <w:footnoteReference w:id="2291"/>
      </w:r>
    </w:p>
    <w:bookmarkEnd w:id="2292"/>
    <w:bookmarkStart w:id="2294" w:name="综述-35"/>
    <w:p>
      <w:pPr>
        <w:pStyle w:val="Heading5"/>
      </w:pPr>
      <w:r>
        <w:t xml:space="preserve">综述</w:t>
      </w:r>
    </w:p>
    <w:p>
      <w:pPr>
        <w:pStyle w:val="FirstParagraph"/>
      </w:pPr>
      <w:r>
        <w:t xml:space="preserve">「使徒在耶路撒冷听见撒玛利亚人领受了神的道，就打发彼得、约翰往他们那里去。两个人到了，就为他们祷告，要叫他们受圣灵。因为圣灵还没有降在他们一个人身上，他们只奉主耶稣的名受了洗。于是使徒按手在他们头上，他们就受了圣灵。」（徒 8:14-17）</w:t>
      </w:r>
    </w:p>
    <w:p>
      <w:pPr>
        <w:pStyle w:val="BodyText"/>
      </w:pPr>
      <w:r>
        <w:t xml:space="preserve">坚振圣事完善了洗礼的恩典；它赐予圣灵，使我们更深地扎根于神子女的身份，更牢固地结合于基督，加强我们与教会的联系，更密切地参与教会使命，并帮助我们以言行见证基督信仰。</w:t>
      </w:r>
    </w:p>
    <w:p>
      <w:pPr>
        <w:pStyle w:val="BodyText"/>
      </w:pPr>
      <w:r>
        <w:t xml:space="preserve">坚振圣事如同洗礼一样，在基督徒的灵魂上留下属灵的印记或不可磨灭的灵印；因此，这件圣事一生只能领受一次。</w:t>
      </w:r>
    </w:p>
    <w:p>
      <w:pPr>
        <w:pStyle w:val="BodyText"/>
      </w:pPr>
      <w:r>
        <w:t xml:space="preserve">在东方教会，这件圣事紧随洗礼之后施行，随后领受圣餐；这一传统突显了基督徒入门三件圣事的合一性。在拉丁教会，这件圣事通常在达到明辨年龄后施行，且通常保留给主教主持，以表明这件圣事加强了教会的联系。</w:t>
      </w:r>
    </w:p>
    <w:p>
      <w:pPr>
        <w:pStyle w:val="BodyText"/>
      </w:pPr>
      <w:r>
        <w:t xml:space="preserve">已达到明辨年龄的坚振圣事候选人必须宣认信仰，处于恩典状态，有意愿领受这件圣事，并准备好在教会团体内以及世俗事务中承担基督门徒与见证人的角色。</w:t>
      </w:r>
    </w:p>
    <w:p>
      <w:pPr>
        <w:pStyle w:val="BodyText"/>
      </w:pPr>
      <w:r>
        <w:t xml:space="preserve">坚振圣事的基本礼仪是在受洗者额头上（东方教会也包括其他感官）用圣膏傅油，同时施行者按手并说：「Accipe signaculum doni Spiritus Sancti」（领受圣灵恩赐的印记）。</w:t>
      </w:r>
      <w:r>
        <w:rPr>
          <w:rStyle w:val="FootnoteReference"/>
        </w:rPr>
        <w:footnoteReference w:id="2293"/>
      </w:r>
    </w:p>
    <w:p>
      <w:pPr>
        <w:pStyle w:val="BodyText"/>
      </w:pPr>
      <w:r>
        <w:t xml:space="preserve">当坚振圣事与洗礼分开举行时，其与洗礼的联系通过重申洗礼誓言等方式表达出来。在圣餐庆典中举行坚振圣事，有助于强调基督徒入门圣事之间的合一性。</w:t>
      </w:r>
    </w:p>
    <w:p>
      <w:r>
        <w:br w:type="page"/>
      </w:r>
    </w:p>
    <w:bookmarkEnd w:id="2294"/>
    <w:bookmarkEnd w:id="2295"/>
    <w:bookmarkStart w:id="2429" w:name="第三条-圣餐"/>
    <w:p>
      <w:pPr>
        <w:pStyle w:val="Heading4"/>
      </w:pPr>
      <w:r>
        <w:t xml:space="preserve">第三条 圣餐</w:t>
      </w:r>
    </w:p>
    <w:p>
      <w:pPr>
        <w:pStyle w:val="FirstParagraph"/>
      </w:pPr>
      <w:r>
        <w:t xml:space="preserve">圣餐完成基督徒的入门过程。那些藉洗礼被提升为君王祭司的尊严，并藉坚振更深地与基督结合的人，通过圣餐与整个团体一起参与主自己的祭献。</w:t>
      </w:r>
    </w:p>
    <w:p>
      <w:pPr>
        <w:pStyle w:val="BodyText"/>
      </w:pPr>
      <w:r>
        <w:t xml:space="preserve">「在被出卖的那一夜，我们的救主在最后晚餐中建立了他的体血之祭。他这样做，是为了使十字架的祭献得以世世代代延续，直到他再来，并将他死亡与复活的纪念托付给他所爱的净配——教会：这是爱的圣事、合一的标记、仁爱的联系、逾越节的盛宴——『在此，基督被领受，心灵充满恩典，并赐给我们未来荣耀的保证。』」</w:t>
      </w:r>
      <w:r>
        <w:rPr>
          <w:rStyle w:val="FootnoteReference"/>
        </w:rPr>
        <w:footnoteReference w:id="2296"/>
      </w:r>
    </w:p>
    <w:bookmarkStart w:id="2302" w:name="一圣餐教会生活的泉源与高峰"/>
    <w:p>
      <w:pPr>
        <w:pStyle w:val="Heading5"/>
      </w:pPr>
      <w:r>
        <w:t xml:space="preserve">一、圣餐——教会生活的泉源与高峰</w:t>
      </w:r>
    </w:p>
    <w:p>
      <w:pPr>
        <w:pStyle w:val="FirstParagraph"/>
      </w:pPr>
      <w:r>
        <w:t xml:space="preserve">圣餐是「基督徒生活的泉源与高峰」。</w:t>
      </w:r>
      <w:r>
        <w:rPr>
          <w:rStyle w:val="FootnoteReference"/>
        </w:rPr>
        <w:footnoteReference w:id="2297"/>
      </w:r>
      <w:r>
        <w:t xml:space="preserve">「其他圣事，以及教会的一切职务和传教事业，都与圣餐紧密相连，并导向圣餐。因为在至圣的圣餐中，包含了教会的全部属灵财富，即基督自己，我们的逾越祭。」</w:t>
      </w:r>
      <w:r>
        <w:rPr>
          <w:rStyle w:val="FootnoteReference"/>
        </w:rPr>
        <w:footnoteReference w:id="2298"/>
      </w:r>
    </w:p>
    <w:p>
      <w:pPr>
        <w:pStyle w:val="BodyText"/>
      </w:pPr>
      <w:r>
        <w:t xml:space="preserve">「圣餐是那在神性生命中相通和神子民合一的实效标记与崇高原因，藉此教会得以存在。它既是神在基督里圣化世界行动的高峰，也是人们通过基督在圣灵内向圣父献上的敬拜之顶峰。」</w:t>
      </w:r>
      <w:r>
        <w:rPr>
          <w:rStyle w:val="FootnoteReference"/>
        </w:rPr>
        <w:footnoteReference w:id="2299"/>
      </w:r>
    </w:p>
    <w:p>
      <w:pPr>
        <w:pStyle w:val="BodyText"/>
      </w:pPr>
      <w:r>
        <w:t xml:space="preserve">最后，通过圣餐的庆祝，我们已经与天上的礼仪联合，并预尝永恒的生命，那时神将在万物之上、为万物之主。</w:t>
      </w:r>
      <w:r>
        <w:rPr>
          <w:rStyle w:val="FootnoteReference"/>
        </w:rPr>
        <w:footnoteReference w:id="2300"/>
      </w:r>
    </w:p>
    <w:p>
      <w:pPr>
        <w:pStyle w:val="BodyText"/>
      </w:pPr>
      <w:r>
        <w:t xml:space="preserve">简言之，圣餐是我们信仰的总纲与摘要：「我们的思想方式与圣餐相协调，而圣餐反过来又坚定了我们的思想方式。」</w:t>
      </w:r>
      <w:r>
        <w:rPr>
          <w:rStyle w:val="FootnoteReference"/>
        </w:rPr>
        <w:footnoteReference w:id="2301"/>
      </w:r>
    </w:p>
    <w:bookmarkEnd w:id="2302"/>
    <w:bookmarkStart w:id="2316" w:name="二这圣事有何称呼"/>
    <w:p>
      <w:pPr>
        <w:pStyle w:val="Heading5"/>
      </w:pPr>
      <w:r>
        <w:t xml:space="preserve">二、这圣事有何称呼？</w:t>
      </w:r>
    </w:p>
    <w:p>
      <w:pPr>
        <w:pStyle w:val="FirstParagraph"/>
      </w:pPr>
      <w:r>
        <w:t xml:space="preserve">这圣事不可穷尽的丰富性通过我们给予它的不同名称表达出来。每个名称都唤起它的某些方面。它被称为：</w:t>
      </w:r>
    </w:p>
    <w:p>
      <w:pPr>
        <w:pStyle w:val="BodyText"/>
      </w:pPr>
      <w:r>
        <w:rPr>
          <w:i/>
          <w:iCs/>
        </w:rPr>
        <w:t xml:space="preserve">感恩祭</w:t>
      </w:r>
      <w:r>
        <w:t xml:space="preserve">（Eucharist），因为它是向神感恩的行动。希腊词 eucharistein</w:t>
      </w:r>
      <w:r>
        <w:rPr>
          <w:rStyle w:val="FootnoteReference"/>
        </w:rPr>
        <w:footnoteReference w:id="2303"/>
      </w:r>
      <w:r>
        <w:t xml:space="preserve">和 eulogein</w:t>
      </w:r>
      <w:r>
        <w:rPr>
          <w:rStyle w:val="FootnoteReference"/>
        </w:rPr>
        <w:footnoteReference w:id="2304"/>
      </w:r>
      <w:r>
        <w:t xml:space="preserve">让人想起犹太人的祝福，尤其是在用餐时宣告神的作为：创造、救赎和圣化。</w:t>
      </w:r>
    </w:p>
    <w:p>
      <w:pPr>
        <w:pStyle w:val="BodyText"/>
      </w:pPr>
      <w:r>
        <w:rPr>
          <w:i/>
          <w:iCs/>
        </w:rPr>
        <w:t xml:space="preserve">主的晚餐</w:t>
      </w:r>
      <w:r>
        <w:t xml:space="preserve">，因为它与主在受难前夕与门徒共进的晚餐有关，并预尝天上耶路撒冷羔羊的婚宴。</w:t>
      </w:r>
      <w:r>
        <w:rPr>
          <w:rStyle w:val="FootnoteReference"/>
        </w:rPr>
        <w:footnoteReference w:id="2305"/>
      </w:r>
    </w:p>
    <w:p>
      <w:pPr>
        <w:pStyle w:val="BodyText"/>
      </w:pPr>
      <w:r>
        <w:rPr>
          <w:i/>
          <w:iCs/>
        </w:rPr>
        <w:t xml:space="preserve">擘饼</w:t>
      </w:r>
      <w:r>
        <w:t xml:space="preserve">，因为耶稣在犹太餐式中使用这礼仪，作为餐桌的主人祝福并分饼，</w:t>
      </w:r>
      <w:r>
        <w:rPr>
          <w:rStyle w:val="FootnoteReference"/>
        </w:rPr>
        <w:footnoteReference w:id="2306"/>
      </w:r>
      <w:r>
        <w:t xml:space="preserve">尤其是在最后晚餐中。</w:t>
      </w:r>
      <w:r>
        <w:rPr>
          <w:rStyle w:val="FootnoteReference"/>
        </w:rPr>
        <w:footnoteReference w:id="2307"/>
      </w:r>
      <w:r>
        <w:t xml:space="preserve">正是通过这行动，他的门徒在他复活后认出了他，</w:t>
      </w:r>
      <w:r>
        <w:rPr>
          <w:rStyle w:val="FootnoteReference"/>
        </w:rPr>
        <w:footnoteReference w:id="2308"/>
      </w:r>
      <w:r>
        <w:t xml:space="preserve">这也是初期基督徒用来指称他们圣餐聚会的表达；</w:t>
      </w:r>
      <w:r>
        <w:rPr>
          <w:rStyle w:val="FootnoteReference"/>
        </w:rPr>
        <w:footnoteReference w:id="2309"/>
      </w:r>
      <w:r>
        <w:t xml:space="preserve">这样做表明，所有吃同一个被擘开的饼——基督的人，都与他相通，并在他内形成一个身体。</w:t>
      </w:r>
      <w:r>
        <w:rPr>
          <w:rStyle w:val="FootnoteReference"/>
        </w:rPr>
        <w:footnoteReference w:id="2310"/>
      </w:r>
    </w:p>
    <w:p>
      <w:pPr>
        <w:pStyle w:val="BodyText"/>
      </w:pPr>
      <w:r>
        <w:rPr>
          <w:i/>
          <w:iCs/>
        </w:rPr>
        <w:t xml:space="preserve">感恩聚会（synaxis）</w:t>
      </w:r>
      <w:r>
        <w:t xml:space="preserve">，因为圣餐是在信徒聚会中庆祝的，这是教会可见的表达。</w:t>
      </w:r>
      <w:r>
        <w:rPr>
          <w:rStyle w:val="FootnoteReference"/>
        </w:rPr>
        <w:footnoteReference w:id="2311"/>
      </w:r>
    </w:p>
    <w:p>
      <w:pPr>
        <w:pStyle w:val="BodyText"/>
      </w:pPr>
      <w:r>
        <w:t xml:space="preserve">主受难与复活的</w:t>
      </w:r>
      <w:r>
        <w:rPr>
          <w:i/>
          <w:iCs/>
        </w:rPr>
        <w:t xml:space="preserve">纪念</w:t>
      </w:r>
      <w:r>
        <w:t xml:space="preserve">。</w:t>
      </w:r>
    </w:p>
    <w:p>
      <w:pPr>
        <w:pStyle w:val="BodyText"/>
      </w:pPr>
      <w:r>
        <w:rPr>
          <w:i/>
          <w:iCs/>
        </w:rPr>
        <w:t xml:space="preserve">圣祭</w:t>
      </w:r>
      <w:r>
        <w:t xml:space="preserve">，因为它使基督救主的唯一祭献临在，并包含教会的奉献。也使用以下名称：弥撒圣祭、「赞颂之祭」、属灵的祭献、纯洁神圣的祭献，</w:t>
      </w:r>
      <w:r>
        <w:rPr>
          <w:rStyle w:val="FootnoteReference"/>
        </w:rPr>
        <w:footnoteReference w:id="2312"/>
      </w:r>
      <w:r>
        <w:t xml:space="preserve">因为它完成并超越旧约的一切祭献。</w:t>
      </w:r>
    </w:p>
    <w:p>
      <w:pPr>
        <w:pStyle w:val="BodyText"/>
      </w:pPr>
      <w:r>
        <w:rPr>
          <w:i/>
          <w:iCs/>
        </w:rPr>
        <w:t xml:space="preserve">神圣礼仪</w:t>
      </w:r>
      <w:r>
        <w:t xml:space="preserve">，因为教会的整个礼仪以这圣事的庆祝为中心并达到最强烈的表达；同样意义上我们也称其庆祝为</w:t>
      </w:r>
      <w:r>
        <w:rPr>
          <w:i/>
          <w:iCs/>
        </w:rPr>
        <w:t xml:space="preserve">圣奥秘</w:t>
      </w:r>
      <w:r>
        <w:t xml:space="preserve">。我们称它为</w:t>
      </w:r>
      <w:r>
        <w:rPr>
          <w:i/>
          <w:iCs/>
        </w:rPr>
        <w:t xml:space="preserve">至圣圣事</w:t>
      </w:r>
      <w:r>
        <w:t xml:space="preserve">，因为它是圣事中的圣事。保存在圣体龛中的圣体也用此名指称。</w:t>
      </w:r>
    </w:p>
    <w:p>
      <w:pPr>
        <w:pStyle w:val="BodyText"/>
      </w:pPr>
      <w:r>
        <w:rPr>
          <w:i/>
          <w:iCs/>
        </w:rPr>
        <w:t xml:space="preserve">圣共融</w:t>
      </w:r>
      <w:r>
        <w:t xml:space="preserve">（Holy Communion），因为通过这圣事，我们与基督结合，他使我们分享他的体血，形成一个身体。</w:t>
      </w:r>
      <w:r>
        <w:rPr>
          <w:rStyle w:val="FootnoteReference"/>
        </w:rPr>
        <w:footnoteReference w:id="2313"/>
      </w:r>
      <w:r>
        <w:t xml:space="preserve">我们也称它为：圣物（ta hagia; sancta）</w:t>
      </w:r>
      <w:r>
        <w:rPr>
          <w:rStyle w:val="FootnoteReference"/>
        </w:rPr>
        <w:footnoteReference w:id="2314"/>
      </w:r>
      <w:r>
        <w:t xml:space="preserve">——这是使徒信经中「圣徒相通」的第一层含义——</w:t>
      </w:r>
      <w:r>
        <w:rPr>
          <w:i/>
          <w:iCs/>
        </w:rPr>
        <w:t xml:space="preserve">天使之粮</w:t>
      </w:r>
      <w:r>
        <w:t xml:space="preserve">、</w:t>
      </w:r>
      <w:r>
        <w:rPr>
          <w:i/>
          <w:iCs/>
        </w:rPr>
        <w:t xml:space="preserve">天降之粮</w:t>
      </w:r>
      <w:r>
        <w:t xml:space="preserve">、</w:t>
      </w:r>
      <w:r>
        <w:rPr>
          <w:i/>
          <w:iCs/>
        </w:rPr>
        <w:t xml:space="preserve">不朽之药</w:t>
      </w:r>
      <w:r>
        <w:t xml:space="preserve">、</w:t>
      </w:r>
      <w:r>
        <w:rPr>
          <w:rStyle w:val="FootnoteReference"/>
        </w:rPr>
        <w:footnoteReference w:id="2315"/>
      </w:r>
      <w:r>
        <w:rPr>
          <w:i/>
          <w:iCs/>
        </w:rPr>
        <w:t xml:space="preserve">临终圣餐</w:t>
      </w:r>
      <w:r>
        <w:t xml:space="preserve">……</w:t>
      </w:r>
    </w:p>
    <w:p>
      <w:pPr>
        <w:pStyle w:val="BodyText"/>
      </w:pPr>
      <w:r>
        <w:rPr>
          <w:i/>
          <w:iCs/>
        </w:rPr>
        <w:t xml:space="preserve">弥撒</w:t>
      </w:r>
      <w:r>
        <w:t xml:space="preserve">（Missa），因为完成救恩奥秘的礼仪以派遣信徒（missio）作结，使他们能在日常生活中履行神的旨意。</w:t>
      </w:r>
    </w:p>
    <w:bookmarkEnd w:id="2316"/>
    <w:bookmarkStart w:id="2337" w:name="三圣餐在救恩计划中的地位"/>
    <w:p>
      <w:pPr>
        <w:pStyle w:val="Heading5"/>
      </w:pPr>
      <w:r>
        <w:t xml:space="preserve">三、圣餐在救恩计划中的地位</w:t>
      </w:r>
    </w:p>
    <w:bookmarkStart w:id="2326" w:name="饼与酒的标记"/>
    <w:p>
      <w:pPr>
        <w:pStyle w:val="Heading6"/>
      </w:pPr>
      <w:r>
        <w:t xml:space="preserve">饼与酒的标记</w:t>
      </w:r>
    </w:p>
    <w:p>
      <w:pPr>
        <w:pStyle w:val="FirstParagraph"/>
      </w:pPr>
      <w:r>
        <w:t xml:space="preserve">圣餐庆祝的核心是饼和酒，藉基督的话和圣灵的呼求，成为基督的体和血。教会忠于主的命令，在他的纪念中并直到他荣耀的再来，继续做他在受难前夕所做的：「他拿起饼来……」「他拿起杯来……」饼和酒的标记以一种超越理解的方式，成为基督的体和血；它们也继续象征受造物的美好。因此在奉献礼中，我们感谢造物主赐予饼和酒，</w:t>
      </w:r>
      <w:r>
        <w:rPr>
          <w:rStyle w:val="FootnoteReference"/>
        </w:rPr>
        <w:footnoteReference w:id="2317"/>
      </w:r>
      <w:r>
        <w:t xml:space="preserve">这是「人类双手的劳作」的果实，但更是「大地的产物」和「葡萄树的果实」——造物主的恩赐。教会看到君王祭司麦基洗德「拿出饼酒」的动作，预表了她自己的奉献。</w:t>
      </w:r>
      <w:r>
        <w:rPr>
          <w:rStyle w:val="FootnoteReference"/>
        </w:rPr>
        <w:footnoteReference w:id="2318"/>
      </w:r>
    </w:p>
    <w:p>
      <w:pPr>
        <w:pStyle w:val="BodyText"/>
      </w:pPr>
      <w:r>
        <w:t xml:space="preserve">在旧约中，饼和酒作为初熟的果实被献为祭品，作为对造物主感恩的表示。但在出埃及的背景下，它们获得了新的意义：以色列人每年在逾越节吃的无酵饼纪念他们匆忙离开埃及获得自由；对旷野中吗哪的回忆将永远提醒以色列人，他们靠神的话语之粮生活；</w:t>
      </w:r>
      <w:r>
        <w:rPr>
          <w:rStyle w:val="FootnoteReference"/>
        </w:rPr>
        <w:footnoteReference w:id="2319"/>
      </w:r>
      <w:r>
        <w:t xml:space="preserve">他们的日用粮是应许之地的果实，是神信守承诺的保证。犹太逾越节餐结束时的「祝福之杯」</w:t>
      </w:r>
      <w:r>
        <w:rPr>
          <w:rStyle w:val="FootnoteReference"/>
        </w:rPr>
        <w:footnoteReference w:id="2320"/>
      </w:r>
      <w:r>
        <w:t xml:space="preserve">为酒的喜庆增添了末世论的维度：对重建耶路撒冷的弥赛亚期待。当耶稣建立圣餐时，他赋予了饼和酒的祝福新的决定性意义。</w:t>
      </w:r>
    </w:p>
    <w:p>
      <w:pPr>
        <w:pStyle w:val="BodyText"/>
      </w:pPr>
      <w:r>
        <w:t xml:space="preserve">增饼的奇迹中，主祝福、擘开并藉门徒分饼给众人吃饱，预表了他圣餐这独特之粮的丰盈。</w:t>
      </w:r>
      <w:r>
        <w:rPr>
          <w:rStyle w:val="FootnoteReference"/>
        </w:rPr>
        <w:footnoteReference w:id="2321"/>
      </w:r>
      <w:r>
        <w:t xml:space="preserve">加纳婚宴中水变酒的标记已宣告耶稣受荣耀的时刻。它显示父的国中婚宴的圆满，那时信徒将喝已成为基督血的新酒。</w:t>
      </w:r>
      <w:r>
        <w:rPr>
          <w:rStyle w:val="FootnoteReference"/>
        </w:rPr>
        <w:footnoteReference w:id="2322"/>
      </w:r>
    </w:p>
    <w:p>
      <w:pPr>
        <w:pStyle w:val="BodyText"/>
      </w:pPr>
      <w:r>
        <w:t xml:space="preserve">首次宣告圣餐时，门徒们起了分歧，正如宣告受难使他们跌倒一样：「这话甚难，谁能听呢？」</w:t>
      </w:r>
      <w:r>
        <w:rPr>
          <w:rStyle w:val="FootnoteReference"/>
        </w:rPr>
        <w:footnoteReference w:id="2323"/>
      </w:r>
      <w:r>
        <w:t xml:space="preserve">圣餐和十字架都是绊脚石。这是同一个奥秘，它始终是纷争的契机。「你们也要离去吗？」</w:t>
      </w:r>
      <w:r>
        <w:rPr>
          <w:rStyle w:val="FootnoteReference"/>
        </w:rPr>
        <w:footnoteReference w:id="2324"/>
      </w:r>
      <w:r>
        <w:t xml:space="preserve">主的问题在世代中回响，作为爱的邀请，让人发现唯独他有「永生的话」，</w:t>
      </w:r>
      <w:r>
        <w:rPr>
          <w:rStyle w:val="FootnoteReference"/>
        </w:rPr>
        <w:footnoteReference w:id="2325"/>
      </w:r>
      <w:r>
        <w:t xml:space="preserve">并以信心领受他圣餐的恩赐就是领受主自己。</w:t>
      </w:r>
    </w:p>
    <w:bookmarkEnd w:id="2326"/>
    <w:bookmarkStart w:id="2331" w:name="圣餐的建立"/>
    <w:p>
      <w:pPr>
        <w:pStyle w:val="Heading6"/>
      </w:pPr>
      <w:r>
        <w:t xml:space="preserve">圣餐的建立</w:t>
      </w:r>
    </w:p>
    <w:p>
      <w:pPr>
        <w:pStyle w:val="FirstParagraph"/>
      </w:pPr>
      <w:r>
        <w:t xml:space="preserve">主既然爱了世上属于自己的人，就爱他们到底。他知道离世归父的时刻已到，就在席间为他们洗脚，并赐给他们爱的诫命。</w:t>
      </w:r>
      <w:r>
        <w:rPr>
          <w:rStyle w:val="FootnoteReference"/>
        </w:rPr>
        <w:footnoteReference w:id="2327"/>
      </w:r>
      <w:r>
        <w:t xml:space="preserve">为了给他们留下这爱的保证，为了永不离开自己的人，并使他们分享自己的逾越，他建立了圣餐作为他死亡与复活的纪念，并命令他的使徒们庆祝这圣餐直到他再来；「这样，他就立他们为新约的祭司。」</w:t>
      </w:r>
      <w:r>
        <w:rPr>
          <w:rStyle w:val="FootnoteReference"/>
        </w:rPr>
        <w:footnoteReference w:id="2328"/>
      </w:r>
    </w:p>
    <w:p>
      <w:pPr>
        <w:pStyle w:val="BodyText"/>
      </w:pPr>
      <w:r>
        <w:t xml:space="preserve">三部对观福音和圣保罗将建立圣餐的记述传给了我们；圣约翰则记载了耶稣在迦百农会堂中为建立圣餐作准备的言论：基督称自己是从天降下的生命之粮。</w:t>
      </w:r>
      <w:r>
        <w:rPr>
          <w:rStyle w:val="FootnoteReference"/>
        </w:rPr>
        <w:footnoteReference w:id="2329"/>
      </w:r>
    </w:p>
    <w:p>
      <w:pPr>
        <w:pStyle w:val="BodyText"/>
      </w:pPr>
      <w:r>
        <w:t xml:space="preserve">耶稣选择了逾越节的时间来完成他在迦百农所宣告的事：将他的体和血赐给他的门徒：</w:t>
      </w:r>
    </w:p>
    <w:p>
      <w:pPr>
        <w:pStyle w:val="BlockText"/>
      </w:pPr>
      <w:r>
        <w:t xml:space="preserve">除酵节，必须宰杀逾越羊羔的那一天到了。耶稣打发彼得、约翰，说：「你们去为我们预备逾越节的筵席，好叫我们吃。」……他们就去预备了逾越节的筵席。时候到了，耶稣坐席，使徒也和他同坐。耶稣对他们说：「我很愿意在受害以先和你们吃这逾越节的筵席。我告诉你们，我不再吃这筵席，直到成就在神的国里。」……又拿起饼来，祝谢了，就擘开，递给他们，说：「这是我的身体，为你们舍的，你们也应当如此行，为的是记念我。」饭后，也照样拿起杯来，说：「这杯是用我血所立的新约，是为你们流出来的。」</w:t>
      </w:r>
      <w:r>
        <w:rPr>
          <w:rStyle w:val="FootnoteReference"/>
        </w:rPr>
        <w:footnoteReference w:id="2330"/>
      </w:r>
      <w:r>
        <w:t xml:space="preserve"> </w:t>
      </w:r>
      <w:r>
        <w:t xml:space="preserve">{ }</w:t>
      </w:r>
    </w:p>
    <w:p>
      <w:pPr>
        <w:pStyle w:val="FirstParagraph"/>
      </w:pPr>
      <w:r>
        <w:t xml:space="preserve">耶稣在逾越节晚餐中与他的使徒们共进最后的晚餐，使犹太人的逾越节获得了最终的意义。耶稣通过死亡和复活归向圣父，这就是新的逾越节，这一奥秘在最后的晚餐中被预示，并在圣餐中被庆祝。圣餐成全了犹太人的逾越节，也预示着教会在天国荣耀中最终的逾越节。</w:t>
      </w:r>
    </w:p>
    <w:bookmarkEnd w:id="2331"/>
    <w:bookmarkStart w:id="2336" w:name="你们也应当如此行为的是记念我"/>
    <w:p>
      <w:pPr>
        <w:pStyle w:val="Heading6"/>
      </w:pPr>
      <w:r>
        <w:t xml:space="preserve">「你们也应当如此行，为的是记念我」</w:t>
      </w:r>
    </w:p>
    <w:p>
      <w:pPr>
        <w:pStyle w:val="FirstParagraph"/>
      </w:pPr>
      <w:r>
        <w:t xml:space="preserve">耶稣命令人重复他的行动和言语「直到他来」，不仅要求我们纪念耶稣和他所做的事。这命令指向使徒们及其继承人对基督、他的生命、死亡、复活和他在父前代祷的纪念的礼仪庆祝。</w:t>
      </w:r>
      <w:r>
        <w:rPr>
          <w:rStyle w:val="FootnoteReference"/>
        </w:rPr>
        <w:footnoteReference w:id="2332"/>
      </w:r>
    </w:p>
    <w:p>
      <w:pPr>
        <w:pStyle w:val="BodyText"/>
      </w:pPr>
      <w:r>
        <w:t xml:space="preserve">教会从一开始就忠于主的命令。关于耶路撒冷的教会，经上记载：</w:t>
      </w:r>
    </w:p>
    <w:p>
      <w:pPr>
        <w:pStyle w:val="BlockText"/>
      </w:pPr>
      <w:r>
        <w:t xml:space="preserve">他们都恒心遵守使徒的教训，彼此交接，擘饼，祈祷……他们天天同心合意恒切地在殿里，且在家中擘饼，存着欢喜、诚实的心用饭。</w:t>
      </w:r>
      <w:r>
        <w:rPr>
          <w:rStyle w:val="FootnoteReference"/>
        </w:rPr>
        <w:footnoteReference w:id="2333"/>
      </w:r>
      <w:r>
        <w:t xml:space="preserve"> </w:t>
      </w:r>
      <w:r>
        <w:t xml:space="preserve">{ }</w:t>
      </w:r>
    </w:p>
    <w:p>
      <w:pPr>
        <w:pStyle w:val="FirstParagraph"/>
      </w:pPr>
      <w:r>
        <w:t xml:space="preserve">基督徒主要在「一周的第一天」，即主日——耶稣复活的日子——聚会「擘饼」。</w:t>
      </w:r>
      <w:r>
        <w:rPr>
          <w:rStyle w:val="FootnoteReference"/>
        </w:rPr>
        <w:footnoteReference w:id="2334"/>
      </w:r>
      <w:r>
        <w:t xml:space="preserve">从那时起直到今日，圣餐的庆祝一直延续，因此今天我们到处在教会中遇到具有相同基本结构的圣餐。它始终是教会生活的中心。</w:t>
      </w:r>
    </w:p>
    <w:p>
      <w:pPr>
        <w:pStyle w:val="BodyText"/>
      </w:pPr>
      <w:r>
        <w:t xml:space="preserve">这样，从一次庆祝到另一次庆祝，当他们宣告耶稣的逾越奥秘「直到他来」时，旅途中的神子民沿着「十字架的窄路」前进，</w:t>
      </w:r>
      <w:r>
        <w:rPr>
          <w:rStyle w:val="FootnoteReference"/>
        </w:rPr>
        <w:footnoteReference w:id="2335"/>
      </w:r>
      <w:r>
        <w:t xml:space="preserve">走向天上的盛宴，那时所有被选者将坐在天国的筵席上。</w:t>
      </w:r>
    </w:p>
    <w:bookmarkEnd w:id="2336"/>
    <w:bookmarkEnd w:id="2337"/>
    <w:bookmarkStart w:id="2352" w:name="四圣餐的礼仪庆祝"/>
    <w:p>
      <w:pPr>
        <w:pStyle w:val="Heading5"/>
      </w:pPr>
      <w:r>
        <w:t xml:space="preserve">四、圣餐的礼仪庆祝</w:t>
      </w:r>
    </w:p>
    <w:bookmarkStart w:id="2342" w:name="万世常存的弥撒"/>
    <w:p>
      <w:pPr>
        <w:pStyle w:val="Heading6"/>
      </w:pPr>
      <w:r>
        <w:t xml:space="preserve">万世常存的弥撒</w:t>
      </w:r>
    </w:p>
    <w:p>
      <w:pPr>
        <w:pStyle w:val="FirstParagraph"/>
      </w:pPr>
      <w:r>
        <w:t xml:space="preserve">早在二世纪，圣游斯丁的见证已为我们提供了圣餐庆典基本程序的记载。这些程序在所有重要的礼仪传统中保持至今。约公元 155 年，圣游斯丁致书异教徒皇帝安敦宁·毕尤（138-161 年），解释基督徒的作为：</w:t>
      </w:r>
    </w:p>
    <w:p>
      <w:pPr>
        <w:pStyle w:val="BlockText"/>
      </w:pPr>
      <w:r>
        <w:t xml:space="preserve">在我们称为太阳日的那一天，所有住在城市或乡村的人都聚集在同一个地方。</w:t>
      </w:r>
    </w:p>
    <w:p>
      <w:pPr>
        <w:pStyle w:val="BlockText"/>
      </w:pPr>
      <w:r>
        <w:t xml:space="preserve">使徒们的回忆录和先知们的著作被诵读，读多少取决于时间允许。</w:t>
      </w:r>
    </w:p>
    <w:p>
      <w:pPr>
        <w:pStyle w:val="BlockText"/>
      </w:pPr>
      <w:r>
        <w:t xml:space="preserve">读经的人读完后，带领聚会的人就劝勉并激励大家效法这些美好的事。</w:t>
      </w:r>
    </w:p>
    <w:p>
      <w:pPr>
        <w:pStyle w:val="BlockText"/>
      </w:pPr>
      <w:r>
        <w:t xml:space="preserve">然后我们大家一同起立，为我们自己……也为所有其他人，无论他们在哪里，献上祈祷，好叫我们因生活和行为被算为义，并忠于诫命，以获得永恒的救恩。</w:t>
      </w:r>
    </w:p>
    <w:p>
      <w:pPr>
        <w:pStyle w:val="BlockText"/>
      </w:pPr>
      <w:r>
        <w:t xml:space="preserve">祈祷结束后，我们彼此问安。</w:t>
      </w:r>
    </w:p>
    <w:p>
      <w:pPr>
        <w:pStyle w:val="BlockText"/>
      </w:pPr>
      <w:r>
        <w:t xml:space="preserve">接着有人把掺了水的饼和酒杯带到带领弟兄们的人面前。</w:t>
      </w:r>
    </w:p>
    <w:p>
      <w:pPr>
        <w:pStyle w:val="BlockText"/>
      </w:pPr>
      <w:r>
        <w:t xml:space="preserve">他接过来，藉着圣子和圣灵的名，向宇宙的父献上赞美和荣耀，并长时间地感谢（希腊文：</w:t>
      </w:r>
      <w:r>
        <w:rPr>
          <w:i/>
          <w:iCs/>
        </w:rPr>
        <w:t xml:space="preserve">eucharistian</w:t>
      </w:r>
      <w:r>
        <w:t xml:space="preserve">），因为我们被认为配得这些恩赐。</w:t>
      </w:r>
    </w:p>
    <w:p>
      <w:pPr>
        <w:pStyle w:val="BlockText"/>
      </w:pPr>
      <w:r>
        <w:t xml:space="preserve">当他结束祷告和感恩后，所有在场的人都齐声说：「阿们」。</w:t>
      </w:r>
    </w:p>
    <w:p>
      <w:pPr>
        <w:pStyle w:val="BlockText"/>
      </w:pPr>
      <w:r>
        <w:t xml:space="preserve">当带领者感恩后，众人回应，接着我们称为执事的人把「感恩过的」饼、酒和水分给在场的人，并带给缺席的人。</w:t>
      </w:r>
      <w:r>
        <w:rPr>
          <w:rStyle w:val="FootnoteReference"/>
        </w:rPr>
        <w:footnoteReference w:id="2338"/>
      </w:r>
    </w:p>
    <w:p>
      <w:pPr>
        <w:pStyle w:val="FirstParagraph"/>
      </w:pPr>
      <w:r>
        <w:t xml:space="preserve">圣餐礼仪按照一个基本结构展开，这一结构历经世纪保存至今。它包含形成根本统一体的两大核心部分： { }</w:t>
      </w:r>
    </w:p>
    <w:p>
      <w:pPr>
        <w:pStyle w:val="Compact"/>
        <w:numPr>
          <w:ilvl w:val="0"/>
          <w:numId w:val="1014"/>
        </w:numPr>
      </w:pPr>
      <w:r>
        <w:t xml:space="preserve">聚会，即圣道礼仪，包括读经、讲道和普世祈祷；</w:t>
      </w:r>
    </w:p>
    <w:p>
      <w:pPr>
        <w:pStyle w:val="Compact"/>
        <w:numPr>
          <w:ilvl w:val="0"/>
          <w:numId w:val="1014"/>
        </w:numPr>
      </w:pPr>
      <w:r>
        <w:t xml:space="preserve">圣祭礼仪，包括奉献饼和酒、祝圣感恩，以及领圣餐。 { }</w:t>
      </w:r>
    </w:p>
    <w:p>
      <w:pPr>
        <w:pStyle w:val="FirstParagraph"/>
      </w:pPr>
      <w:r>
        <w:t xml:space="preserve">圣道礼仪与圣祭礼仪共同构成「一个完整的敬拜行动」；</w:t>
      </w:r>
      <w:r>
        <w:rPr>
          <w:rStyle w:val="FootnoteReference"/>
        </w:rPr>
        <w:footnoteReference w:id="2339"/>
      </w:r>
      <w:r>
        <w:t xml:space="preserve">为我们摆设的圣餐桌，既是神之道的餐桌，也是主圣体的餐桌。</w:t>
      </w:r>
      <w:r>
        <w:rPr>
          <w:rStyle w:val="FootnoteReference"/>
        </w:rPr>
        <w:footnoteReference w:id="2340"/>
      </w:r>
    </w:p>
    <w:p>
      <w:pPr>
        <w:pStyle w:val="BodyText"/>
      </w:pPr>
      <w:r>
        <w:t xml:space="preserve">这岂不正是复活耶稣与门徒共进逾越晚餐时的行动轨迹吗？他与他们同行时讲解圣经；同坐席时「拿起饼来，祝谢了，擘开，递给他们」。</w:t>
      </w:r>
      <w:r>
        <w:rPr>
          <w:rStyle w:val="FootnoteReference"/>
        </w:rPr>
        <w:footnoteReference w:id="2341"/>
      </w:r>
    </w:p>
    <w:bookmarkEnd w:id="2342"/>
    <w:bookmarkStart w:id="2351" w:name="庆典的进程"/>
    <w:p>
      <w:pPr>
        <w:pStyle w:val="Heading6"/>
      </w:pPr>
      <w:r>
        <w:t xml:space="preserve">庆典的进程</w:t>
      </w:r>
    </w:p>
    <w:p>
      <w:pPr>
        <w:pStyle w:val="FirstParagraph"/>
      </w:pPr>
      <w:r>
        <w:rPr>
          <w:i/>
          <w:iCs/>
        </w:rPr>
        <w:t xml:space="preserve">全体聚集</w:t>
      </w:r>
      <w:r>
        <w:t xml:space="preserve">。基督徒为圣餐聚会共聚一处。基督亲自作为圣餐的主要施行者居首位。他是新约的大祭司；每次圣餐庆典都由他无形地主礼。主教或祭司*以基督元首的身份（in persona Christi capitis）*代表他主持聚会、读经后讲道、接受奉献并诵念圣餐祷文。所有参与者在庆典中各司其职：读经员、奉献者、分送圣餐者，以及以「阿们」表达参与的全体会众。</w:t>
      </w:r>
    </w:p>
    <w:p>
      <w:pPr>
        <w:pStyle w:val="BodyText"/>
      </w:pPr>
      <w:r>
        <w:rPr>
          <w:i/>
          <w:iCs/>
        </w:rPr>
        <w:t xml:space="preserve">圣道礼仪</w:t>
      </w:r>
      <w:r>
        <w:t xml:space="preserve">包含「先知的书卷」（即旧约）和「使徒的回忆录」（他们的书信与福音）。讲道是劝勉人接纳这真正神之道，</w:t>
      </w:r>
      <w:r>
        <w:rPr>
          <w:rStyle w:val="FootnoteReference"/>
        </w:rPr>
        <w:footnoteReference w:id="2343"/>
      </w:r>
      <w:r>
        <w:t xml:space="preserve">并付诸实践，随后依照使徒的话为众人代祷：「我劝你第一要为万人恳求、祷告、代求、祝谢，为君王和一切在位的也该如此。」</w:t>
      </w:r>
      <w:r>
        <w:rPr>
          <w:rStyle w:val="FootnoteReference"/>
        </w:rPr>
        <w:footnoteReference w:id="2344"/>
      </w:r>
    </w:p>
    <w:p>
      <w:pPr>
        <w:pStyle w:val="BodyText"/>
      </w:pPr>
      <w:r>
        <w:rPr>
          <w:i/>
          <w:iCs/>
        </w:rPr>
        <w:t xml:space="preserve">奉献礼</w:t>
      </w:r>
      <w:r>
        <w:t xml:space="preserve">（Offertory）。随后，饼酒有时以列队游行方式被送上祭坛；祭司将以基督之名在圣餐祭献中奉献这些礼品，它们将成圣为基督的体血。这正是基督在最后晚餐中的行动——「拿起饼和杯」。「当教会以感恩之心献上源自他造化的礼品时，唯有她向造物主献上这纯洁的祭品。」</w:t>
      </w:r>
      <w:r>
        <w:rPr>
          <w:rStyle w:val="FootnoteReference"/>
        </w:rPr>
        <w:footnoteReference w:id="2345"/>
      </w:r>
      <w:r>
        <w:t xml:space="preserve">在祭坛上的奉献重演了麦基洗德的举动，并将造物主的恩赐托付于基督手中——他的祭献使人类一切献祭的努力达至圆满。</w:t>
      </w:r>
    </w:p>
    <w:p>
      <w:pPr>
        <w:pStyle w:val="BodyText"/>
      </w:pPr>
      <w:r>
        <w:t xml:space="preserve">基督徒自古便携带饼酒与赈济品一同前来参与圣餐。这</w:t>
      </w:r>
      <w:r>
        <w:rPr>
          <w:i/>
          <w:iCs/>
        </w:rPr>
        <w:t xml:space="preserve">募捐</w:t>
      </w:r>
      <w:r>
        <w:t xml:space="preserve">的惯例始终合宜，它效法了基督「他本是富足的，却为你们成了贫穷」的榜样：</w:t>
      </w:r>
      <w:r>
        <w:rPr>
          <w:rStyle w:val="FootnoteReference"/>
        </w:rPr>
        <w:footnoteReference w:id="2346"/>
      </w:r>
    </w:p>
    <w:p>
      <w:pPr>
        <w:pStyle w:val="BlockText"/>
      </w:pPr>
      <w:r>
        <w:t xml:space="preserve">富裕且自愿者按各自意愿捐献。所募得之物交由主礼者用以援助孤儿寡妇、因病或其他缘故匮乏者、囚徒、客旅，简言之，一切有需要的人。</w:t>
      </w:r>
      <w:r>
        <w:rPr>
          <w:rStyle w:val="FootnoteReference"/>
        </w:rPr>
        <w:footnoteReference w:id="2347"/>
      </w:r>
    </w:p>
    <w:p>
      <w:pPr>
        <w:pStyle w:val="FirstParagraph"/>
      </w:pPr>
      <w:r>
        <w:rPr>
          <w:i/>
          <w:iCs/>
        </w:rPr>
        <w:t xml:space="preserve">圣餐祷文</w:t>
      </w:r>
      <w:r>
        <w:t xml:space="preserve">（anaphora）：随着圣餐祈祷——感恩与祝圣的祈祷——我们进入庆典的核心与高峰：</w:t>
      </w:r>
    </w:p>
    <w:p>
      <w:pPr>
        <w:pStyle w:val="BodyText"/>
      </w:pPr>
      <w:r>
        <w:t xml:space="preserve">在颂谢词中，教会藉着基督、在圣灵内为神的一切工程——创造、救赎与圣化——向圣父献上感恩。全体会众由此加入天上教会、众天使与众圣徒对至圣三一神永不止息的赞颂。</w:t>
      </w:r>
    </w:p>
    <w:p>
      <w:pPr>
        <w:pStyle w:val="BodyText"/>
      </w:pPr>
      <w:r>
        <w:t xml:space="preserve">在</w:t>
      </w:r>
      <w:r>
        <w:rPr>
          <w:i/>
          <w:iCs/>
        </w:rPr>
        <w:t xml:space="preserve">呼求圣灵祷词</w:t>
      </w:r>
      <w:r>
        <w:t xml:space="preserve">（epiclesis）中，教会祈求圣父派遣圣灵（或他祝福的大能</w:t>
      </w:r>
      <w:r>
        <w:rPr>
          <w:rStyle w:val="FootnoteReference"/>
        </w:rPr>
        <w:footnoteReference w:id="2348"/>
      </w:r>
      <w:r>
        <w:t xml:space="preserve">）临于饼酒之上，使它们藉圣灵的大能成为耶稣基督的体血，并使参与圣餐者成为一体一灵（某些礼仪传统将呼求圣灵祷词置于纪念祷文之后）。</w:t>
      </w:r>
    </w:p>
    <w:p>
      <w:pPr>
        <w:pStyle w:val="BodyText"/>
      </w:pPr>
      <w:r>
        <w:t xml:space="preserve">在</w:t>
      </w:r>
      <w:r>
        <w:rPr>
          <w:i/>
          <w:iCs/>
        </w:rPr>
        <w:t xml:space="preserve">建立圣餐叙述</w:t>
      </w:r>
      <w:r>
        <w:t xml:space="preserve">中，基督言语与行动的大能，以及圣灵的力量，使基督的体血、他在十字架上一次而永远奉献的祭献，以圣事方式实现在饼酒的形质下。</w:t>
      </w:r>
    </w:p>
    <w:p>
      <w:pPr>
        <w:pStyle w:val="BodyText"/>
      </w:pPr>
      <w:r>
        <w:t xml:space="preserve">随后的</w:t>
      </w:r>
      <w:r>
        <w:rPr>
          <w:i/>
          <w:iCs/>
        </w:rPr>
        <w:t xml:space="preserve">纪念祷文</w:t>
      </w:r>
      <w:r>
        <w:t xml:space="preserve">（anamnesis）里，教会追念基督耶稣的受难、复活与荣耀再来；她向圣父呈献圣子的祭献，使我们与他和好。</w:t>
      </w:r>
    </w:p>
    <w:p>
      <w:pPr>
        <w:pStyle w:val="BodyText"/>
      </w:pPr>
      <w:r>
        <w:t xml:space="preserve">在</w:t>
      </w:r>
      <w:r>
        <w:rPr>
          <w:i/>
          <w:iCs/>
        </w:rPr>
        <w:t xml:space="preserve">代祷词</w:t>
      </w:r>
      <w:r>
        <w:t xml:space="preserve">中，教会表明圣餐是与天上地下、生者死者的整个教会共融的庆典，也是与教会牧者——教宗、教区主教及其祭司团与执事、普世众主教及其教会——的共融。</w:t>
      </w:r>
    </w:p>
    <w:p>
      <w:pPr>
        <w:pStyle w:val="BodyText"/>
      </w:pPr>
      <w:r>
        <w:t xml:space="preserve">领圣餐前诵念主祷文并擘饼，信众领受「天降之粮」与「救恩之杯」——即基督为「世界的生命」所奉献的体血：</w:t>
      </w:r>
      <w:r>
        <w:rPr>
          <w:rStyle w:val="FootnoteReference"/>
        </w:rPr>
        <w:footnoteReference w:id="2349"/>
      </w:r>
    </w:p>
    <w:p>
      <w:pPr>
        <w:pStyle w:val="BlockText"/>
      </w:pPr>
      <w:r>
        <w:t xml:space="preserve">因这饼酒已成为圣餐（按古老表述称为「祝谢过的」），「我们称这食物为</w:t>
      </w:r>
      <w:r>
        <w:rPr>
          <w:i/>
          <w:iCs/>
        </w:rPr>
        <w:t xml:space="preserve">圣餐</w:t>
      </w:r>
      <w:r>
        <w:t xml:space="preserve">，除非人确信我们所教导的是真理，接受赦罪与重生的洗礼，并按基督的教导生活，否则不得参与。」</w:t>
      </w:r>
      <w:r>
        <w:rPr>
          <w:rStyle w:val="FootnoteReference"/>
        </w:rPr>
        <w:footnoteReference w:id="2350"/>
      </w:r>
    </w:p>
    <w:bookmarkEnd w:id="2351"/>
    <w:bookmarkEnd w:id="2352"/>
    <w:bookmarkStart w:id="2387" w:name="五圣事性祭献感恩纪念与临在"/>
    <w:p>
      <w:pPr>
        <w:pStyle w:val="Heading5"/>
      </w:pPr>
      <w:r>
        <w:t xml:space="preserve">五、圣事性祭献：感恩、纪念与临在</w:t>
      </w:r>
    </w:p>
    <w:p>
      <w:pPr>
        <w:pStyle w:val="FirstParagraph"/>
      </w:pPr>
      <w:r>
        <w:t xml:space="preserve">基督徒自古举行圣餐，其核心形式虽历经时代与礼仪的多元发展却始终未变，皆因我们深知必须遵从主在受难前夕所颁的诫命：「你们应行此礼，为纪念我。」</w:t>
      </w:r>
      <w:r>
        <w:rPr>
          <w:rStyle w:val="FootnoteReference"/>
        </w:rPr>
        <w:footnoteReference w:id="2353"/>
      </w:r>
    </w:p>
    <w:p>
      <w:pPr>
        <w:pStyle w:val="BodyText"/>
      </w:pPr>
      <w:r>
        <w:t xml:space="preserve">我们通过举行</w:t>
      </w:r>
      <w:r>
        <w:rPr>
          <w:i/>
          <w:iCs/>
        </w:rPr>
        <w:t xml:space="preserve">他祭献的纪念</w:t>
      </w:r>
      <w:r>
        <w:t xml:space="preserve">来践行主的命令。在此过程中，</w:t>
      </w:r>
      <w:r>
        <w:rPr>
          <w:i/>
          <w:iCs/>
        </w:rPr>
        <w:t xml:space="preserve">我们向圣父献上</w:t>
      </w:r>
      <w:r>
        <w:t xml:space="preserve">他赐予我们的受造之物——饼与酒，它们藉圣灵的大能与基督的言语，已成为基督的体血。基督由此真实而奥妙地</w:t>
      </w:r>
      <w:r>
        <w:rPr>
          <w:i/>
          <w:iCs/>
        </w:rPr>
        <w:t xml:space="preserve">临在</w:t>
      </w:r>
      <w:r>
        <w:t xml:space="preserve">。</w:t>
      </w:r>
    </w:p>
    <w:p>
      <w:pPr>
        <w:pStyle w:val="BodyText"/>
      </w:pPr>
      <w:r>
        <w:t xml:space="preserve">因此我们必须将圣餐视为： { }</w:t>
      </w:r>
    </w:p>
    <w:p>
      <w:pPr>
        <w:pStyle w:val="BodyText"/>
      </w:pPr>
      <w:r>
        <w:t xml:space="preserve">因此我们必须从三重维度理解圣餐： { }</w:t>
      </w:r>
    </w:p>
    <w:p>
      <w:pPr>
        <w:pStyle w:val="Compact"/>
        <w:numPr>
          <w:ilvl w:val="0"/>
          <w:numId w:val="1015"/>
        </w:numPr>
      </w:pPr>
      <w:r>
        <w:t xml:space="preserve">向</w:t>
      </w:r>
      <w:r>
        <w:rPr>
          <w:i/>
          <w:iCs/>
        </w:rPr>
        <w:t xml:space="preserve">圣父</w:t>
      </w:r>
      <w:r>
        <w:t xml:space="preserve">的感恩与赞颂；</w:t>
      </w:r>
    </w:p>
    <w:p>
      <w:pPr>
        <w:pStyle w:val="Compact"/>
        <w:numPr>
          <w:ilvl w:val="0"/>
          <w:numId w:val="1015"/>
        </w:numPr>
      </w:pPr>
      <w:r>
        <w:t xml:space="preserve">对</w:t>
      </w:r>
      <w:r>
        <w:rPr>
          <w:i/>
          <w:iCs/>
        </w:rPr>
        <w:t xml:space="preserve">基督</w:t>
      </w:r>
      <w:r>
        <w:t xml:space="preserve">及其奥体——教会的祭献性纪念；</w:t>
      </w:r>
    </w:p>
    <w:p>
      <w:pPr>
        <w:pStyle w:val="Compact"/>
        <w:numPr>
          <w:ilvl w:val="0"/>
          <w:numId w:val="1015"/>
        </w:numPr>
      </w:pPr>
      <w:r>
        <w:t xml:space="preserve">藉基督道与</w:t>
      </w:r>
      <w:r>
        <w:rPr>
          <w:i/>
          <w:iCs/>
        </w:rPr>
        <w:t xml:space="preserve">圣灵</w:t>
      </w:r>
      <w:r>
        <w:t xml:space="preserve">大能的基督临在。</w:t>
      </w:r>
    </w:p>
    <w:bookmarkStart w:id="2354" w:name="向圣父的感恩与赞颂"/>
    <w:p>
      <w:pPr>
        <w:pStyle w:val="Heading6"/>
      </w:pPr>
      <w:r>
        <w:t xml:space="preserve">向圣父的感恩与赞颂</w:t>
      </w:r>
    </w:p>
    <w:p>
      <w:pPr>
        <w:pStyle w:val="FirstParagraph"/>
      </w:pPr>
      <w:r>
        <w:t xml:space="preserve">圣餐是基督在十字架上完成的救恩圣事，也是为创造工程献上的感恩赞颂之祭。在圣餐祭献中，整个受造界透过基督的死亡与复活被呈献给圣父。教会藉着基督，能为神在受造界与人类中所成就的一切美善、光明与公义献上感恩的赞颂之祭。</w:t>
      </w:r>
    </w:p>
    <w:p>
      <w:pPr>
        <w:pStyle w:val="BodyText"/>
      </w:pPr>
      <w:r>
        <w:t xml:space="preserve">圣餐是向圣父献上的感恩祭，是教会为神的一切恩惠——他藉创造、救赎与圣化所完成的全部工程——表达谢意的祝福。『圣餐』（Eucharist）一词首要含义正是『感恩』。</w:t>
      </w:r>
    </w:p>
    <w:p>
      <w:pPr>
        <w:pStyle w:val="BodyText"/>
      </w:pPr>
      <w:r>
        <w:t xml:space="preserve">圣餐也是教会以整个受造界之名歌颂神荣耀的赞颂之祭。这赞颂之祭唯有通过基督才能实现：他将信众与自己的位格、赞颂与代祷结合，使向圣父献上的赞颂之祭得以</w:t>
      </w:r>
      <w:r>
        <w:rPr>
          <w:i/>
          <w:iCs/>
        </w:rPr>
        <w:t xml:space="preserve">藉着</w:t>
      </w:r>
      <w:r>
        <w:t xml:space="preserve">基督、</w:t>
      </w:r>
      <w:r>
        <w:rPr>
          <w:i/>
          <w:iCs/>
        </w:rPr>
        <w:t xml:space="preserve">与</w:t>
      </w:r>
      <w:r>
        <w:t xml:space="preserve">基督同在、并</w:t>
      </w:r>
      <w:r>
        <w:rPr>
          <w:i/>
          <w:iCs/>
        </w:rPr>
        <w:t xml:space="preserve">在</w:t>
      </w:r>
      <w:r>
        <w:t xml:space="preserve">基督里蒙悦纳。</w:t>
      </w:r>
    </w:p>
    <w:bookmarkEnd w:id="2354"/>
    <w:bookmarkStart w:id="2368" w:name="基督及其奥体教会的祭献性纪念"/>
    <w:p>
      <w:pPr>
        <w:pStyle w:val="Heading6"/>
      </w:pPr>
      <w:r>
        <w:t xml:space="preserve">基督及其奥体——教会的祭献性纪念</w:t>
      </w:r>
    </w:p>
    <w:p>
      <w:pPr>
        <w:pStyle w:val="FirstParagraph"/>
      </w:pPr>
      <w:r>
        <w:t xml:space="preserve">圣餐是基督逾越的纪念，是他唯一祭献在教会礼仪中的临在与圣事性奉献——这教会就是他的奥体。所有圣餐祷文在建立圣餐叙述后，都有一篇称为</w:t>
      </w:r>
      <w:r>
        <w:rPr>
          <w:i/>
          <w:iCs/>
        </w:rPr>
        <w:t xml:space="preserve">纪念祷文</w:t>
      </w:r>
      <w:r>
        <w:t xml:space="preserve">（anamnesis）的祈祷。</w:t>
      </w:r>
    </w:p>
    <w:p>
      <w:pPr>
        <w:pStyle w:val="BodyText"/>
      </w:pPr>
      <w:r>
        <w:t xml:space="preserve">圣经中的</w:t>
      </w:r>
      <w:r>
        <w:rPr>
          <w:i/>
          <w:iCs/>
        </w:rPr>
        <w:t xml:space="preserve">纪念</w:t>
      </w:r>
      <w:r>
        <w:t xml:space="preserve">不仅是对往事的回忆，更是宣告神为人所行的伟大作为。</w:t>
      </w:r>
      <w:r>
        <w:rPr>
          <w:rStyle w:val="FootnoteReference"/>
        </w:rPr>
        <w:footnoteReference w:id="2355"/>
      </w:r>
      <w:r>
        <w:t xml:space="preserve">在这些事件的礼仪庆祝中，它们以某种方式重现并成为现实。以色列正是这样理解其出离埃及的解放：每当庆祝逾越节，出埃及的事件便临现于信者的记忆，使他们生活与之契合。</w:t>
      </w:r>
    </w:p>
    <w:p>
      <w:pPr>
        <w:pStyle w:val="BodyText"/>
      </w:pPr>
      <w:r>
        <w:t xml:space="preserve">在新约中，纪念获得新意。当教会举行圣餐时，她纪念基督的逾越，并使基督在十字架上一次而永远奉献的祭献持续临在。</w:t>
      </w:r>
      <w:r>
        <w:rPr>
          <w:rStyle w:val="FootnoteReference"/>
        </w:rPr>
        <w:footnoteReference w:id="2356"/>
      </w:r>
      <w:r>
        <w:t xml:space="preserve">「每次在祭坛上举行基督我们的逾越羔羊受难的祭献，就是实行我们救赎的工程。」</w:t>
      </w:r>
      <w:r>
        <w:rPr>
          <w:rStyle w:val="FootnoteReference"/>
        </w:rPr>
        <w:footnoteReference w:id="2357"/>
      </w:r>
    </w:p>
    <w:p>
      <w:pPr>
        <w:pStyle w:val="BodyText"/>
      </w:pPr>
      <w:r>
        <w:t xml:space="preserve">因圣餐是基督逾越的纪念，故它也是祭献。圣餐的祭献特性显现在建立圣餐的言辞中：「这是我的身体，为你们而舍弃的」，「这杯是用我为你们流出的血而立的新约」。</w:t>
      </w:r>
      <w:r>
        <w:rPr>
          <w:rStyle w:val="FootnoteReference"/>
        </w:rPr>
        <w:footnoteReference w:id="2358"/>
      </w:r>
      <w:r>
        <w:t xml:space="preserve">圣餐中，基督赐予我们的正是他在十字架上为我们舍弃的身体，以及他「为众人倾流，以赦免罪恶」的血。</w:t>
      </w:r>
      <w:r>
        <w:rPr>
          <w:rStyle w:val="FootnoteReference"/>
        </w:rPr>
        <w:footnoteReference w:id="2359"/>
      </w:r>
    </w:p>
    <w:p>
      <w:pPr>
        <w:pStyle w:val="BodyText"/>
      </w:pPr>
      <w:r>
        <w:t xml:space="preserve">因此圣餐是祭献，因为它</w:t>
      </w:r>
      <w:r>
        <w:rPr>
          <w:i/>
          <w:iCs/>
        </w:rPr>
        <w:t xml:space="preserve">重现</w:t>
      </w:r>
      <w:r>
        <w:t xml:space="preserve">（使之临在）十字架的祭献，因为它是其</w:t>
      </w:r>
      <w:r>
        <w:rPr>
          <w:i/>
          <w:iCs/>
        </w:rPr>
        <w:t xml:space="preserve">纪念</w:t>
      </w:r>
      <w:r>
        <w:t xml:space="preserve">，并因为它</w:t>
      </w:r>
      <w:r>
        <w:rPr>
          <w:i/>
          <w:iCs/>
        </w:rPr>
        <w:t xml:space="preserve">施行</w:t>
      </w:r>
      <w:r>
        <w:t xml:space="preserve">其功效：</w:t>
      </w:r>
    </w:p>
    <w:p>
      <w:pPr>
        <w:pStyle w:val="BlockText"/>
      </w:pPr>
      <w:r>
        <w:t xml:space="preserve">基督我们的主神，曾一次将自己作为祭品，在十字架的祭坛上奉献给圣父，以完成永远的救赎。但因他的祭司职分不因死亡而终结，在最后晚餐「被出卖的那一夜」，他愿留给他的净配教会一个可见的祭献（按人性需要），藉此重现他将在十字架上一次完成的流血祭献，使其纪念永存于世，并将其救赎大能施行于我们每日所犯的罪过。</w:t>
      </w:r>
      <w:r>
        <w:rPr>
          <w:rStyle w:val="FootnoteReference"/>
        </w:rPr>
        <w:footnoteReference w:id="2360"/>
      </w:r>
    </w:p>
    <w:p>
      <w:pPr>
        <w:pStyle w:val="FirstParagraph"/>
      </w:pPr>
      <w:r>
        <w:t xml:space="preserve">基督的祭献与圣餐的祭献是</w:t>
      </w:r>
      <w:r>
        <w:rPr>
          <w:i/>
          <w:iCs/>
        </w:rPr>
        <w:t xml:space="preserve">同一祭献</w:t>
      </w:r>
      <w:r>
        <w:t xml:space="preserve">：「祭品是同一个：现在藉祭司的职分所奉献的，与当年在十字架上自我奉献的是同一位；只是奉献的方式不同。」「既然在这神圣的圣餐祭献中，所包含与以不流血方式奉献的，正是当年以流血方式在十字架祭坛上奉献的基督……这祭献确是具有赎罪功效的。」</w:t>
      </w:r>
      <w:r>
        <w:rPr>
          <w:rStyle w:val="FootnoteReference"/>
        </w:rPr>
        <w:footnoteReference w:id="2361"/>
      </w:r>
    </w:p>
    <w:p>
      <w:pPr>
        <w:pStyle w:val="BodyText"/>
      </w:pPr>
      <w:r>
        <w:rPr>
          <w:i/>
          <w:iCs/>
        </w:rPr>
        <w:t xml:space="preserve">圣餐也是教会的祭献</w:t>
      </w:r>
      <w:r>
        <w:t xml:space="preserve">。作为基督奥体的教会，参与其元首的奉献。与他一同，教会自身被全然奉献。她结合于基督向圣父为全人类的代祷。在圣餐中，基督的祭献也成为他奥体成员的祭献。信众的生命、赞颂、痛苦、祈祷与工作，都与基督及其全燔祭结合，从而获得新价值。祭坛上临在的基督祭献，使历代基督徒都能与他的奉献联合。</w:t>
      </w:r>
    </w:p>
    <w:p>
      <w:pPr>
        <w:pStyle w:val="BodyText"/>
      </w:pPr>
      <w:r>
        <w:t xml:space="preserve">在地下墓窟的艺术中，教会常被表现为一位祈祷的女子，双臂如祈祷姿势般伸展。如同基督在十字架上伸展双臂，教会藉着他、与他同在、在他内奉献自己，并为全人类代祷。</w:t>
      </w:r>
    </w:p>
    <w:p>
      <w:pPr>
        <w:pStyle w:val="BodyText"/>
      </w:pPr>
      <w:r>
        <w:rPr>
          <w:i/>
          <w:iCs/>
        </w:rPr>
        <w:t xml:space="preserve">整个教会与基督的奉献和代祷合而为一</w:t>
      </w:r>
      <w:r>
        <w:t xml:space="preserve">。既然教宗在教会内领受彼得的职务，他便与每次圣餐庆典相关联，在其中被提及作为普世教会合一的标记与仆人。地方</w:t>
      </w:r>
      <w:r>
        <w:rPr>
          <w:i/>
          <w:iCs/>
        </w:rPr>
        <w:t xml:space="preserve">主教</w:t>
      </w:r>
      <w:r>
        <w:t xml:space="preserve">始终对圣餐负责，即使由</w:t>
      </w:r>
      <w:r>
        <w:rPr>
          <w:i/>
          <w:iCs/>
        </w:rPr>
        <w:t xml:space="preserve">祭司</w:t>
      </w:r>
      <w:r>
        <w:t xml:space="preserve">主礼时亦然；提及主教之名是为表明他在祭司团辅佐下、偕同</w:t>
      </w:r>
      <w:r>
        <w:rPr>
          <w:i/>
          <w:iCs/>
        </w:rPr>
        <w:t xml:space="preserve">执事</w:t>
      </w:r>
      <w:r>
        <w:t xml:space="preserve">主持该地方教会的职务。团体也为所有与其共同奉献圣餐祭献的圣职人员代祷：</w:t>
      </w:r>
    </w:p>
    <w:p>
      <w:pPr>
        <w:pStyle w:val="BlockText"/>
      </w:pPr>
      <w:r>
        <w:t xml:space="preserve">唯有在主教或其委托者主持下举行的圣餐，方得视为合法。</w:t>
      </w:r>
      <w:r>
        <w:rPr>
          <w:rStyle w:val="FootnoteReference"/>
        </w:rPr>
        <w:footnoteReference w:id="2362"/>
      </w:r>
    </w:p>
    <w:p>
      <w:pPr>
        <w:pStyle w:val="BlockText"/>
      </w:pPr>
      <w:r>
        <w:t xml:space="preserve">藉着祭司们的职务，信徒们的属灵祭献在与基督——唯一中保——的祭献结合中得以完成。这祭献在圣餐中以不流血的方式、藉祭司的双手以整个教会之名圣事性地奉献，直到主亲自来临。</w:t>
      </w:r>
      <w:r>
        <w:rPr>
          <w:rStyle w:val="FootnoteReference"/>
        </w:rPr>
        <w:footnoteReference w:id="2363"/>
      </w:r>
    </w:p>
    <w:p>
      <w:pPr>
        <w:pStyle w:val="FirstParagraph"/>
      </w:pPr>
      <w:r>
        <w:t xml:space="preserve">与基督的奉献相结合的，不仅是在世的信徒，也包括已进入</w:t>
      </w:r>
      <w:r>
        <w:rPr>
          <w:i/>
          <w:iCs/>
        </w:rPr>
        <w:t xml:space="preserve">天上荣耀</w:t>
      </w:r>
      <w:r>
        <w:t xml:space="preserve">的圣徒。在与荣福童贞马利亚及众圣徒的共融和纪念中，教会奉献圣餐祭献。圣餐中，教会如同与马利亚同立于十字架下，与基督的奉献和代祷合而为一。</w:t>
      </w:r>
    </w:p>
    <w:p>
      <w:pPr>
        <w:pStyle w:val="BodyText"/>
      </w:pPr>
      <w:r>
        <w:t xml:space="preserve">圣餐祭献也为</w:t>
      </w:r>
      <w:r>
        <w:rPr>
          <w:i/>
          <w:iCs/>
        </w:rPr>
        <w:t xml:space="preserve">已亡信徒</w:t>
      </w:r>
      <w:r>
        <w:t xml:space="preserve">奉献，他们「虽在基督里去世，却尚未完全净化」，</w:t>
      </w:r>
      <w:r>
        <w:rPr>
          <w:rStyle w:val="FootnoteReference"/>
        </w:rPr>
        <w:footnoteReference w:id="2364"/>
      </w:r>
      <w:r>
        <w:t xml:space="preserve">好使他们能进入基督的光明与平安中：</w:t>
      </w:r>
    </w:p>
    <w:p>
      <w:pPr>
        <w:pStyle w:val="BlockText"/>
      </w:pPr>
      <w:r>
        <w:t xml:space="preserve">将我的躯体安放何处皆可！不必为此挂虑！我只求你们无论身处何地，都要在主的祭台前纪念我。</w:t>
      </w:r>
      <w:r>
        <w:rPr>
          <w:rStyle w:val="FootnoteReference"/>
        </w:rPr>
        <w:footnoteReference w:id="2365"/>
      </w:r>
    </w:p>
    <w:p>
      <w:pPr>
        <w:pStyle w:val="BlockText"/>
      </w:pPr>
      <w:r>
        <w:t xml:space="preserve">随后，我们（在圣餐祷文中）为安息的主教们及众已亡信徒祈祷，深信当神圣可畏的祭品临在时，这代祷将为灵魂带来极大益处……我们为亡者向神献上祈求时，若他们曾有过犯……我们献上为万人罪过牺牲的基督，从而使爱人的神对他们和我们广施慈恩。</w:t>
      </w:r>
      <w:r>
        <w:rPr>
          <w:rStyle w:val="FootnoteReference"/>
        </w:rPr>
        <w:footnoteReference w:id="2366"/>
      </w:r>
    </w:p>
    <w:p>
      <w:pPr>
        <w:pStyle w:val="FirstParagraph"/>
      </w:pPr>
      <w:r>
        <w:t xml:space="preserve">圣奥古斯丁精辟地总结了这一促使我们更完满参与救主祭献的教义——这祭献我们在圣餐中庆祝：</w:t>
      </w:r>
    </w:p>
    <w:p>
      <w:pPr>
        <w:pStyle w:val="BlockText"/>
      </w:pPr>
      <w:r>
        <w:t xml:space="preserve">这全然被救赎的城邦——圣徒的集会和团体，由那位取了奴仆形象的大祭司在苦难中为我们自我奉献，为使我们都成为如此伟大元首的肢体——被作为普世祭品献给神……这就是基督徒的祭献：「我们虽多，在基督里却是一个身体。」教会在信徒熟知的祭坛圣事中延续这祭献，由此显明：在她所奉献的祭品中，她自己也被奉献。</w:t>
      </w:r>
      <w:r>
        <w:rPr>
          <w:rStyle w:val="FootnoteReference"/>
        </w:rPr>
        <w:footnoteReference w:id="2367"/>
      </w:r>
    </w:p>
    <w:bookmarkEnd w:id="2368"/>
    <w:bookmarkStart w:id="2386" w:name="基督藉其道与圣灵大能的临在"/>
    <w:p>
      <w:pPr>
        <w:pStyle w:val="Heading6"/>
      </w:pPr>
      <w:r>
        <w:t xml:space="preserve">基督藉其道与圣灵大能的临在</w:t>
      </w:r>
    </w:p>
    <w:p>
      <w:pPr>
        <w:pStyle w:val="FirstParagraph"/>
      </w:pPr>
      <w:r>
        <w:t xml:space="preserve">「已死且已复活、现今在神右边代我们祈求的基督耶稣」，</w:t>
      </w:r>
      <w:r>
        <w:rPr>
          <w:rStyle w:val="FootnoteReference"/>
        </w:rPr>
        <w:footnoteReference w:id="2369"/>
      </w:r>
      <w:r>
        <w:t xml:space="preserve">以多种方式临在于他的教会：在他的道中，在教会「有两三人因我的名聚集」的祈祷中，</w:t>
      </w:r>
      <w:r>
        <w:rPr>
          <w:rStyle w:val="FootnoteReference"/>
        </w:rPr>
        <w:footnoteReference w:id="2370"/>
      </w:r>
      <w:r>
        <w:t xml:space="preserve">在贫困者、病患和囚徒身上，</w:t>
      </w:r>
      <w:r>
        <w:rPr>
          <w:rStyle w:val="FootnoteReference"/>
        </w:rPr>
        <w:footnoteReference w:id="2371"/>
      </w:r>
      <w:r>
        <w:t xml:space="preserve">在他建立的圣事中，在弥撒祭献内，也在圣职人员身上。但「他最卓越地临在于圣餐面饼形体内」。</w:t>
      </w:r>
      <w:r>
        <w:rPr>
          <w:rStyle w:val="FootnoteReference"/>
        </w:rPr>
        <w:footnoteReference w:id="2372"/>
      </w:r>
    </w:p>
    <w:p>
      <w:pPr>
        <w:pStyle w:val="BodyText"/>
      </w:pPr>
      <w:r>
        <w:t xml:space="preserve">基督临在于圣餐面饼形态下的方式是独一无二的。这使圣餐超越其他圣事，成为「灵修生活的圆满和所有圣事趋向的终向」。</w:t>
      </w:r>
      <w:r>
        <w:rPr>
          <w:rStyle w:val="FootnoteReference"/>
        </w:rPr>
        <w:footnoteReference w:id="2373"/>
      </w:r>
      <w:r>
        <w:t xml:space="preserve">在至圣圣餐中，「我们的主耶稣基督的体血，连同其灵魂与神性，亦即</w:t>
      </w:r>
      <w:r>
        <w:rPr>
          <w:i/>
          <w:iCs/>
        </w:rPr>
        <w:t xml:space="preserve">整个基督</w:t>
      </w:r>
      <w:r>
        <w:t xml:space="preserve">真实地、实在地、本质地临在」。</w:t>
      </w:r>
      <w:r>
        <w:rPr>
          <w:rStyle w:val="FootnoteReference"/>
        </w:rPr>
        <w:footnoteReference w:id="2374"/>
      </w:r>
      <w:r>
        <w:t xml:space="preserve">「这种临在被称为『真实的』——并非要排除其他临在方式仿佛它们不够真实，而是表明这是最圆满的临在：即基督作为神人，以</w:t>
      </w:r>
      <w:r>
        <w:rPr>
          <w:i/>
          <w:iCs/>
        </w:rPr>
        <w:t xml:space="preserve">实体性</w:t>
      </w:r>
      <w:r>
        <w:t xml:space="preserve">临在使自己完全且整体地呈现。」</w:t>
      </w:r>
      <w:r>
        <w:rPr>
          <w:rStyle w:val="FootnoteReference"/>
        </w:rPr>
        <w:footnoteReference w:id="2375"/>
      </w:r>
    </w:p>
    <w:p>
      <w:pPr>
        <w:pStyle w:val="BodyText"/>
      </w:pPr>
      <w:r>
        <w:t xml:space="preserve">正是通过饼酒转化为基督体血的质变（transubstantiation），基督临现于这圣事中。教父们坚定申明教会对基督道与圣灵大能实现这质变的效能的信仰。圣约翰·屈梭多模宣称：</w:t>
      </w:r>
    </w:p>
    <w:p>
      <w:pPr>
        <w:pStyle w:val="BlockText"/>
      </w:pPr>
      <w:r>
        <w:t xml:space="preserve">并非人使所献之物成为基督的体血，而是那位为我们被钉的基督自己。祭司以基督的身份说出这些话，但其能力与恩典属乎神。『这是我的身体』——此言转化了所献之物。</w:t>
      </w:r>
      <w:r>
        <w:rPr>
          <w:rStyle w:val="FootnoteReference"/>
        </w:rPr>
        <w:footnoteReference w:id="2376"/>
      </w:r>
    </w:p>
    <w:p>
      <w:pPr>
        <w:pStyle w:val="FirstParagraph"/>
      </w:pPr>
      <w:r>
        <w:t xml:space="preserve">圣安波罗修论及这转化时说：</w:t>
      </w:r>
    </w:p>
    <w:p>
      <w:pPr>
        <w:pStyle w:val="BlockText"/>
      </w:pPr>
      <w:r>
        <w:t xml:space="preserve">当确信此非自然形成之物，而是祝圣所成。祝福的大能超越自然，因祝福本身改变自然……基督的道既能从虚无创造未存之物，岂不能将现存之物转化为其它之物？赋予事物本质与改变其本性，二者同样彰显大能。</w:t>
      </w:r>
      <w:r>
        <w:rPr>
          <w:rStyle w:val="FootnoteReference"/>
        </w:rPr>
        <w:footnoteReference w:id="2377"/>
      </w:r>
    </w:p>
    <w:p>
      <w:pPr>
        <w:pStyle w:val="FirstParagraph"/>
      </w:pPr>
      <w:r>
        <w:t xml:space="preserve">特利腾大公会议总结公教信仰宣告：「因我们的救主基督明言他在面饼形态下所奉献的实为他的体，这始终是神教会的信仰，本神圣会议再次宣布：通过饼酒的祝圣，发生整个面饼实体转变为基督我主身体的实体、整个酒实体转变为他血的实体。这转变，圣而公之教会恰当地称之为实体转变（transubstantiation）。」</w:t>
      </w:r>
      <w:r>
        <w:rPr>
          <w:rStyle w:val="FootnoteReference"/>
        </w:rPr>
        <w:footnoteReference w:id="2378"/>
      </w:r>
    </w:p>
    <w:p>
      <w:pPr>
        <w:pStyle w:val="BodyText"/>
      </w:pPr>
      <w:r>
        <w:t xml:space="preserve">基督的圣餐临在始于祝圣时刻，并持续于圣餐面饼形态存续期间。基督完整地临在于每个形态中，也完整地临在于每个形态的各部分，因此擘饼并不分割基督。</w:t>
      </w:r>
      <w:r>
        <w:rPr>
          <w:rStyle w:val="FootnoteReference"/>
        </w:rPr>
        <w:footnoteReference w:id="2379"/>
      </w:r>
    </w:p>
    <w:p>
      <w:pPr>
        <w:pStyle w:val="BodyText"/>
      </w:pPr>
      <w:r>
        <w:rPr>
          <w:i/>
          <w:iCs/>
        </w:rPr>
        <w:t xml:space="preserve">圣餐敬奉</w:t>
      </w:r>
      <w:r>
        <w:t xml:space="preserve">。在弥撒礼仪中，我们以屈膝或深鞠躬等朝拜主的姿态，表达对基督真实临在于圣餐面饼形态下的信仰。「公教会始终并仍在圣餐圣事中行敬奉之仪，不仅在弥撒内，亦在弥撒外：以最崇敬的方式保存祝圣过的面饼，供信徒庄严朝拜，并举行圣餐游行。」</w:t>
      </w:r>
      <w:r>
        <w:rPr>
          <w:rStyle w:val="FootnoteReference"/>
        </w:rPr>
        <w:footnoteReference w:id="2380"/>
      </w:r>
    </w:p>
    <w:p>
      <w:pPr>
        <w:pStyle w:val="BodyText"/>
      </w:pPr>
      <w:r>
        <w:t xml:space="preserve">圣体龛最初是为在尊贵处保存圣餐，以便为病人和未能参礼者送圣餐。随着对基督真实临在于圣餐内信仰的深化，教会意识到朝拜圣餐面饼形态下临在之主的意义。因此圣体龛应设于教堂特别尊贵的位置，其设计应彰显并凸显基督真实临在于圣餐中的奥秘。</w:t>
      </w:r>
    </w:p>
    <w:p>
      <w:pPr>
        <w:pStyle w:val="BodyText"/>
      </w:pPr>
      <w:r>
        <w:t xml:space="preserve">基督愿意以这独特方式临在于教会，实为至宜。因基督即将以可见形态离开门徒，他愿赐予我们圣事性的临在；因他即将在十字架上奉献自己以拯救我们，他愿我们纪念他「爱到底」</w:t>
      </w:r>
      <w:r>
        <w:rPr>
          <w:rStyle w:val="FootnoteReference"/>
        </w:rPr>
        <w:footnoteReference w:id="2381"/>
      </w:r>
      <w:r>
        <w:t xml:space="preserve">甚至舍生的大爱。在圣餐临在中，他以表达并传递这爱的标记，奥妙地居于我们中间，作那位「爱我们，为我们舍弃自己」</w:t>
      </w:r>
      <w:r>
        <w:rPr>
          <w:rStyle w:val="FootnoteReference"/>
        </w:rPr>
        <w:footnoteReference w:id="2382"/>
      </w:r>
      <w:r>
        <w:t xml:space="preserve">的主：</w:t>
      </w:r>
    </w:p>
    <w:p>
      <w:pPr>
        <w:pStyle w:val="BlockText"/>
      </w:pPr>
      <w:r>
        <w:t xml:space="preserve">教会与世界亟需圣餐敬奉。耶稣在这爱的圣事中等待我们。切勿拒绝花时间在充满信心的朝拜与静观中去会晤他，并为世界的严重过犯与罪行作补赎。愿我们的朝拜永不止息。</w:t>
      </w:r>
      <w:r>
        <w:rPr>
          <w:rStyle w:val="FootnoteReference"/>
        </w:rPr>
        <w:footnoteReference w:id="2383"/>
      </w:r>
    </w:p>
    <w:p>
      <w:pPr>
        <w:pStyle w:val="FirstParagraph"/>
      </w:pPr>
      <w:r>
        <w:t xml:space="preserve">「圣托马斯指出：『基督的体血真实临在于这圣事中，非感官所能觉察，唯有</w:t>
      </w:r>
      <w:r>
        <w:rPr>
          <w:i/>
          <w:iCs/>
        </w:rPr>
        <w:t xml:space="preserve">凭信心</w:t>
      </w:r>
      <w:r>
        <w:t xml:space="preserve">依赖神的权威。』为此，圣区利罗在注释《路加福音》22:19（『这是我的身体，为你们而舍弃的』）时说：『勿疑此真实性，而应以信心接纳救主之言，因他既是真理，决无虚妄。』」</w:t>
      </w:r>
      <w:r>
        <w:rPr>
          <w:rStyle w:val="FootnoteReference"/>
        </w:rPr>
        <w:footnoteReference w:id="2384"/>
      </w:r>
    </w:p>
    <w:p>
      <w:pPr>
        <w:pStyle w:val="BlockText"/>
      </w:pPr>
      <w:r>
        <w:t xml:space="preserve">隐藏之神，我虔心朝拜，</w:t>
      </w:r>
      <w:r>
        <w:t xml:space="preserve"> </w:t>
      </w:r>
      <w:r>
        <w:t xml:space="preserve">形影虽虚，尊威仍昭，</w:t>
      </w:r>
      <w:r>
        <w:t xml:space="preserve"> </w:t>
      </w:r>
      <w:r>
        <w:t xml:space="preserve">俯伏主前，赤心呈奉，</w:t>
      </w:r>
      <w:r>
        <w:t xml:space="preserve"> </w:t>
      </w:r>
      <w:r>
        <w:t xml:space="preserve">惊愕不已，因尔是神。</w:t>
      </w:r>
    </w:p>
    <w:p>
      <w:pPr>
        <w:pStyle w:val="BlockText"/>
      </w:pPr>
      <w:r>
        <w:t xml:space="preserve">目视手触，味觉皆误，</w:t>
      </w:r>
      <w:r>
        <w:t xml:space="preserve"> </w:t>
      </w:r>
      <w:r>
        <w:t xml:space="preserve">可信赖者，唯听主诉，</w:t>
      </w:r>
      <w:r>
        <w:t xml:space="preserve"> </w:t>
      </w:r>
      <w:r>
        <w:t xml:space="preserve">神子所言，我信为真，</w:t>
      </w:r>
      <w:r>
        <w:t xml:space="preserve"> </w:t>
      </w:r>
      <w:r>
        <w:t xml:space="preserve">真理亲述，岂有虚文。</w:t>
      </w:r>
      <w:r>
        <w:rPr>
          <w:rStyle w:val="FootnoteReference"/>
        </w:rPr>
        <w:footnoteReference w:id="2385"/>
      </w:r>
    </w:p>
    <w:bookmarkEnd w:id="2386"/>
    <w:bookmarkEnd w:id="2387"/>
    <w:bookmarkStart w:id="2418" w:name="六逾越盛宴"/>
    <w:p>
      <w:pPr>
        <w:pStyle w:val="Heading5"/>
      </w:pPr>
      <w:r>
        <w:t xml:space="preserve">六、逾越盛宴</w:t>
      </w:r>
    </w:p>
    <w:p>
      <w:pPr>
        <w:pStyle w:val="FirstParagraph"/>
      </w:pPr>
      <w:r>
        <w:t xml:space="preserve">弥撒同时且不可分割地是延续十字架祭献的牺牲纪念，也是与主圣体圣血共融的神圣盛宴。但圣餐祭献的庆祝全然导向信众通过领圣餐与基督亲密结合。领圣餐就是领受那为我们自我奉献的基督本身。</w:t>
      </w:r>
    </w:p>
    <w:p>
      <w:pPr>
        <w:pStyle w:val="BodyText"/>
      </w:pPr>
      <w:r>
        <w:rPr>
          <w:i/>
          <w:iCs/>
        </w:rPr>
        <w:t xml:space="preserve">祭坛</w:t>
      </w:r>
      <w:r>
        <w:t xml:space="preserve">——教会举行圣餐时围绕的中心——象征同一奥秘的双重幅度：既是祭献之坛，亦是主之餐桌。这象征意义因基督祭坛本身就是基督的标记而更显深刻：他临在于信徒聚会中，既是为我们和好而奉献的牺牲，又是赐予我们作食粮的天上神粮。「基督的祭坛若非基督身体的象征，又是什么？」</w:t>
      </w:r>
      <w:r>
        <w:rPr>
          <w:rStyle w:val="FootnoteReference"/>
        </w:rPr>
        <w:footnoteReference w:id="2388"/>
      </w:r>
      <w:r>
        <w:t xml:space="preserve">圣安波罗修反问。他另处言：「祭坛象征（基督的）身体，而基督的身体就在祭坛上。」</w:t>
      </w:r>
      <w:r>
        <w:rPr>
          <w:rStyle w:val="FootnoteReference"/>
        </w:rPr>
        <w:footnoteReference w:id="2389"/>
      </w:r>
      <w:r>
        <w:t xml:space="preserve">礼仪在多处祈祷中表达这祭献与共融的合一。罗马教会在其圣餐祷文中如此祈求：</w:t>
      </w:r>
    </w:p>
    <w:p>
      <w:pPr>
        <w:pStyle w:val="BlockText"/>
      </w:pPr>
      <w:r>
        <w:t xml:space="preserve">全能的神，</w:t>
      </w:r>
      <w:r>
        <w:t xml:space="preserve"> </w:t>
      </w:r>
      <w:r>
        <w:t xml:space="preserve">我们恳求你差遣圣天使，</w:t>
      </w:r>
      <w:r>
        <w:t xml:space="preserve"> </w:t>
      </w:r>
      <w:r>
        <w:t xml:space="preserve">将这祭品呈献于你天上的祭坛，</w:t>
      </w:r>
      <w:r>
        <w:t xml:space="preserve"> </w:t>
      </w:r>
      <w:r>
        <w:t xml:space="preserve">在你神性尊威前；</w:t>
      </w:r>
      <w:r>
        <w:t xml:space="preserve"> </w:t>
      </w:r>
      <w:r>
        <w:t xml:space="preserve">使我们凡在此祭坛领受</w:t>
      </w:r>
      <w:r>
        <w:t xml:space="preserve"> </w:t>
      </w:r>
      <w:r>
        <w:t xml:space="preserve">你圣子至圣体血者，</w:t>
      </w:r>
      <w:r>
        <w:t xml:space="preserve"> </w:t>
      </w:r>
      <w:r>
        <w:t xml:space="preserve">充满一切天恩与圣宠。</w:t>
      </w:r>
      <w:r>
        <w:rPr>
          <w:rStyle w:val="FootnoteReference"/>
        </w:rPr>
        <w:footnoteReference w:id="2390"/>
      </w:r>
    </w:p>
    <w:bookmarkStart w:id="2400" w:name="你们大家拿去吃领圣餐"/>
    <w:p>
      <w:pPr>
        <w:pStyle w:val="Heading6"/>
      </w:pPr>
      <w:r>
        <w:t xml:space="preserve">「你们大家拿去吃」：领圣餐</w:t>
      </w:r>
    </w:p>
    <w:p>
      <w:pPr>
        <w:pStyle w:val="FirstParagraph"/>
      </w:pPr>
      <w:r>
        <w:t xml:space="preserve">主向我们发出邀请，敦促我们在圣餐中领受他：「我实实在在地告诉你们，你们若不吃人子的肉，不喝人子的血，就没有生命在你们里面。」</w:t>
      </w:r>
      <w:r>
        <w:rPr>
          <w:rStyle w:val="FootnoteReference"/>
        </w:rPr>
        <w:footnoteReference w:id="2391"/>
      </w:r>
    </w:p>
    <w:p>
      <w:pPr>
        <w:pStyle w:val="BodyText"/>
      </w:pPr>
      <w:r>
        <w:t xml:space="preserve">为回应这一邀请，我们必须</w:t>
      </w:r>
      <w:r>
        <w:rPr>
          <w:i/>
          <w:iCs/>
        </w:rPr>
        <w:t xml:space="preserve">预备自己</w:t>
      </w:r>
      <w:r>
        <w:t xml:space="preserve">迎接如此伟大而神圣的时刻。圣保罗敦促我们省察良心：「所以无论何人，不按理吃主的饼、喝主的杯，就是干犯主的身、主的血了。人应当自己省察，然后吃这饼、喝这杯。因为人吃喝，若不分辨是主的身体，就是吃喝自己的罪了。」</w:t>
      </w:r>
      <w:r>
        <w:rPr>
          <w:rStyle w:val="FootnoteReference"/>
        </w:rPr>
        <w:footnoteReference w:id="2392"/>
      </w:r>
      <w:r>
        <w:t xml:space="preserve">凡意识到自己犯了大罪的人，必须先领受和好圣事，方可前来领圣餐。</w:t>
      </w:r>
    </w:p>
    <w:p>
      <w:pPr>
        <w:pStyle w:val="BodyText"/>
      </w:pPr>
      <w:r>
        <w:t xml:space="preserve">面对如此伟大的圣事，信众只能以谦卑和炽热的信心重复百夫长的话：</w:t>
      </w:r>
      <w:r>
        <w:rPr>
          <w:i/>
          <w:iCs/>
        </w:rPr>
        <w:t xml:space="preserve">「主，我当不起你到我舍下来，只要你说一句话，我的灵魂就会痊愈。」</w:t>
      </w:r>
      <w:r>
        <w:rPr>
          <w:rStyle w:val="FootnoteReference"/>
        </w:rPr>
        <w:footnoteReference w:id="2393"/>
      </w:r>
      <w:r>
        <w:t xml:space="preserve">在金口圣约翰的圣餐礼仪中，信众以同样心绪祈祷：</w:t>
      </w:r>
    </w:p>
    <w:p>
      <w:pPr>
        <w:pStyle w:val="BlockText"/>
      </w:pPr>
      <w:r>
        <w:t xml:space="preserve">神之子啊，求你今天使我与你奥秘的晚餐共融。我不会像叛徒犹大那样向你的敌人泄露奥秘，也不会以虚吻出卖你。我要像那善盗般呼喊：「耶稣，当你来为王时，请你纪念我。」</w:t>
      </w:r>
    </w:p>
    <w:p>
      <w:pPr>
        <w:pStyle w:val="FirstParagraph"/>
      </w:pPr>
      <w:r>
        <w:t xml:space="preserve">为妥善领受这圣事，信众应遵守教会规定的斋戒。</w:t>
      </w:r>
      <w:r>
        <w:rPr>
          <w:rStyle w:val="FootnoteReference"/>
        </w:rPr>
        <w:footnoteReference w:id="2394"/>
      </w:r>
      <w:r>
        <w:t xml:space="preserve">身体姿态（动作、衣着）应表达出基督成为我们宾客时的那份尊重、庄严与喜乐。</w:t>
      </w:r>
    </w:p>
    <w:p>
      <w:pPr>
        <w:pStyle w:val="BodyText"/>
      </w:pPr>
      <w:r>
        <w:t xml:space="preserve">按照圣餐的本有意义，具备适当准备的信众</w:t>
      </w:r>
      <w:r>
        <w:rPr>
          <w:rStyle w:val="FootnoteReference"/>
        </w:rPr>
        <w:footnoteReference w:id="2395"/>
      </w:r>
      <w:r>
        <w:t xml:space="preserve">，在参与弥撒时</w:t>
      </w:r>
      <w:r>
        <w:rPr>
          <w:i/>
          <w:iCs/>
        </w:rPr>
        <w:t xml:space="preserve">应领圣餐</w:t>
      </w:r>
      <w:r>
        <w:t xml:space="preserve">。</w:t>
      </w:r>
      <w:r>
        <w:rPr>
          <w:rStyle w:val="FootnoteReference"/>
        </w:rPr>
        <w:footnoteReference w:id="2396"/>
      </w:r>
      <w:r>
        <w:t xml:space="preserve">正如梵蒂冈第二届大公会议所言：「更完善的参与弥撒方式，是信徒在祭司领圣餐后，从同一祭献中恭领主的圣餐，此法应极力推崇。」</w:t>
      </w:r>
      <w:r>
        <w:rPr>
          <w:rStyle w:val="FootnoteReference"/>
        </w:rPr>
        <w:footnoteReference w:id="2397"/>
      </w:r>
    </w:p>
    <w:p>
      <w:pPr>
        <w:pStyle w:val="BodyText"/>
      </w:pPr>
      <w:r>
        <w:t xml:space="preserve">教会要求信众在主日及庆节参与神圣礼仪，并妥善告解后，每年至少领圣餐一次，最好在复活期内。</w:t>
      </w:r>
      <w:r>
        <w:rPr>
          <w:rStyle w:val="FootnoteReference"/>
        </w:rPr>
        <w:footnoteReference w:id="2398"/>
      </w:r>
      <w:r>
        <w:t xml:space="preserve">但教会极力鼓励信众在主日及庆节领圣餐，甚或更频繁，直至每日领受。</w:t>
      </w:r>
    </w:p>
    <w:p>
      <w:pPr>
        <w:pStyle w:val="BodyText"/>
      </w:pPr>
      <w:r>
        <w:t xml:space="preserve">因基督完整临在于圣餐的每个形态下，仅领受面饼形态亦能获得圣餐圣事的全部恩典效果。基于牧灵考量，拉丁礼以此作为最普遍的领圣餐方式。但「兼领饼酒形态能更完整地表达圣餐共融的标记，因为这样更能彰显圣餐筵席的意义。」</w:t>
      </w:r>
      <w:r>
        <w:rPr>
          <w:rStyle w:val="FootnoteReference"/>
        </w:rPr>
        <w:footnoteReference w:id="2399"/>
      </w:r>
      <w:r>
        <w:t xml:space="preserve">这则是东方礼常规的领圣餐方式。</w:t>
      </w:r>
    </w:p>
    <w:bookmarkEnd w:id="2400"/>
    <w:bookmarkStart w:id="2417" w:name="领圣餐的功效"/>
    <w:p>
      <w:pPr>
        <w:pStyle w:val="Heading6"/>
      </w:pPr>
      <w:r>
        <w:t xml:space="preserve">领圣餐的功效</w:t>
      </w:r>
    </w:p>
    <w:p>
      <w:pPr>
        <w:pStyle w:val="FirstParagraph"/>
      </w:pPr>
      <w:r>
        <w:rPr>
          <w:i/>
          <w:iCs/>
        </w:rPr>
        <w:t xml:space="preserve">领圣餐增进我们与基督的结合</w:t>
      </w:r>
      <w:r>
        <w:t xml:space="preserve">。领圣餐的主要效果是与基督耶稣亲密结合。主曾说：「谁吃我的肉，并喝我的血，便住在我内，我也住在他内。」</w:t>
      </w:r>
      <w:r>
        <w:rPr>
          <w:rStyle w:val="FootnoteReference"/>
        </w:rPr>
        <w:footnoteReference w:id="2401"/>
      </w:r>
      <w:r>
        <w:t xml:space="preserve">在基督里的生命以圣餐筵席为基础：「就如永生的父派遣了我，我因父而生活；照样，那吃我的人，也要因我而生活。」</w:t>
      </w:r>
      <w:r>
        <w:rPr>
          <w:rStyle w:val="FootnoteReference"/>
        </w:rPr>
        <w:footnoteReference w:id="2402"/>
      </w:r>
    </w:p>
    <w:p>
      <w:pPr>
        <w:pStyle w:val="BlockText"/>
      </w:pPr>
      <w:r>
        <w:t xml:space="preserve">在主的庆节上，当信徒领受圣子的身体时，他们彼此宣告福音，正如天使对抹大拉的马利亚所说：「基督复活了！」如今，凡领受基督的人，也同样得着生命与复活。</w:t>
      </w:r>
      <w:r>
        <w:rPr>
          <w:rStyle w:val="FootnoteReference"/>
        </w:rPr>
        <w:footnoteReference w:id="2403"/>
      </w:r>
    </w:p>
    <w:p>
      <w:pPr>
        <w:pStyle w:val="FirstParagraph"/>
      </w:pPr>
      <w:r>
        <w:t xml:space="preserve">物质食粮滋养我们肉身的生命，圣餐则以奇妙方式滋养我们的灵性生命。与复活基督的体血共融——这体血「藉圣灵而生活并赋予生命」</w:t>
      </w:r>
      <w:r>
        <w:rPr>
          <w:rStyle w:val="FootnoteReference"/>
        </w:rPr>
        <w:footnoteReference w:id="2404"/>
      </w:r>
      <w:r>
        <w:t xml:space="preserve">——保存、增长并更新我们在洗礼中领受的恩典生命。基督徒生命的成长需要圣餐共融的滋养，这是我们今世旅途的食粮，直到临终时它将成为我们的临终圣餐。</w:t>
      </w:r>
    </w:p>
    <w:p>
      <w:pPr>
        <w:pStyle w:val="BodyText"/>
      </w:pPr>
      <w:r>
        <w:rPr>
          <w:i/>
          <w:iCs/>
        </w:rPr>
        <w:t xml:space="preserve">领圣餐使我们远离罪恶</w:t>
      </w:r>
      <w:r>
        <w:t xml:space="preserve">。我们在圣餐中领受的基督圣餐是「为你们而舍弃的」，所饮的圣血是「为大众倾流，以赦免罪过」。因此，圣餐在使我们与基督结合的同时，也洁净我们以往的罪过，并保护我们免陷于将来的罪：</w:t>
      </w:r>
    </w:p>
    <w:p>
      <w:pPr>
        <w:pStyle w:val="BlockText"/>
      </w:pPr>
      <w:r>
        <w:t xml:space="preserve">我们每次吃这饼、喝这杯，就是宣告主的死。若我们宣告主的死，就是宣告罪的赦免。既然每次倾流他的圣血都是为了赦罪，我就该常领受，好使我的罪过常得赦免。因为我常有罪过，就该常有良药。</w:t>
      </w:r>
      <w:r>
        <w:rPr>
          <w:rStyle w:val="FootnoteReference"/>
        </w:rPr>
        <w:footnoteReference w:id="2405"/>
      </w:r>
    </w:p>
    <w:p>
      <w:pPr>
        <w:pStyle w:val="FirstParagraph"/>
      </w:pPr>
      <w:r>
        <w:t xml:space="preserve">正如饮食恢复体力，圣餐也强化我们在日常生活中易被削弱的仁爱；这活泼的仁爱</w:t>
      </w:r>
      <w:r>
        <w:rPr>
          <w:i/>
          <w:iCs/>
        </w:rPr>
        <w:t xml:space="preserve">能消除小罪</w:t>
      </w:r>
      <w:r>
        <w:t xml:space="preserve">。</w:t>
      </w:r>
      <w:r>
        <w:rPr>
          <w:rStyle w:val="FootnoteReference"/>
        </w:rPr>
        <w:footnoteReference w:id="2406"/>
      </w:r>
      <w:r>
        <w:t xml:space="preserve">基督将自己赐予我们，重燃我们的爱火，使我们能斩断对受造物的错乱依恋，并在他内生根：</w:t>
      </w:r>
    </w:p>
    <w:p>
      <w:pPr>
        <w:pStyle w:val="BlockText"/>
      </w:pPr>
      <w:r>
        <w:t xml:space="preserve">基督既因爱为我们受死，当我们在献祭之时纪念他受死，就祈求圣灵降临，将这爱赐给我们。我们谦卑祷告，愿我们靠着基督甘心为我们受死的爱得以刚强，藉着领受圣灵的恩赐，看这世界向我们已经钉十字架，我们向世界也已钉十字架……既蒙赐爱，就当向罪死，为神而活。</w:t>
      </w:r>
      <w:r>
        <w:rPr>
          <w:rStyle w:val="FootnoteReference"/>
        </w:rPr>
        <w:footnoteReference w:id="2407"/>
      </w:r>
    </w:p>
    <w:p>
      <w:pPr>
        <w:pStyle w:val="FirstParagraph"/>
      </w:pPr>
      <w:r>
        <w:t xml:space="preserve">圣餐所激发的仁爱，</w:t>
      </w:r>
      <w:r>
        <w:rPr>
          <w:i/>
          <w:iCs/>
        </w:rPr>
        <w:t xml:space="preserve">保护我们免犯大罪</w:t>
      </w:r>
      <w:r>
        <w:t xml:space="preserve">。我们越分享基督的生命，越增进与他的友谊，就越难因大罪与他决裂。圣餐本非为赦免大罪——那是和好圣事的功效。圣餐本质上是与教会完全共融者的圣事。</w:t>
      </w:r>
    </w:p>
    <w:p>
      <w:pPr>
        <w:pStyle w:val="BodyText"/>
      </w:pPr>
      <w:r>
        <w:rPr>
          <w:i/>
          <w:iCs/>
        </w:rPr>
        <w:t xml:space="preserve">奥体的合一：教会由圣餐而生</w:t>
      </w:r>
      <w:r>
        <w:t xml:space="preserve">。领圣餐者与基督更紧密结合。基督藉此使他们与所有信众在同一个身体——教会——内合而为一。圣餐共融更新、强化并深化这自洗礼开始的教会融入。在洗礼中，我们蒙召组成一个身体。</w:t>
      </w:r>
      <w:r>
        <w:rPr>
          <w:rStyle w:val="FootnoteReference"/>
        </w:rPr>
        <w:footnoteReference w:id="2408"/>
      </w:r>
      <w:r>
        <w:t xml:space="preserve">圣餐实现这召叫：「我们所祝福的那祝福之杯，岂不是共结合于基督的血吗？我们所擘开的饼，岂不是共结合于基督的身体吗？因为饼只是一个，我们虽多，只是一个身体，因为我们众人都共享这一个饼。」</w:t>
      </w:r>
      <w:r>
        <w:rPr>
          <w:rStyle w:val="FootnoteReference"/>
        </w:rPr>
        <w:footnoteReference w:id="2409"/>
      </w:r>
    </w:p>
    <w:p>
      <w:pPr>
        <w:pStyle w:val="BlockText"/>
      </w:pPr>
      <w:r>
        <w:t xml:space="preserve">你们若是基督的身体和肢体，放在主餐桌上的就是你们的圣事；你们领受的正是你们的圣事。你们对「你们所是的」回答「阿们」（「是的，这是真实的！」），这回应就是你们的承诺。你们听到「基督的身体」时回答「阿们」。那么，成为基督身体的肢体吧，好使你们的</w:t>
      </w:r>
      <w:r>
        <w:rPr>
          <w:i/>
          <w:iCs/>
        </w:rPr>
        <w:t xml:space="preserve">阿们</w:t>
      </w:r>
      <w:r>
        <w:t xml:space="preserve">真实无妄。</w:t>
      </w:r>
      <w:r>
        <w:rPr>
          <w:rStyle w:val="FootnoteReference"/>
        </w:rPr>
        <w:footnoteReference w:id="2410"/>
      </w:r>
      <w:r>
        <w:t xml:space="preserve"> </w:t>
      </w:r>
      <w:r>
        <w:t xml:space="preserve">{ }</w:t>
      </w:r>
    </w:p>
    <w:p>
      <w:pPr>
        <w:pStyle w:val="FirstParagraph"/>
      </w:pPr>
      <w:r>
        <w:rPr>
          <w:i/>
          <w:iCs/>
        </w:rPr>
        <w:t xml:space="preserve">圣餐使我们委身于穷人</w:t>
      </w:r>
      <w:r>
        <w:t xml:space="preserve">。要真实地领受为我们舍下的基督的体和血，我们必须在最贫穷的人——他的弟兄们身上认出基督：</w:t>
      </w:r>
    </w:p>
    <w:p>
      <w:pPr>
        <w:pStyle w:val="BlockText"/>
      </w:pPr>
      <w:r>
        <w:t xml:space="preserve">你们已品尝了主的血，却不认得自己的弟兄……当你们不认为某人配分享你们的食物时，便是亵渎这餐桌，尽管这人已被判定配参与此宴席……神赦免了你们的一切罪过，邀请你们来到这里，你们却没有变得更加仁慈。</w:t>
      </w:r>
      <w:r>
        <w:rPr>
          <w:rStyle w:val="FootnoteReference"/>
        </w:rPr>
        <w:footnoteReference w:id="2411"/>
      </w:r>
    </w:p>
    <w:p>
      <w:pPr>
        <w:pStyle w:val="FirstParagraph"/>
      </w:pPr>
      <w:r>
        <w:rPr>
          <w:i/>
          <w:iCs/>
        </w:rPr>
        <w:t xml:space="preserve">圣餐与基督徒的合一</w:t>
      </w:r>
      <w:r>
        <w:t xml:space="preserve">。面对这伟大奥秘，圣奥古斯丁感叹：</w:t>
      </w:r>
      <w:r>
        <w:rPr>
          <w:i/>
          <w:iCs/>
        </w:rPr>
        <w:t xml:space="preserve">「敬虔的圣事！合一的标记！仁爱的联系！」</w:t>
      </w:r>
      <w:r>
        <w:rPr>
          <w:rStyle w:val="FootnoteReference"/>
        </w:rPr>
        <w:footnoteReference w:id="2412"/>
      </w:r>
      <w:r>
        <w:t xml:space="preserve">因分裂而无法共同参与主餐桌的痛苦经验越深，我们向主祈求所有信众重获完全合一的时日便越显迫切。</w:t>
      </w:r>
    </w:p>
    <w:p>
      <w:pPr>
        <w:pStyle w:val="BodyText"/>
      </w:pPr>
      <w:r>
        <w:t xml:space="preserve">那些尚未与公教会完全共融的东方教会，以极大的热忱举行圣餐。「这些教会虽与我们分离，却仍保有真正的圣事，尤其是藉使徒传承而来的祭司职和圣餐，因此与我们保持着最密切的联系。」在一定条件下，经教会当局批准，</w:t>
      </w:r>
      <w:r>
        <w:rPr>
          <w:i/>
          <w:iCs/>
        </w:rPr>
        <w:t xml:space="preserve">在圣事上</w:t>
      </w:r>
      <w:r>
        <w:t xml:space="preserve">，即在圣餐中的共融，「不仅是可能的，而且是值得鼓励的。」</w:t>
      </w:r>
      <w:r>
        <w:rPr>
          <w:rStyle w:val="FootnoteReference"/>
        </w:rPr>
        <w:footnoteReference w:id="2413"/>
      </w:r>
    </w:p>
    <w:p>
      <w:pPr>
        <w:pStyle w:val="BodyText"/>
      </w:pPr>
      <w:r>
        <w:t xml:space="preserve">源于宗教改革并与公教会分离的教会团体，「由于缺乏圣秩圣事，未能完整地保存圣餐奥秘的真实本质。」</w:t>
      </w:r>
      <w:r>
        <w:rPr>
          <w:rStyle w:val="FootnoteReference"/>
        </w:rPr>
        <w:footnoteReference w:id="2414"/>
      </w:r>
      <w:r>
        <w:t xml:space="preserve">正因如此，对公教会而言，与这些团体共享圣餐共融是不可能的。然而这些教会团体「在圣餐中纪念主的死亡与复活时……宣认这圣事意味着与基督共融的生命，并期待他荣耀的来临。」</w:t>
      </w:r>
      <w:r>
        <w:rPr>
          <w:rStyle w:val="FootnoteReference"/>
        </w:rPr>
        <w:footnoteReference w:id="2415"/>
      </w:r>
    </w:p>
    <w:p>
      <w:pPr>
        <w:pStyle w:val="BodyText"/>
      </w:pPr>
      <w:r>
        <w:t xml:space="preserve">在教长判断出现重大需要时，公教会的圣职人员可为尚未与公教会完全共融的其他基督徒施行圣餐、告解和病人傅油圣事，只要他们自愿请求、表明对这些圣事持有公教信仰，并具备相应的准备。</w:t>
      </w:r>
      <w:r>
        <w:rPr>
          <w:rStyle w:val="FootnoteReference"/>
        </w:rPr>
        <w:footnoteReference w:id="2416"/>
      </w:r>
    </w:p>
    <w:bookmarkEnd w:id="2417"/>
    <w:bookmarkEnd w:id="2418"/>
    <w:bookmarkStart w:id="2427" w:name="七圣餐未来荣耀的保证"/>
    <w:p>
      <w:pPr>
        <w:pStyle w:val="Heading5"/>
      </w:pPr>
      <w:r>
        <w:t xml:space="preserve">七、圣餐——「未来荣耀的保证」</w:t>
      </w:r>
    </w:p>
    <w:p>
      <w:pPr>
        <w:pStyle w:val="FirstParagraph"/>
      </w:pPr>
      <w:r>
        <w:t xml:space="preserve">教会在古老的祷词中赞颂圣餐的奥秘：「神圣的宴席，基督被领受为食粮，他的苦难被纪念，心灵充满恩典，并赐给我们未来生命的保证。」若圣餐是主耶稣逾越的纪念，若我们藉着在祭台前的共融被充满「一切天恩与圣宠」，</w:t>
      </w:r>
      <w:r>
        <w:rPr>
          <w:rStyle w:val="FootnoteReference"/>
        </w:rPr>
        <w:footnoteReference w:id="2419"/>
      </w:r>
      <w:r>
        <w:t xml:space="preserve">那么圣餐也是天上光荣的预尝。</w:t>
      </w:r>
    </w:p>
    <w:p>
      <w:pPr>
        <w:pStyle w:val="BodyText"/>
      </w:pPr>
      <w:r>
        <w:t xml:space="preserve">在最后晚餐中，主亲自将门徒的注意力引向天国中逾越的圆满：「我告诉你们：从今以后，我不再喝这葡萄汁，直到在我父的国里那一天，与你们同喝新酒。」</w:t>
      </w:r>
      <w:r>
        <w:rPr>
          <w:rStyle w:val="FootnoteReference"/>
        </w:rPr>
        <w:footnoteReference w:id="2420"/>
      </w:r>
      <w:r>
        <w:t xml:space="preserve">每当教会举行圣餐，她便记起这许诺，并转目「仰望那要来的那位」。她在祈祷中呼求他的来临：</w:t>
      </w:r>
      <w:r>
        <w:rPr>
          <w:i/>
          <w:iCs/>
        </w:rPr>
        <w:t xml:space="preserve">「玛拉纳塔！」</w:t>
      </w:r>
      <w:r>
        <w:t xml:space="preserve">「主耶稣，来吧！」</w:t>
      </w:r>
      <w:r>
        <w:rPr>
          <w:rStyle w:val="FootnoteReference"/>
        </w:rPr>
        <w:footnoteReference w:id="2421"/>
      </w:r>
      <w:r>
        <w:t xml:space="preserve">「愿恩典来临，愿这世界消逝！」</w:t>
      </w:r>
      <w:r>
        <w:rPr>
          <w:rStyle w:val="FootnoteReference"/>
        </w:rPr>
        <w:footnoteReference w:id="2422"/>
      </w:r>
    </w:p>
    <w:p>
      <w:pPr>
        <w:pStyle w:val="BodyText"/>
      </w:pPr>
      <w:r>
        <w:t xml:space="preserve">教会知道主此刻已临在于圣餐中，他就在我们中间。然而这临在是隐蔽的。因此我们举行圣餐时，「期待所希望的幸福，和我们救主耶稣基督的来临」，</w:t>
      </w:r>
      <w:r>
        <w:rPr>
          <w:rStyle w:val="FootnoteReference"/>
        </w:rPr>
        <w:footnoteReference w:id="2423"/>
      </w:r>
      <w:r>
        <w:t xml:space="preserve">祈求「当一切眼泪被拭去时，能分享你的光荣。在那日，我们将看见你——我们的神——本来的面貌。我们将肖似你，并藉我们的主基督永远赞美你。」</w:t>
      </w:r>
      <w:r>
        <w:rPr>
          <w:rStyle w:val="FootnoteReference"/>
        </w:rPr>
        <w:footnoteReference w:id="2424"/>
      </w:r>
    </w:p>
    <w:p>
      <w:pPr>
        <w:pStyle w:val="BodyText"/>
      </w:pPr>
      <w:r>
        <w:t xml:space="preserve">对于「有正义常存」的新天新地，</w:t>
      </w:r>
      <w:r>
        <w:rPr>
          <w:rStyle w:val="FootnoteReference"/>
        </w:rPr>
        <w:footnoteReference w:id="2425"/>
      </w:r>
      <w:r>
        <w:t xml:space="preserve">圣餐是最可靠的保证和最珍贵的标记。每次庆祝这奥秘时，「我们救赎的工程得以延续」，我们「擘开那赐予不朽良药、死亡解药，并使我们在耶稣基督里永生的唯一之饼」。</w:t>
      </w:r>
      <w:r>
        <w:rPr>
          <w:rStyle w:val="FootnoteReference"/>
        </w:rPr>
        <w:footnoteReference w:id="2426"/>
      </w:r>
    </w:p>
    <w:bookmarkEnd w:id="2427"/>
    <w:bookmarkStart w:id="2428" w:name="综述-36"/>
    <w:p>
      <w:pPr>
        <w:pStyle w:val="Heading5"/>
      </w:pPr>
      <w:r>
        <w:t xml:space="preserve">综述</w:t>
      </w:r>
    </w:p>
    <w:p>
      <w:pPr>
        <w:pStyle w:val="FirstParagraph"/>
      </w:pPr>
      <w:r>
        <w:t xml:space="preserve">耶稣说：「我是从天上降下来生命的粮；人若吃这粮，就必永远活着……吃我肉、喝我血的人就有永生……常在我里面，我也常在他里面。」（约 6:51,54,56）</w:t>
      </w:r>
    </w:p>
    <w:p>
      <w:pPr>
        <w:pStyle w:val="BodyText"/>
      </w:pPr>
      <w:r>
        <w:t xml:space="preserve">圣餐是教会生活的核心与高峰，因为基督在其中使教会及其全体成员，与他在十字架上一次而永远向圣父奉献的赞颂与感恩祭结合；藉此祭献，他将救恩的恩典倾注于他的奥体——教会。</w:t>
      </w:r>
    </w:p>
    <w:p>
      <w:pPr>
        <w:pStyle w:val="BodyText"/>
      </w:pPr>
      <w:r>
        <w:t xml:space="preserve">圣餐庆典常包含：宣读神之道；为神的一切恩惠——尤其是他圣子的恩赐——向圣父感恩；祝圣饼酒；藉领受主的体血参与礼仪筵席。这些要素构成一个完整的敬拜行动。</w:t>
      </w:r>
    </w:p>
    <w:p>
      <w:pPr>
        <w:pStyle w:val="BodyText"/>
      </w:pPr>
      <w:r>
        <w:t xml:space="preserve">圣餐是基督逾越的纪念，即由基督的生活、死亡和复活所完成的救赎工程，这工程藉礼仪行动而临现。</w:t>
      </w:r>
    </w:p>
    <w:p>
      <w:pPr>
        <w:pStyle w:val="BodyText"/>
      </w:pPr>
      <w:r>
        <w:t xml:space="preserve">正是基督自己——新约的永恒大祭司——透过祭司的职务，奉献圣餐祭献。且是同一位基督，真实临在于饼酒形下，成为圣餐祭献的祭品。</w:t>
      </w:r>
    </w:p>
    <w:p>
      <w:pPr>
        <w:pStyle w:val="BodyText"/>
      </w:pPr>
      <w:r>
        <w:t xml:space="preserve">只有有效领受圣秩的祭司，才能主持圣餐并祝圣饼酒，使之成为主的体血。</w:t>
      </w:r>
    </w:p>
    <w:p>
      <w:pPr>
        <w:pStyle w:val="BodyText"/>
      </w:pPr>
      <w:r>
        <w:t xml:space="preserve">圣餐圣事的基本标记是麦面饼和葡萄酒，在其上呼求圣灵的祝福，并由祭司诵念耶稣在最后晚餐中说的祝圣词：「这是我的身体，将为你们而牺牲……这是我的血杯……」</w:t>
      </w:r>
    </w:p>
    <w:p>
      <w:pPr>
        <w:pStyle w:val="BodyText"/>
      </w:pPr>
      <w:r>
        <w:t xml:space="preserve">祝圣使饼酒的实体转变（transubstantiation）为基督的体血。在祝圣过的饼酒形下，基督自己——活泼而荣耀的——真实地、实在地且本质地临在：他的体血，连同他的灵魂与神性（参特利腾大公会议：DS 1640；1651）。</w:t>
      </w:r>
    </w:p>
    <w:p>
      <w:pPr>
        <w:pStyle w:val="BodyText"/>
      </w:pPr>
      <w:r>
        <w:t xml:space="preserve">作为祭献，圣餐也为生者亡者的罪过作补赎，并向神求得属灵或现世的恩惠。</w:t>
      </w:r>
    </w:p>
    <w:p>
      <w:pPr>
        <w:pStyle w:val="BodyText"/>
      </w:pPr>
      <w:r>
        <w:t xml:space="preserve">凡愿意在圣餐共融中领受基督者，应处于恩典状态。自知犯有大罪者，须先领受告解圣事方得领圣餐。</w:t>
      </w:r>
    </w:p>
    <w:p>
      <w:pPr>
        <w:pStyle w:val="BodyText"/>
      </w:pPr>
      <w:r>
        <w:t xml:space="preserve">与基督体血的共融，增进领受者与主的结合，赦免其小罪，并保护其免陷大罪。因领受此圣事强化了领受者与基督之间的仁爱联系，故也巩固教会作为基督奥体的合一。</w:t>
      </w:r>
    </w:p>
    <w:p>
      <w:pPr>
        <w:pStyle w:val="BodyText"/>
      </w:pPr>
      <w:r>
        <w:t xml:space="preserve">教会热切鼓励信众参与圣餐庆典时领圣餐；并要求他们每年至少领受一次。</w:t>
      </w:r>
    </w:p>
    <w:p>
      <w:pPr>
        <w:pStyle w:val="BodyText"/>
      </w:pPr>
      <w:r>
        <w:t xml:space="preserve">因基督亲临于祭坛圣事中，他应受朝拜之礼。「朝拜圣体……是感恩的证明、仁爱的表达，也是对基督我们主的钦崇之责。」（保禄六世，《信心的奥秘》66）</w:t>
      </w:r>
    </w:p>
    <w:p>
      <w:pPr>
        <w:pStyle w:val="BodyText"/>
      </w:pPr>
      <w:r>
        <w:t xml:space="preserve">基督从这世界往父那里去时，在圣餐中赐给我们与他共享荣耀的保证。参与这神圣祭献，使我们与他的圣心契合，在此世旅途中加添我们力量，使我们渴慕永生，并在此刻就将我们与天上教会、荣福童贞马利亚及众圣徒联合。</w:t>
      </w:r>
    </w:p>
    <w:p>
      <w:r>
        <w:br w:type="page"/>
      </w:r>
    </w:p>
    <w:bookmarkEnd w:id="2428"/>
    <w:bookmarkEnd w:id="2429"/>
    <w:bookmarkEnd w:id="2430"/>
    <w:bookmarkStart w:id="2603" w:name="第二章治愈的圣事"/>
    <w:p>
      <w:pPr>
        <w:pStyle w:val="Heading3"/>
      </w:pPr>
      <w:r>
        <w:t xml:space="preserve">第二章：治愈的圣事</w:t>
      </w:r>
    </w:p>
    <w:p>
      <w:pPr>
        <w:pStyle w:val="FirstParagraph"/>
      </w:pPr>
      <w:r>
        <w:t xml:space="preserve">通过基督徒入门圣事，人领受了基督的新生命。如今我们将这生命「放在瓦器里」，它仍「与基督一同藏在神里面」。</w:t>
      </w:r>
      <w:r>
        <w:rPr>
          <w:rStyle w:val="FootnoteReference"/>
        </w:rPr>
        <w:footnoteReference w:id="2431"/>
      </w:r>
      <w:r>
        <w:t xml:space="preserve">我们仍住在「地上的帐棚」里，受制于痛苦、疾病和死亡。</w:t>
      </w:r>
      <w:r>
        <w:rPr>
          <w:rStyle w:val="FootnoteReference"/>
        </w:rPr>
        <w:footnoteReference w:id="2432"/>
      </w:r>
      <w:r>
        <w:t xml:space="preserve">这作为神儿女的新生命可能因罪而衰弱甚至丧失。</w:t>
      </w:r>
    </w:p>
    <w:p>
      <w:pPr>
        <w:pStyle w:val="BodyText"/>
      </w:pPr>
      <w:r>
        <w:t xml:space="preserve">主耶稣基督，我们灵魂和身体的医师，他赦免了瘫子的罪并使他身体康复，</w:t>
      </w:r>
      <w:r>
        <w:rPr>
          <w:rStyle w:val="FootnoteReference"/>
        </w:rPr>
        <w:footnoteReference w:id="2433"/>
      </w:r>
      <w:r>
        <w:t xml:space="preserve">愿意他的教会在圣灵的能力中继续他的医治和拯救工作，甚至在她自己的成员中也是如此。这就是两个治愈圣事的目的：忏悔圣事和病人傅油圣事。</w:t>
      </w:r>
    </w:p>
    <w:p>
      <w:r>
        <w:br w:type="page"/>
      </w:r>
    </w:p>
    <w:bookmarkStart w:id="2549" w:name="第四条忏悔与和好圣事"/>
    <w:p>
      <w:pPr>
        <w:pStyle w:val="Heading4"/>
      </w:pPr>
      <w:r>
        <w:t xml:space="preserve">第四条：忏悔与和好圣事</w:t>
      </w:r>
    </w:p>
    <w:p>
      <w:pPr>
        <w:pStyle w:val="FirstParagraph"/>
      </w:pPr>
      <w:r>
        <w:t xml:space="preserve">「领受忏悔圣事者，能从神的仁慈中获得对所犯过错的宽恕，同时与因他们的罪过而受伤害的教会和好——这教会正以仁爱、榜样和祈祷为他们的归正而努力。」</w:t>
      </w:r>
      <w:r>
        <w:rPr>
          <w:rStyle w:val="FootnoteReference"/>
        </w:rPr>
        <w:footnoteReference w:id="2434"/>
      </w:r>
    </w:p>
    <w:bookmarkStart w:id="2439" w:name="一这圣事有何称谓"/>
    <w:p>
      <w:pPr>
        <w:pStyle w:val="Heading5"/>
      </w:pPr>
      <w:r>
        <w:t xml:space="preserve">一、这圣事有何称谓？</w:t>
      </w:r>
    </w:p>
    <w:p>
      <w:pPr>
        <w:pStyle w:val="FirstParagraph"/>
      </w:pPr>
      <w:r>
        <w:t xml:space="preserve">它被称为</w:t>
      </w:r>
      <w:r>
        <w:rPr>
          <w:i/>
          <w:iCs/>
        </w:rPr>
        <w:t xml:space="preserve">归正的圣事</w:t>
      </w:r>
      <w:r>
        <w:t xml:space="preserve">，因为以圣事方式呈现了耶稣对归正的呼召，这是回到因罪而远离的圣父那里的第一步</w:t>
      </w:r>
      <w:r>
        <w:rPr>
          <w:rStyle w:val="FootnoteReference"/>
        </w:rPr>
        <w:footnoteReference w:id="2435"/>
      </w:r>
      <w:r>
        <w:t xml:space="preserve">。</w:t>
      </w:r>
    </w:p>
    <w:p>
      <w:pPr>
        <w:pStyle w:val="BodyText"/>
      </w:pPr>
      <w:r>
        <w:t xml:space="preserve">它被称为</w:t>
      </w:r>
      <w:r>
        <w:rPr>
          <w:i/>
          <w:iCs/>
        </w:rPr>
        <w:t xml:space="preserve">忏悔圣事</w:t>
      </w:r>
      <w:r>
        <w:t xml:space="preserve">，因为它圣化了基督徒罪人个人及教会层面的归正、补赎与赔补步骤。 { }</w:t>
      </w:r>
    </w:p>
    <w:p>
      <w:pPr>
        <w:pStyle w:val="BodyText"/>
      </w:pPr>
      <w:r>
        <w:t xml:space="preserve">它被称为</w:t>
      </w:r>
      <w:r>
        <w:rPr>
          <w:i/>
          <w:iCs/>
        </w:rPr>
        <w:t xml:space="preserve">告解圣事</w:t>
      </w:r>
      <w:r>
        <w:t xml:space="preserve">，因为向祭司告明罪过是本圣事的核心要素。在深层意义上，它也是对神的圣洁及其对罪人仁慈的「宣认」——即承认与赞颂。</w:t>
      </w:r>
    </w:p>
    <w:p>
      <w:pPr>
        <w:pStyle w:val="BodyText"/>
      </w:pPr>
      <w:r>
        <w:t xml:space="preserve">它被称为</w:t>
      </w:r>
      <w:r>
        <w:rPr>
          <w:i/>
          <w:iCs/>
        </w:rPr>
        <w:t xml:space="preserve">宽恕圣事</w:t>
      </w:r>
      <w:r>
        <w:t xml:space="preserve">，因为通过祭司的圣事性赦罪，神赐予悔罪者「赦免与平安」</w:t>
      </w:r>
      <w:r>
        <w:rPr>
          <w:rStyle w:val="FootnoteReference"/>
        </w:rPr>
        <w:footnoteReference w:id="2436"/>
      </w:r>
      <w:r>
        <w:t xml:space="preserve">。 { }</w:t>
      </w:r>
    </w:p>
    <w:p>
      <w:pPr>
        <w:pStyle w:val="BodyText"/>
      </w:pPr>
      <w:r>
        <w:t xml:space="preserve">它被称为</w:t>
      </w:r>
      <w:r>
        <w:rPr>
          <w:i/>
          <w:iCs/>
        </w:rPr>
        <w:t xml:space="preserve">和好圣事</w:t>
      </w:r>
      <w:r>
        <w:t xml:space="preserve">，因为它将那位使人与他和好的神的爱赐予罪人：「你们与神和好吧」</w:t>
      </w:r>
      <w:r>
        <w:rPr>
          <w:rStyle w:val="FootnoteReference"/>
        </w:rPr>
        <w:footnoteReference w:id="2437"/>
      </w:r>
      <w:r>
        <w:t xml:space="preserve">。凡活在神仁慈之爱中的人，都准备好回应主的呼召：「你去同弟兄和好了」</w:t>
      </w:r>
      <w:r>
        <w:rPr>
          <w:rStyle w:val="FootnoteReference"/>
        </w:rPr>
        <w:footnoteReference w:id="2438"/>
      </w:r>
      <w:r>
        <w:t xml:space="preserve">。 { }</w:t>
      </w:r>
    </w:p>
    <w:bookmarkEnd w:id="2439"/>
    <w:bookmarkStart w:id="2447" w:name="二为何在洗礼后还需要和好圣事"/>
    <w:p>
      <w:pPr>
        <w:pStyle w:val="Heading5"/>
      </w:pPr>
      <w:r>
        <w:t xml:space="preserve">二、为何在洗礼后还需要和好圣事？</w:t>
      </w:r>
    </w:p>
    <w:p>
      <w:pPr>
        <w:pStyle w:val="FirstParagraph"/>
      </w:pPr>
      <w:r>
        <w:t xml:space="preserve">「你们奉主耶稣基督的名，并借着我们神的灵，已经洗净、成圣、称义了」</w:t>
      </w:r>
      <w:r>
        <w:rPr>
          <w:rStyle w:val="FootnoteReference"/>
        </w:rPr>
        <w:footnoteReference w:id="2440"/>
      </w:r>
      <w:r>
        <w:t xml:space="preserve">必须认识到神在基督徒入门圣事中赐予我们的恩典何等浩大，才能明白对于那「披戴基督」</w:t>
      </w:r>
      <w:r>
        <w:rPr>
          <w:rStyle w:val="FootnoteReference"/>
        </w:rPr>
        <w:footnoteReference w:id="2441"/>
      </w:r>
      <w:r>
        <w:t xml:space="preserve">的人而言，罪已被排除到何种程度。但使徒约翰也说：「我们若说自己无罪，便是自欺，真理不在我们心里了」</w:t>
      </w:r>
      <w:r>
        <w:rPr>
          <w:rStyle w:val="FootnoteReference"/>
        </w:rPr>
        <w:footnoteReference w:id="2442"/>
      </w:r>
      <w:r>
        <w:t xml:space="preserve">。而主亲自教导我们祈祷：「赦免我们的罪」</w:t>
      </w:r>
      <w:r>
        <w:rPr>
          <w:rStyle w:val="FootnoteReference"/>
        </w:rPr>
        <w:footnoteReference w:id="2443"/>
      </w:r>
      <w:r>
        <w:t xml:space="preserve">，将我们彼此宽恕与神将要赐予的罪赦联系起来。</w:t>
      </w:r>
    </w:p>
    <w:p>
      <w:pPr>
        <w:pStyle w:val="BodyText"/>
      </w:pPr>
      <w:r>
        <w:t xml:space="preserve">归向基督、洗礼的重生、圣灵的恩赐以及作为食粮领受的基督体血，使我们成为「圣洁无瑕疵」的，正如基督的新妇——教会本身也是「圣洁无瑕疵」的</w:t>
      </w:r>
      <w:r>
        <w:rPr>
          <w:rStyle w:val="FootnoteReference"/>
        </w:rPr>
        <w:footnoteReference w:id="2444"/>
      </w:r>
      <w:r>
        <w:t xml:space="preserve">。然而基督徒入门圣事所赐的新生命，并未消除人性的软弱，也未消除传统称为</w:t>
      </w:r>
      <w:r>
        <w:rPr>
          <w:i/>
          <w:iCs/>
        </w:rPr>
        <w:t xml:space="preserve">私欲偏情</w:t>
      </w:r>
      <w:r>
        <w:t xml:space="preserve">的犯罪倾向，这倾向仍存于受洗者内，为要使他们借着基督恩典的帮助，在基督徒生活的战斗中证明自己</w:t>
      </w:r>
      <w:r>
        <w:rPr>
          <w:rStyle w:val="FootnoteReference"/>
        </w:rPr>
        <w:footnoteReference w:id="2445"/>
      </w:r>
      <w:r>
        <w:t xml:space="preserve">。这是指向圣洁与永生的</w:t>
      </w:r>
      <w:r>
        <w:rPr>
          <w:i/>
          <w:iCs/>
        </w:rPr>
        <w:t xml:space="preserve">归正</w:t>
      </w:r>
      <w:r>
        <w:t xml:space="preserve">之战，主不断呼召我们投入此战</w:t>
      </w:r>
      <w:r>
        <w:rPr>
          <w:rStyle w:val="FootnoteReference"/>
        </w:rPr>
        <w:footnoteReference w:id="2446"/>
      </w:r>
      <w:r>
        <w:t xml:space="preserve">。</w:t>
      </w:r>
    </w:p>
    <w:bookmarkEnd w:id="2447"/>
    <w:bookmarkStart w:id="2455" w:name="三受洗者的归正"/>
    <w:p>
      <w:pPr>
        <w:pStyle w:val="Heading5"/>
      </w:pPr>
      <w:r>
        <w:t xml:space="preserve">三、受洗者的归正</w:t>
      </w:r>
    </w:p>
    <w:p>
      <w:pPr>
        <w:pStyle w:val="FirstParagraph"/>
      </w:pPr>
      <w:r>
        <w:t xml:space="preserve">耶稣呼召人归正。这呼召是宣告天国的重要组成部分：「日期满了，神的国近了！你们当悔改，信福音」</w:t>
      </w:r>
      <w:r>
        <w:rPr>
          <w:rStyle w:val="FootnoteReference"/>
        </w:rPr>
        <w:footnoteReference w:id="2448"/>
      </w:r>
      <w:r>
        <w:t xml:space="preserve">。在教会的宣讲中，这呼召首先针对那些尚未认识基督及其福音的人。此外，洗礼是第一次根本性归正的主要场所。正是借着信从福音和洗礼</w:t>
      </w:r>
      <w:r>
        <w:rPr>
          <w:rStyle w:val="FootnoteReference"/>
        </w:rPr>
        <w:footnoteReference w:id="2449"/>
      </w:r>
      <w:r>
        <w:t xml:space="preserve">，人弃绝罪恶并获得救恩，即一切罪过的赦免和新生命的恩赐。</w:t>
      </w:r>
    </w:p>
    <w:p>
      <w:pPr>
        <w:pStyle w:val="BodyText"/>
      </w:pPr>
      <w:r>
        <w:t xml:space="preserve">基督归正的呼召在基督徒生命中持续回响。这</w:t>
      </w:r>
      <w:r>
        <w:rPr>
          <w:i/>
          <w:iCs/>
        </w:rPr>
        <w:t xml:space="preserve">第二次归正</w:t>
      </w:r>
      <w:r>
        <w:t xml:space="preserve">是整个教会不间断的使命，她「将罪人紧抱怀中，既是圣洁的，又常需净炼，不断走忏悔与更新的道路」</w:t>
      </w:r>
      <w:r>
        <w:rPr>
          <w:rStyle w:val="FootnoteReference"/>
        </w:rPr>
        <w:footnoteReference w:id="2450"/>
      </w:r>
      <w:r>
        <w:t xml:space="preserve">。这归正的努力不仅是人的工作，更是「痛悔的心」</w:t>
      </w:r>
      <w:r>
        <w:rPr>
          <w:rStyle w:val="FootnoteReference"/>
        </w:rPr>
        <w:footnoteReference w:id="2451"/>
      </w:r>
      <w:r>
        <w:t xml:space="preserve">的运动——被恩典吸引和推动，以回应那先爱了我们的仁慈之神。</w:t>
      </w:r>
    </w:p>
    <w:p>
      <w:pPr>
        <w:pStyle w:val="BodyText"/>
      </w:pPr>
      <w:r>
        <w:t xml:space="preserve">圣彼得在三次否认主后的归正为此作证。耶稣无限仁慈的目光使彼得流下悔改的泪，并在主复活后三次肯定对他的爱</w:t>
      </w:r>
      <w:r>
        <w:rPr>
          <w:rStyle w:val="FootnoteReference"/>
        </w:rPr>
        <w:footnoteReference w:id="2452"/>
      </w:r>
      <w:r>
        <w:t xml:space="preserve">。第二次归正也具有</w:t>
      </w:r>
      <w:r>
        <w:rPr>
          <w:i/>
          <w:iCs/>
        </w:rPr>
        <w:t xml:space="preserve">团体性</w:t>
      </w:r>
      <w:r>
        <w:t xml:space="preserve">维度，正如主对整个教会的呼召所显示的：「应当悔改！」</w:t>
      </w:r>
      <w:r>
        <w:rPr>
          <w:rStyle w:val="FootnoteReference"/>
        </w:rPr>
        <w:footnoteReference w:id="2453"/>
      </w:r>
    </w:p>
    <w:p>
      <w:pPr>
        <w:pStyle w:val="BodyText"/>
      </w:pPr>
      <w:r>
        <w:t xml:space="preserve">圣安波罗修论及这两种归正时说，在教会中有「水与泪：洗礼之水与悔改之泪」</w:t>
      </w:r>
      <w:r>
        <w:rPr>
          <w:rStyle w:val="FootnoteReference"/>
        </w:rPr>
        <w:footnoteReference w:id="2454"/>
      </w:r>
      <w:r>
        <w:t xml:space="preserve">。</w:t>
      </w:r>
    </w:p>
    <w:bookmarkEnd w:id="2455"/>
    <w:bookmarkStart w:id="2463" w:name="四内心的补赎"/>
    <w:p>
      <w:pPr>
        <w:pStyle w:val="Heading5"/>
      </w:pPr>
      <w:r>
        <w:t xml:space="preserve">四、内心的补赎</w:t>
      </w:r>
    </w:p>
    <w:p>
      <w:pPr>
        <w:pStyle w:val="FirstParagraph"/>
      </w:pPr>
      <w:r>
        <w:t xml:space="preserve">耶稣对归正与补赎的呼召，如同先前先知们的呼召，首先不在于外表的行动——「披麻蒙灰」、禁食与克己，而在于</w:t>
      </w:r>
      <w:r>
        <w:rPr>
          <w:i/>
          <w:iCs/>
        </w:rPr>
        <w:t xml:space="preserve">心灵的归正，内心的归正</w:t>
      </w:r>
      <w:r>
        <w:t xml:space="preserve">。没有这些，补赎就仍是无效和虚伪的；然而内心的归正催迫人以可见的记号、姿态和补赎行动表达出来</w:t>
      </w:r>
      <w:r>
        <w:rPr>
          <w:rStyle w:val="FootnoteReference"/>
        </w:rPr>
        <w:footnoteReference w:id="2456"/>
      </w:r>
      <w:r>
        <w:t xml:space="preserve">。</w:t>
      </w:r>
    </w:p>
    <w:p>
      <w:pPr>
        <w:pStyle w:val="BodyText"/>
      </w:pPr>
      <w:r>
        <w:t xml:space="preserve">内心的悔改是对我们整个生命的彻底重新定向，是全心全意归向神的回转，是罪的终止，是远离恶事，并对所犯恶行产生厌恶。同时它包含着改变生活的意愿和决心，怀着对神仁慈的盼望和对他恩典帮助的信赖。这种心灵的归正伴随着有益的痛楚与忧伤，教父们称之为</w:t>
      </w:r>
      <w:r>
        <w:rPr>
          <w:i/>
          <w:iCs/>
        </w:rPr>
        <w:t xml:space="preserve">心灵的煎熬</w:t>
      </w:r>
      <w:r>
        <w:t xml:space="preserve">与</w:t>
      </w:r>
      <w:r>
        <w:rPr>
          <w:i/>
          <w:iCs/>
        </w:rPr>
        <w:t xml:space="preserve">痛悔之心</w:t>
      </w:r>
      <w:r>
        <w:t xml:space="preserve">。</w:t>
      </w:r>
      <w:r>
        <w:rPr>
          <w:rStyle w:val="FootnoteReference"/>
        </w:rPr>
        <w:footnoteReference w:id="2457"/>
      </w:r>
    </w:p>
    <w:p>
      <w:pPr>
        <w:pStyle w:val="BodyText"/>
      </w:pPr>
      <w:r>
        <w:t xml:space="preserve">人心是沉重而刚硬的。神必须赐给人一颗新心</w:t>
      </w:r>
      <w:r>
        <w:rPr>
          <w:rStyle w:val="FootnoteReference"/>
        </w:rPr>
        <w:footnoteReference w:id="2458"/>
      </w:r>
      <w:r>
        <w:t xml:space="preserve">。归正首先是神恩典的工作，他使我们的心归向他：「耶和华啊，求你使我们向你回转，我们便得回转」</w:t>
      </w:r>
      <w:r>
        <w:rPr>
          <w:rStyle w:val="FootnoteReference"/>
        </w:rPr>
        <w:footnoteReference w:id="2459"/>
      </w:r>
      <w:r>
        <w:t xml:space="preserve">。神赐给我们重新开始的力量。正是在发现神大爱的伟大时，我们的心因罪的可怕与沉重而震撼，开始害怕因犯罪得罪神并与他分离。人心是通过注视那位被我们的罪所刺透者而获得归正的</w:t>
      </w:r>
      <w:r>
        <w:rPr>
          <w:rStyle w:val="FootnoteReference"/>
        </w:rPr>
        <w:footnoteReference w:id="2460"/>
      </w:r>
      <w:r>
        <w:t xml:space="preserve">：</w:t>
      </w:r>
    </w:p>
    <w:p>
      <w:pPr>
        <w:pStyle w:val="BodyText"/>
      </w:pPr>
      <w:r>
        <w:t xml:space="preserve">让我们定睛注视基督的宝血，并明白它对父神何等珍贵——这为我们的救赎倾流的血，为全世界带来了悔改的恩典。</w:t>
      </w:r>
    </w:p>
    <w:p>
      <w:pPr>
        <w:pStyle w:val="BodyText"/>
      </w:pPr>
      <w:r>
        <w:t xml:space="preserve">自复活节以来，圣灵「为罪责备世人」</w:t>
      </w:r>
      <w:r>
        <w:rPr>
          <w:rStyle w:val="FootnoteReference"/>
        </w:rPr>
        <w:footnoteReference w:id="2461"/>
      </w:r>
      <w:r>
        <w:t xml:space="preserve">，即指出世人没有信从父所派遣的那位。但这揭示罪恶的同一位圣灵，也是赐予人心悔改与归正恩典的护慰者</w:t>
      </w:r>
      <w:r>
        <w:rPr>
          <w:rStyle w:val="FootnoteReference"/>
        </w:rPr>
        <w:footnoteReference w:id="2462"/>
      </w:r>
      <w:r>
        <w:t xml:space="preserve">。</w:t>
      </w:r>
    </w:p>
    <w:bookmarkEnd w:id="2463"/>
    <w:bookmarkStart w:id="2471" w:name="五基督徒生活中补赎的多种形式"/>
    <w:p>
      <w:pPr>
        <w:pStyle w:val="Heading5"/>
      </w:pPr>
      <w:r>
        <w:t xml:space="preserve">五、基督徒生活中补赎的多种形式</w:t>
      </w:r>
    </w:p>
    <w:p>
      <w:pPr>
        <w:pStyle w:val="FirstParagraph"/>
      </w:pPr>
      <w:r>
        <w:t xml:space="preserve">基督徒内心的补赎可以通过多种方式表达。圣经和教父特别强调三种形式：</w:t>
      </w:r>
      <w:r>
        <w:rPr>
          <w:i/>
          <w:iCs/>
        </w:rPr>
        <w:t xml:space="preserve">禁食、祈祷</w:t>
      </w:r>
      <w:r>
        <w:t xml:space="preserve">和</w:t>
      </w:r>
      <w:r>
        <w:rPr>
          <w:i/>
          <w:iCs/>
        </w:rPr>
        <w:t xml:space="preserve">施舍</w:t>
      </w:r>
      <w:r>
        <w:rPr>
          <w:rStyle w:val="FootnoteReference"/>
        </w:rPr>
        <w:footnoteReference w:id="2464"/>
      </w:r>
      <w:r>
        <w:t xml:space="preserve">，这些表达了对己、对神及对他人的归正。除了洗礼或殉道带来的彻底净化外，他们还列举了获得罪赦的途径：努力与近人和好、悔改的泪水、关心他人的得救、圣徒的代祷，以及实践那「能遮盖许多罪」的仁爱</w:t>
      </w:r>
      <w:r>
        <w:rPr>
          <w:rStyle w:val="FootnoteReference"/>
        </w:rPr>
        <w:footnoteReference w:id="2465"/>
      </w:r>
      <w:r>
        <w:t xml:space="preserve">。</w:t>
      </w:r>
    </w:p>
    <w:p>
      <w:pPr>
        <w:pStyle w:val="BodyText"/>
      </w:pPr>
      <w:r>
        <w:t xml:space="preserve">归正在日常生活中通过和好的举动、关怀穷人、实践并维护正义与权利</w:t>
      </w:r>
      <w:r>
        <w:rPr>
          <w:rStyle w:val="FootnoteReference"/>
        </w:rPr>
        <w:footnoteReference w:id="2466"/>
      </w:r>
      <w:r>
        <w:t xml:space="preserve">、向弟兄承认过失、兄弟规劝、生活反省、良心省察、灵修指导、承受苦难、为正义忍受迫害来实现。天天背起自己的十字架跟随耶稣，是最稳妥的补赎之路</w:t>
      </w:r>
      <w:r>
        <w:rPr>
          <w:rStyle w:val="FootnoteReference"/>
        </w:rPr>
        <w:footnoteReference w:id="2467"/>
      </w:r>
      <w:r>
        <w:t xml:space="preserve">。</w:t>
      </w:r>
    </w:p>
    <w:p>
      <w:pPr>
        <w:pStyle w:val="BodyText"/>
      </w:pPr>
      <w:r>
        <w:rPr>
          <w:i/>
          <w:iCs/>
        </w:rPr>
        <w:t xml:space="preserve">圣餐与补赎</w:t>
      </w:r>
      <w:r>
        <w:t xml:space="preserve">。日常的归正与补赎在圣餐圣事中找到其源泉与滋养，因为在此呈现了使我们与神和好的基督祭献。借着圣餐，那些活在基督生命内的人得到喂养与坚强。「它是解救我们免陷日常过失、保全我们免犯大罪的良药」</w:t>
      </w:r>
      <w:r>
        <w:rPr>
          <w:rStyle w:val="FootnoteReference"/>
        </w:rPr>
        <w:footnoteReference w:id="2468"/>
      </w:r>
      <w:r>
        <w:t xml:space="preserve">。</w:t>
      </w:r>
    </w:p>
    <w:p>
      <w:pPr>
        <w:pStyle w:val="BodyText"/>
      </w:pPr>
      <w:r>
        <w:t xml:space="preserve">阅读圣经、诵念时辰颂祷与主祷文——每一真诚的敬奉或热心善工，都能在我们内激发归正与悔改的精神，并有助于获得罪赦。</w:t>
      </w:r>
    </w:p>
    <w:p>
      <w:pPr>
        <w:pStyle w:val="BodyText"/>
      </w:pPr>
      <w:r>
        <w:rPr>
          <w:i/>
          <w:iCs/>
        </w:rPr>
        <w:t xml:space="preserve">礼仪年中补赎的时期与日子</w:t>
      </w:r>
      <w:r>
        <w:t xml:space="preserve">（四旬期，以及纪念主受难日的每周五），是教会补赎实践的重要时刻</w:t>
      </w:r>
      <w:r>
        <w:rPr>
          <w:rStyle w:val="FootnoteReference"/>
        </w:rPr>
        <w:footnoteReference w:id="2469"/>
      </w:r>
      <w:r>
        <w:t xml:space="preserve">。这些时期特别适合进行灵修操练、补赎礼仪、作为补赎标记的朝圣、自愿克己如禁食施舍，以及兄弟般的分享（慈善与传教工作）。</w:t>
      </w:r>
    </w:p>
    <w:p>
      <w:pPr>
        <w:pStyle w:val="BodyText"/>
      </w:pPr>
      <w:r>
        <w:rPr>
          <w:i/>
          <w:iCs/>
        </w:rPr>
        <w:t xml:space="preserve">归正与悔改的过程</w:t>
      </w:r>
      <w:r>
        <w:t xml:space="preserve">被耶稣在浪子的比喻中描述出来，其中心是仁慈的父亲</w:t>
      </w:r>
      <w:r>
        <w:rPr>
          <w:rStyle w:val="FootnoteReference"/>
        </w:rPr>
        <w:footnoteReference w:id="2470"/>
      </w:r>
      <w:r>
        <w:t xml:space="preserve">：对虚幻自由的迷恋、离开父家；挥霍财产后陷入极度困苦；发现自己不得不喂猪，甚至想吃猪食豆荚的深深羞辱；对失去一切的反思；悔改并决定在父亲面前认罪；归途；父亲慷慨的迎接；父亲的喜乐——这些都是归正过程的特征。上好的袍子、戒指和宴席，象征那纯洁、尊贵和喜乐的新生命——任何归向神并回到教会大家庭者所获得的。唯有深知天父之爱的基督之心，才能以如此简单美妙的方式向我们揭示他仁慈的深渊。</w:t>
      </w:r>
    </w:p>
    <w:bookmarkEnd w:id="2471"/>
    <w:bookmarkStart w:id="2486" w:name="六忏悔与和好圣事"/>
    <w:p>
      <w:pPr>
        <w:pStyle w:val="Heading5"/>
      </w:pPr>
      <w:r>
        <w:t xml:space="preserve">六、忏悔与和好圣事</w:t>
      </w:r>
    </w:p>
    <w:p>
      <w:pPr>
        <w:pStyle w:val="FirstParagraph"/>
      </w:pPr>
      <w:r>
        <w:t xml:space="preserve">罪首先是对神的冒犯，是与他共融的破裂。同时它也损害与教会的共融。因此，归正既需要神的宽恕，也需要与教会的和好，这些都通过忏悔与和好圣事在礼仪上表达并完成。</w:t>
      </w:r>
      <w:r>
        <w:rPr>
          <w:rStyle w:val="FootnoteReference"/>
        </w:rPr>
        <w:footnoteReference w:id="2472"/>
      </w:r>
    </w:p>
    <w:bookmarkStart w:id="2478" w:name="唯独神能赦罪"/>
    <w:p>
      <w:pPr>
        <w:pStyle w:val="Heading6"/>
      </w:pPr>
      <w:r>
        <w:t xml:space="preserve">唯独神能赦罪</w:t>
      </w:r>
    </w:p>
    <w:p>
      <w:pPr>
        <w:pStyle w:val="FirstParagraph"/>
      </w:pPr>
      <w:r>
        <w:t xml:space="preserve">唯独神能赦免罪过。</w:t>
      </w:r>
      <w:r>
        <w:rPr>
          <w:rStyle w:val="FootnoteReference"/>
        </w:rPr>
        <w:footnoteReference w:id="2473"/>
      </w:r>
      <w:r>
        <w:t xml:space="preserve">耶稣既是神的儿子，就论自己说：「人子在地上有赦罪的权柄」并行使这神性权能：「你的罪赦了」</w:t>
      </w:r>
      <w:r>
        <w:rPr>
          <w:rStyle w:val="FootnoteReference"/>
        </w:rPr>
        <w:footnoteReference w:id="2474"/>
      </w:r>
      <w:r>
        <w:t xml:space="preserve">。此外，他凭着神性权柄将这权能赐给人，使他们可以奉他的名行使</w:t>
      </w:r>
      <w:r>
        <w:rPr>
          <w:rStyle w:val="FootnoteReference"/>
        </w:rPr>
        <w:footnoteReference w:id="2475"/>
      </w:r>
      <w:r>
        <w:t xml:space="preserve">。</w:t>
      </w:r>
    </w:p>
    <w:p>
      <w:pPr>
        <w:pStyle w:val="BodyText"/>
      </w:pPr>
      <w:r>
        <w:t xml:space="preserve">基督愿意他的整个教会在祈祷、生活与行动中，成为他以宝血为我们赢得的宽恕与和好的标记与工具。但他将赦罪的权能行使托付给了使徒职务，这职务被委以「和好的职分」</w:t>
      </w:r>
      <w:r>
        <w:rPr>
          <w:rStyle w:val="FootnoteReference"/>
        </w:rPr>
        <w:footnoteReference w:id="2476"/>
      </w:r>
      <w:r>
        <w:t xml:space="preserve">。使徒被派遣「代替基督」，借着他们「神劝人与他和好」，并恳求：「你们与神和好吧」</w:t>
      </w:r>
      <w:r>
        <w:rPr>
          <w:rStyle w:val="FootnoteReference"/>
        </w:rPr>
        <w:footnoteReference w:id="2477"/>
      </w:r>
      <w:r>
        <w:t xml:space="preserve">。</w:t>
      </w:r>
    </w:p>
    <w:bookmarkEnd w:id="2478"/>
    <w:bookmarkStart w:id="2482" w:name="与教会的和好"/>
    <w:p>
      <w:pPr>
        <w:pStyle w:val="Heading6"/>
      </w:pPr>
      <w:r>
        <w:t xml:space="preserve">与教会的和好</w:t>
      </w:r>
    </w:p>
    <w:p>
      <w:pPr>
        <w:pStyle w:val="FirstParagraph"/>
      </w:pPr>
      <w:r>
        <w:t xml:space="preserve">耶稣在公开传道时不仅赦免罪过，也显明这赦免的效果：他使被赦免的罪人重新融入神子民的团体——罪曾使他们疏远甚至被排除在外。一个显著的标记是耶稣接待罪人与他同席，这个举动以惊人的方式同时表达了神的宽恕和回归神子民怀抱</w:t>
      </w:r>
      <w:r>
        <w:rPr>
          <w:rStyle w:val="FootnoteReference"/>
        </w:rPr>
        <w:footnoteReference w:id="2479"/>
      </w:r>
      <w:r>
        <w:t xml:space="preserve">。</w:t>
      </w:r>
    </w:p>
    <w:p>
      <w:pPr>
        <w:pStyle w:val="BodyText"/>
      </w:pPr>
      <w:r>
        <w:t xml:space="preserve">在授予使徒们赦罪的权能时，主也给予他们使罪人与教会和好的权威。这职务的教会幅度最显著地表达在基督对西满彼得说的庄严话语中：「我要把天国的钥匙给你，凡你在地上所捆绑的，在天上也要捆绑；凡你在地上所释放的，在天上也要释放」</w:t>
      </w:r>
      <w:r>
        <w:rPr>
          <w:rStyle w:val="FootnoteReference"/>
        </w:rPr>
        <w:footnoteReference w:id="2480"/>
      </w:r>
      <w:r>
        <w:t xml:space="preserve">。「给予彼得的捆绑与释放职权，也授予了与首领相连的使徒团体」</w:t>
      </w:r>
      <w:r>
        <w:rPr>
          <w:rStyle w:val="FootnoteReference"/>
        </w:rPr>
        <w:footnoteReference w:id="2481"/>
      </w:r>
      <w:r>
        <w:t xml:space="preserve">。</w:t>
      </w:r>
    </w:p>
    <w:p>
      <w:pPr>
        <w:pStyle w:val="BodyText"/>
      </w:pPr>
      <w:r>
        <w:rPr>
          <w:i/>
          <w:iCs/>
        </w:rPr>
        <w:t xml:space="preserve">捆绑与释放</w:t>
      </w:r>
      <w:r>
        <w:t xml:space="preserve">的意思是：你们拒绝与之共融的，神也拒绝；你们重新接纳进入共融的，神也接纳。</w:t>
      </w:r>
      <w:r>
        <w:rPr>
          <w:i/>
          <w:iCs/>
        </w:rPr>
        <w:t xml:space="preserve">与教会的和好是与神和好不可分割的部分。</w:t>
      </w:r>
    </w:p>
    <w:bookmarkEnd w:id="2482"/>
    <w:bookmarkStart w:id="2485" w:name="赦罪的圣事"/>
    <w:p>
      <w:pPr>
        <w:pStyle w:val="Heading6"/>
      </w:pPr>
      <w:r>
        <w:t xml:space="preserve">赦罪的圣事</w:t>
      </w:r>
    </w:p>
    <w:p>
      <w:pPr>
        <w:pStyle w:val="FirstParagraph"/>
      </w:pPr>
      <w:r>
        <w:t xml:space="preserve">基督为教会中所有犯罪的成员建立了忏悔圣事：特别是那些在洗礼后犯下严重罪过，因而丧失洗礼恩典并伤害教会共融的人。忏悔圣事为他们提供了归正并重获成义恩典的新可能。教父们称这圣事为「丧失恩典这场海难后的第二块得救木板」</w:t>
      </w:r>
      <w:r>
        <w:rPr>
          <w:rStyle w:val="FootnoteReference"/>
        </w:rPr>
        <w:footnoteReference w:id="2483"/>
      </w:r>
      <w:r>
        <w:t xml:space="preserve">。</w:t>
      </w:r>
    </w:p>
    <w:p>
      <w:pPr>
        <w:pStyle w:val="BodyText"/>
      </w:pPr>
      <w:r>
        <w:t xml:space="preserve">几个世纪以来，教会行使从主领受的这权能的具体形式有很大变化。最初几个世纪，对在洗礼后犯下特别严重罪过（如拜偶像、杀人或奸淫）的基督徒的和好，与非常严格的纪律相联系——补赎者必须公开为罪做补赎，常常持续多年才能获得和好。这种「补赎者行列」（仅针对某些重罪）很少被接纳，在某些地区一生只有一次。七世纪时，受东方隐修传统影响的爱尔兰传教士将「私下」补赎的做法带到欧洲大陆，这种方式不要求在和好前公开并长期完成补赎善工。从那时起，这圣事便在忏悔者与祭司之间秘密进行。这种新做法考虑到重复的可能性，从而为定期领受这圣事开辟了道路。它使得大罪与小罪的赦免能在同一圣事庆典中完成。这大体上就是教会沿用至今的补赎形式。</w:t>
      </w:r>
    </w:p>
    <w:p>
      <w:pPr>
        <w:pStyle w:val="BodyText"/>
      </w:pPr>
      <w:r>
        <w:t xml:space="preserve">在这圣事历经世纪变化的纪律与礼仪之下，可以辨识出相同的</w:t>
      </w:r>
      <w:r>
        <w:rPr>
          <w:i/>
          <w:iCs/>
        </w:rPr>
        <w:t xml:space="preserve">基本结构</w:t>
      </w:r>
      <w:r>
        <w:t xml:space="preserve">。它包含两个同等重要的要素：一方面是人借着圣灵行动而归正的行为，即痛悔、告明与补赎；另一方面是神通过教会介入的行动。教会借着主教及其祭司以耶稣基督之名赦免罪过并规定补赎方式，同时也为罪人祈祷并与他一起补赎。如此，罪人得医治并重建于教会共融中。</w:t>
      </w:r>
    </w:p>
    <w:p>
      <w:pPr>
        <w:pStyle w:val="BodyText"/>
      </w:pPr>
      <w:r>
        <w:t xml:space="preserve">拉丁教会使用的赦罪经文表达了这圣事的本质要素：仁慈的父是一切宽恕的根源。他通过圣子的逾越和圣灵的恩赐，通过教会的祈祷与职务，实现罪人的和好：</w:t>
      </w:r>
    </w:p>
    <w:p>
      <w:pPr>
        <w:pStyle w:val="BodyText"/>
      </w:pPr>
      <w:r>
        <w:t xml:space="preserve">仁慈的天父，</w:t>
      </w:r>
      <w:r>
        <w:t xml:space="preserve"> </w:t>
      </w:r>
      <w:r>
        <w:t xml:space="preserve">借着圣子的死亡与复活，</w:t>
      </w:r>
      <w:r>
        <w:t xml:space="preserve"> </w:t>
      </w:r>
      <w:r>
        <w:t xml:space="preserve">使世界与他和好，</w:t>
      </w:r>
      <w:r>
        <w:t xml:space="preserve"> </w:t>
      </w:r>
      <w:r>
        <w:t xml:space="preserve">并将圣灵赐予我们，</w:t>
      </w:r>
      <w:r>
        <w:t xml:space="preserve"> </w:t>
      </w:r>
      <w:r>
        <w:t xml:space="preserve">为赦免罪过；</w:t>
      </w:r>
      <w:r>
        <w:t xml:space="preserve"> </w:t>
      </w:r>
      <w:r>
        <w:t xml:space="preserve">愿神借着教会的职务，</w:t>
      </w:r>
      <w:r>
        <w:t xml:space="preserve"> </w:t>
      </w:r>
      <w:r>
        <w:t xml:space="preserve">赐予你宽恕与平安，</w:t>
      </w:r>
      <w:r>
        <w:t xml:space="preserve"> </w:t>
      </w:r>
      <w:r>
        <w:t xml:space="preserve">我奉父、子、圣灵的名，</w:t>
      </w:r>
      <w:r>
        <w:t xml:space="preserve"> </w:t>
      </w:r>
      <w:r>
        <w:t xml:space="preserve">赦免你的罪过。</w:t>
      </w:r>
      <w:r>
        <w:rPr>
          <w:rStyle w:val="FootnoteReference"/>
        </w:rPr>
        <w:footnoteReference w:id="2484"/>
      </w:r>
    </w:p>
    <w:bookmarkEnd w:id="2485"/>
    <w:bookmarkEnd w:id="2486"/>
    <w:bookmarkStart w:id="2506" w:name="七忏悔者的行动"/>
    <w:p>
      <w:pPr>
        <w:pStyle w:val="Heading5"/>
      </w:pPr>
      <w:r>
        <w:t xml:space="preserve">七、忏悔者的行动</w:t>
      </w:r>
    </w:p>
    <w:p>
      <w:pPr>
        <w:pStyle w:val="FirstParagraph"/>
      </w:pPr>
      <w:r>
        <w:t xml:space="preserve">「补赎要求…罪人甘心忍受一切，心中痛悔，口里告明，实践完全的谦卑和有效的补赎。」</w:t>
      </w:r>
      <w:r>
        <w:rPr>
          <w:rStyle w:val="FootnoteReference"/>
        </w:rPr>
        <w:footnoteReference w:id="2487"/>
      </w:r>
    </w:p>
    <w:bookmarkStart w:id="2492" w:name="痛悔"/>
    <w:p>
      <w:pPr>
        <w:pStyle w:val="Heading6"/>
      </w:pPr>
      <w:r>
        <w:t xml:space="preserve">痛悔</w:t>
      </w:r>
    </w:p>
    <w:p>
      <w:pPr>
        <w:pStyle w:val="FirstParagraph"/>
      </w:pPr>
      <w:r>
        <w:t xml:space="preserve">在忏悔者的行动中，痛悔居首位。痛悔是「灵魂的忧伤和对所犯罪过的憎恶，同时立志不再犯罪」</w:t>
      </w:r>
      <w:r>
        <w:rPr>
          <w:rStyle w:val="FootnoteReference"/>
        </w:rPr>
        <w:footnoteReference w:id="2488"/>
      </w:r>
      <w:r>
        <w:t xml:space="preserve">。</w:t>
      </w:r>
    </w:p>
    <w:p>
      <w:pPr>
        <w:pStyle w:val="BodyText"/>
      </w:pPr>
      <w:r>
        <w:t xml:space="preserve">当痛悔来自爱神在万有之上的爱时，称为「完整痛悔」（仁爱的痛悔）。这种痛悔赦免小罪；若包含尽快办告解的坚定决心，也能获得大罪的赦免</w:t>
      </w:r>
      <w:r>
        <w:rPr>
          <w:rStyle w:val="FootnoteReference"/>
        </w:rPr>
        <w:footnoteReference w:id="2489"/>
      </w:r>
      <w:r>
        <w:t xml:space="preserve">。</w:t>
      </w:r>
    </w:p>
    <w:p>
      <w:pPr>
        <w:pStyle w:val="BodyText"/>
      </w:pPr>
      <w:r>
        <w:t xml:space="preserve">称为「不完整痛悔」的痛悔也是神的恩赐、圣灵的推动。它产生于对罪之丑恶的思考，或对永罚及其他惩罚威胁的畏惧（畏懼的痛悔）。这种良心的触动能在恩典推动下开启内在过程，并通过告解圣事得以完成。但不完整痛悔本身不能获得大罪的赦免，它使人准备好在忏悔圣事中获得赦免</w:t>
      </w:r>
      <w:r>
        <w:rPr>
          <w:rStyle w:val="FootnoteReference"/>
        </w:rPr>
        <w:footnoteReference w:id="2490"/>
      </w:r>
      <w:r>
        <w:t xml:space="preserve">。</w:t>
      </w:r>
    </w:p>
    <w:p>
      <w:pPr>
        <w:pStyle w:val="BodyText"/>
      </w:pPr>
      <w:r>
        <w:t xml:space="preserve">领受这圣事前，应以神的道之光进行</w:t>
      </w:r>
      <w:r>
        <w:rPr>
          <w:i/>
          <w:iCs/>
        </w:rPr>
        <w:t xml:space="preserve">省察良心</w:t>
      </w:r>
      <w:r>
        <w:t xml:space="preserve">。最适合的经文可见于十诫、福音与使徒书信的道德教导，如山中圣训和使徒训诲</w:t>
      </w:r>
      <w:r>
        <w:rPr>
          <w:rStyle w:val="FootnoteReference"/>
        </w:rPr>
        <w:footnoteReference w:id="2491"/>
      </w:r>
      <w:r>
        <w:t xml:space="preserve">。</w:t>
      </w:r>
    </w:p>
    <w:bookmarkEnd w:id="2492"/>
    <w:bookmarkStart w:id="2501" w:name="告明罪过"/>
    <w:p>
      <w:pPr>
        <w:pStyle w:val="Heading6"/>
      </w:pPr>
      <w:r>
        <w:t xml:space="preserve">告明罪过</w:t>
      </w:r>
    </w:p>
    <w:p>
      <w:pPr>
        <w:pStyle w:val="FirstParagraph"/>
      </w:pPr>
      <w:r>
        <w:t xml:space="preserve">告明（或揭露）罪过，即使从纯人性角度看，也能使我们获得自由并促进与他人的和好。通过这种承认，人直面自己所犯的罪，负起责任，从而重新向神和教会共融开放，以开创新的未来。</w:t>
      </w:r>
    </w:p>
    <w:p>
      <w:pPr>
        <w:pStyle w:val="BodyText"/>
      </w:pPr>
      <w:r>
        <w:t xml:space="preserve">向祭司告罪是忏悔圣事的重要部分：「凡忏悔者在仔细省察后意识到的所有大罪，即使是最隐秘的或违反十诫最后两诫的罪，都必须在告解中告明；因为这些罪有时比公开的罪更严重地伤害灵魂，也更危险。」</w:t>
      </w:r>
      <w:r>
        <w:rPr>
          <w:rStyle w:val="FootnoteReference"/>
        </w:rPr>
        <w:footnoteReference w:id="2493"/>
      </w:r>
    </w:p>
    <w:p>
      <w:pPr>
        <w:pStyle w:val="BodyText"/>
      </w:pPr>
      <w:r>
        <w:t xml:space="preserve">当基督的信徒努力告明所有记得的罪过时，他们无疑将一切罪过置于神的仁慈前以求宽恕。但那些不这样做且故意隐瞒某些罪过的人，没有将任何罪过置于神的良善前通过祭司的中介获得赦免，「因为如果病人羞于向医生展示伤口，药物就无法医治它所不知道的。」</w:t>
      </w:r>
      <w:r>
        <w:rPr>
          <w:rStyle w:val="FootnoteReference"/>
        </w:rPr>
        <w:footnoteReference w:id="2494"/>
      </w:r>
    </w:p>
    <w:p>
      <w:pPr>
        <w:pStyle w:val="BodyText"/>
      </w:pPr>
      <w:r>
        <w:t xml:space="preserve">根据教会规定，「凡到达懂事年龄的信徒，都有责任至少每年一次如实告明自己的大罪。」</w:t>
      </w:r>
      <w:r>
        <w:rPr>
          <w:rStyle w:val="FootnoteReference"/>
        </w:rPr>
        <w:footnoteReference w:id="2495"/>
      </w:r>
      <w:r>
        <w:t xml:space="preserve">意识到自己犯了大罪者，若不先领受告解圣事，即使深感痛悔，也不得领圣餐，除非有重大理由需领圣餐且无法办告解</w:t>
      </w:r>
      <w:r>
        <w:rPr>
          <w:rStyle w:val="FootnoteReference"/>
        </w:rPr>
        <w:footnoteReference w:id="2496"/>
      </w:r>
      <w:r>
        <w:t xml:space="preserve">。儿童在初领圣餐前须先办告解</w:t>
      </w:r>
      <w:r>
        <w:rPr>
          <w:rStyle w:val="FootnoteReference"/>
        </w:rPr>
        <w:footnoteReference w:id="2497"/>
      </w:r>
      <w:r>
        <w:t xml:space="preserve">。</w:t>
      </w:r>
    </w:p>
    <w:p>
      <w:pPr>
        <w:pStyle w:val="BodyText"/>
      </w:pPr>
      <w:r>
        <w:t xml:space="preserve">虽然非绝对必要，但教会仍极力建议告明日常过失（小罪）</w:t>
      </w:r>
      <w:r>
        <w:rPr>
          <w:rStyle w:val="FootnoteReference"/>
        </w:rPr>
        <w:footnoteReference w:id="2498"/>
      </w:r>
      <w:r>
        <w:t xml:space="preserve">。事实上，定期告明小罪有助于我们形成良心、对抗恶的倾向、让基督治愈我们并在圣灵生活中进步。通过更频繁地领受这圣事中天父仁慈的恩赐，我们被激励像他一样慈悲</w:t>
      </w:r>
      <w:r>
        <w:rPr>
          <w:rStyle w:val="FootnoteReference"/>
        </w:rPr>
        <w:footnoteReference w:id="2499"/>
      </w:r>
      <w:r>
        <w:t xml:space="preserve">：</w:t>
      </w:r>
    </w:p>
    <w:p>
      <w:pPr>
        <w:pStyle w:val="BodyText"/>
      </w:pPr>
      <w:r>
        <w:t xml:space="preserve">凡承认自己罪过的…已开始与神合作。神控告你的罪；如果你也控告它们，你就与神联合。人与罪人可以说是两个事实：当你听到「人」——这是神所造的；当你听到「罪人」——这是人自己所造的。毁掉你所造的，好让神拯救他所造的…当你开始憎恶自己所造的，那时你的善工才开始，因为你正在控告自己的恶行。善工的开始就是承认恶行。你实行真理，走向光明。</w:t>
      </w:r>
      <w:r>
        <w:rPr>
          <w:rStyle w:val="FootnoteReference"/>
        </w:rPr>
        <w:footnoteReference w:id="2500"/>
      </w:r>
    </w:p>
    <w:bookmarkEnd w:id="2501"/>
    <w:bookmarkStart w:id="2505" w:name="补赎善工"/>
    <w:p>
      <w:pPr>
        <w:pStyle w:val="Heading6"/>
      </w:pPr>
      <w:r>
        <w:t xml:space="preserve">补赎善工</w:t>
      </w:r>
    </w:p>
    <w:p>
      <w:pPr>
        <w:pStyle w:val="FirstParagraph"/>
      </w:pPr>
      <w:r>
        <w:t xml:space="preserve">许多罪过伤害近人。必须尽力弥补损害（如归还偷窃物品、恢复被诽谤者的名誉、赔偿伤害）。这是基本的正义要求。但罪过也伤害并削弱罪人自己及其与神和近人的关系。赦罪除去罪过，但并未补救罪过造成的一切混乱</w:t>
      </w:r>
      <w:r>
        <w:rPr>
          <w:rStyle w:val="FootnoteReference"/>
        </w:rPr>
        <w:footnoteReference w:id="2502"/>
      </w:r>
      <w:r>
        <w:t xml:space="preserve">。从罪中站起的罪人，仍需通过多做补赎来恢复完整的灵性健康：他必须「赔补」或「赎」自己的罪。这种赔补也称为「补赎」。</w:t>
      </w:r>
    </w:p>
    <w:p>
      <w:pPr>
        <w:pStyle w:val="BodyText"/>
      </w:pPr>
      <w:r>
        <w:t xml:space="preserve">听告解者指定的</w:t>
      </w:r>
      <w:r>
        <w:rPr>
          <w:i/>
          <w:iCs/>
        </w:rPr>
        <w:t xml:space="preserve">补赎</w:t>
      </w:r>
      <w:r>
        <w:t xml:space="preserve">应考虑忏悔者的个人情况，并寻求其灵性益处。它应尽可能与所犯罪过的严重性和性质相对应。补赎可包括祈祷、奉献、慈善工作、服务近人、自愿克己、牺牲，尤其是耐心接受我们必须背负的十字架。这样的补赎帮助我们肖似基督——他一次而永远地赎了我们的罪。它使我们能与复活的基督同为后嗣，「只要我们与他一同受苦」</w:t>
      </w:r>
      <w:r>
        <w:rPr>
          <w:rStyle w:val="FootnoteReference"/>
        </w:rPr>
        <w:footnoteReference w:id="2503"/>
      </w:r>
      <w:r>
        <w:t xml:space="preserve">。</w:t>
      </w:r>
    </w:p>
    <w:p>
      <w:pPr>
        <w:pStyle w:val="BodyText"/>
      </w:pPr>
      <w:r>
        <w:t xml:space="preserve">然而我们为罪所做的补赎，与其说是我们的，不如说是借着耶稣基督完成的。我们靠自己什么也不能做，但借着「加给我力量」的那位，凡事都能做。因此人无可夸耀，我们所有的夸耀都在基督里…我们借着结出「与悔改相称的果子」在他内做补赎。这些果实的效力来自他，借着他献给父，并通过他被父接纳</w:t>
      </w:r>
      <w:r>
        <w:rPr>
          <w:rStyle w:val="FootnoteReference"/>
        </w:rPr>
        <w:footnoteReference w:id="2504"/>
      </w:r>
      <w:r>
        <w:t xml:space="preserve">。</w:t>
      </w:r>
    </w:p>
    <w:bookmarkEnd w:id="2505"/>
    <w:bookmarkEnd w:id="2506"/>
    <w:bookmarkStart w:id="2515" w:name="八本圣事的施行人"/>
    <w:p>
      <w:pPr>
        <w:pStyle w:val="Heading5"/>
      </w:pPr>
      <w:r>
        <w:t xml:space="preserve">八、本圣事的施行人</w:t>
      </w:r>
    </w:p>
    <w:p>
      <w:pPr>
        <w:pStyle w:val="FirstParagraph"/>
      </w:pPr>
      <w:r>
        <w:t xml:space="preserve">既然基督将和好的职分托付给使徒</w:t>
      </w:r>
      <w:r>
        <w:rPr>
          <w:rStyle w:val="FootnoteReference"/>
        </w:rPr>
        <w:footnoteReference w:id="2507"/>
      </w:r>
      <w:r>
        <w:t xml:space="preserve">，作为他们继承者的主教，以及主教的合作者——祭司们，继续履行这职分。事实上，主教和祭司凭圣秩圣事的权能，有权「因父、及子、及圣灵的名」赦免一切罪过。</w:t>
      </w:r>
    </w:p>
    <w:p>
      <w:pPr>
        <w:pStyle w:val="BodyText"/>
      </w:pPr>
      <w:r>
        <w:t xml:space="preserve">罪过的赦免带来与神的和好，也与教会的和好。自古以来，作为地方教会可见首领的主教，因此被合理地认为主要拥有和好的权能与职分：他是补赎纪律的监督者</w:t>
      </w:r>
      <w:r>
        <w:rPr>
          <w:rStyle w:val="FootnoteReference"/>
        </w:rPr>
        <w:footnoteReference w:id="2508"/>
      </w:r>
      <w:r>
        <w:t xml:space="preserve">。祭司作为他的合作者，按教会法律从主教（或修会上司）或教宗获得授权后，即可施行和好圣事</w:t>
      </w:r>
      <w:r>
        <w:rPr>
          <w:rStyle w:val="FootnoteReference"/>
        </w:rPr>
        <w:footnoteReference w:id="2509"/>
      </w:r>
      <w:r>
        <w:t xml:space="preserve">。</w:t>
      </w:r>
    </w:p>
    <w:p>
      <w:pPr>
        <w:pStyle w:val="BodyText"/>
      </w:pPr>
      <w:r>
        <w:t xml:space="preserve">某些特别严重的罪过会导致绝罚——最严厉的教会处罚，它阻碍领受圣事和行使某些教会行为。根据教会法，只有教宗、教区主教或其授权的祭司才能赦免绝罚</w:t>
      </w:r>
      <w:r>
        <w:rPr>
          <w:rStyle w:val="FootnoteReference"/>
        </w:rPr>
        <w:footnoteReference w:id="2510"/>
      </w:r>
      <w:r>
        <w:t xml:space="preserve">。在死亡危险中，任何祭司即使被剥夺听告解权，也能赦免一切罪过和绝罚</w:t>
      </w:r>
      <w:r>
        <w:rPr>
          <w:rStyle w:val="FootnoteReference"/>
        </w:rPr>
        <w:footnoteReference w:id="2511"/>
      </w:r>
      <w:r>
        <w:t xml:space="preserve">。</w:t>
      </w:r>
    </w:p>
    <w:p>
      <w:pPr>
        <w:pStyle w:val="BodyText"/>
      </w:pPr>
      <w:r>
        <w:t xml:space="preserve">祭司应鼓励信徒领受告解圣事，并在基督徒合理要求时随时准备施行这圣事</w:t>
      </w:r>
      <w:r>
        <w:rPr>
          <w:rStyle w:val="FootnoteReference"/>
        </w:rPr>
        <w:footnoteReference w:id="2512"/>
      </w:r>
      <w:r>
        <w:t xml:space="preserve">。</w:t>
      </w:r>
    </w:p>
    <w:p>
      <w:pPr>
        <w:pStyle w:val="BodyText"/>
      </w:pPr>
      <w:r>
        <w:t xml:space="preserve">当祭司施行告解圣事时，他是在履行善牧的职分——寻找迷失的羊；善心的撒玛黎雅人的职分——包扎伤口；慈父的职分——等待荡子归来并欢迎他；以及公正而仁慈的法官的职分——他的判断既公正又慈悲。祭司是神对罪人仁慈之爱的标记与工具。</w:t>
      </w:r>
    </w:p>
    <w:p>
      <w:pPr>
        <w:pStyle w:val="BodyText"/>
      </w:pPr>
      <w:r>
        <w:t xml:space="preserve">听告解者不是神宽恕的主人，而是仆人。这圣事的施行人应使自己与基督的意愿和爱心合一</w:t>
      </w:r>
      <w:r>
        <w:rPr>
          <w:rStyle w:val="FootnoteReference"/>
        </w:rPr>
        <w:footnoteReference w:id="2513"/>
      </w:r>
      <w:r>
        <w:t xml:space="preserve">。他应具备经过验证的基督徒行为知识、人生经验、对跌倒者的尊重与敏感；必须热爱真理、忠于教会训导权，并以耐心引导忏悔者走向痊愈和完全成熟。他必须为忏悔者祈祷和补赎，将他托付于主的仁慈。</w:t>
      </w:r>
    </w:p>
    <w:p>
      <w:pPr>
        <w:pStyle w:val="BodyText"/>
      </w:pPr>
      <w:r>
        <w:t xml:space="preserve">鉴于这职分的微妙与崇高以及对人的尊重，教会宣布：每位听告解的祭司都受极严厉的处罚约束，必须绝对保密忏悔者告明的罪过。他不得利用告解获得的关于忏悔者生活的任何知识</w:t>
      </w:r>
      <w:r>
        <w:rPr>
          <w:rStyle w:val="FootnoteReference"/>
        </w:rPr>
        <w:footnoteReference w:id="2514"/>
      </w:r>
      <w:r>
        <w:t xml:space="preserve">。这项不容例外的保密规定称为「告解保密」，因为忏悔者向祭司告明的一切都因圣事而保持「密封」。</w:t>
      </w:r>
    </w:p>
    <w:bookmarkEnd w:id="2515"/>
    <w:bookmarkStart w:id="2524" w:name="九本圣事的功效"/>
    <w:p>
      <w:pPr>
        <w:pStyle w:val="Heading5"/>
      </w:pPr>
      <w:r>
        <w:t xml:space="preserve">九、本圣事的功效</w:t>
      </w:r>
    </w:p>
    <w:p>
      <w:pPr>
        <w:pStyle w:val="FirstParagraph"/>
      </w:pPr>
      <w:r>
        <w:t xml:space="preserve">「告解圣事的全部力量在于使我们重获神的恩典，并与他缔结亲密的友谊。」</w:t>
      </w:r>
      <w:r>
        <w:rPr>
          <w:rStyle w:val="FootnoteReference"/>
        </w:rPr>
        <w:footnoteReference w:id="2516"/>
      </w:r>
      <w:r>
        <w:t xml:space="preserve">因此，与神和好是本圣事的目的与效果。对那些以痛悔之心和虔敬态度领受告解圣事的人，和好「通常伴随着良心的平安宁静与强烈的灵性安慰」</w:t>
      </w:r>
      <w:r>
        <w:rPr>
          <w:rStyle w:val="FootnoteReference"/>
        </w:rPr>
        <w:footnoteReference w:id="2517"/>
      </w:r>
      <w:r>
        <w:t xml:space="preserve">。事实上，与神的和好圣事带来真正的「灵性的复活」，恢复神子女生命的尊严与祝福，其中最珍贵的就是与神的友谊</w:t>
      </w:r>
      <w:r>
        <w:rPr>
          <w:rStyle w:val="FootnoteReference"/>
        </w:rPr>
        <w:footnoteReference w:id="2518"/>
      </w:r>
      <w:r>
        <w:t xml:space="preserve">。</w:t>
      </w:r>
    </w:p>
    <w:p>
      <w:pPr>
        <w:pStyle w:val="BodyText"/>
      </w:pPr>
      <w:r>
        <w:t xml:space="preserve">这圣事</w:t>
      </w:r>
      <w:r>
        <w:rPr>
          <w:i/>
          <w:iCs/>
        </w:rPr>
        <w:t xml:space="preserve">使我们与教会和好</w:t>
      </w:r>
      <w:r>
        <w:t xml:space="preserve">。罪过损害甚至破坏兄弟共融。告解圣事修补或恢复这共融。就此而言，它不仅治愈那重新融入教会共融的人，也对因成员犯罪而受损的教会生活产生振奋作用</w:t>
      </w:r>
      <w:r>
        <w:rPr>
          <w:rStyle w:val="FootnoteReference"/>
        </w:rPr>
        <w:footnoteReference w:id="2519"/>
      </w:r>
      <w:r>
        <w:t xml:space="preserve">。重新建立或加强在诸圣共融中的关系后，罪人借着基督奥体所有在世旅途或已在天乡的活成员之间灵性益处的交流，变得更坚强</w:t>
      </w:r>
      <w:r>
        <w:rPr>
          <w:rStyle w:val="FootnoteReference"/>
        </w:rPr>
        <w:footnoteReference w:id="2520"/>
      </w:r>
      <w:r>
        <w:t xml:space="preserve">：</w:t>
      </w:r>
    </w:p>
    <w:p>
      <w:pPr>
        <w:pStyle w:val="BodyText"/>
      </w:pPr>
      <w:r>
        <w:t xml:space="preserve">必须记得…这种与神的和好似会带来其他和好，修补罪过造成的其他裂痕。获得宽恕的忏悔者与重获内在真理的自我和好；与被其冒犯伤害的弟兄和好；与教会和好；与一切受造物和好</w:t>
      </w:r>
      <w:r>
        <w:rPr>
          <w:rStyle w:val="FootnoteReference"/>
        </w:rPr>
        <w:footnoteReference w:id="2521"/>
      </w:r>
      <w:r>
        <w:t xml:space="preserve">。</w:t>
      </w:r>
    </w:p>
    <w:p>
      <w:pPr>
        <w:pStyle w:val="BodyText"/>
      </w:pPr>
      <w:r>
        <w:t xml:space="preserve">在这圣事中，罪人将自己置于神仁慈的审判前，在某种意义上</w:t>
      </w:r>
      <w:r>
        <w:rPr>
          <w:i/>
          <w:iCs/>
        </w:rPr>
        <w:t xml:space="preserve">提前面对</w:t>
      </w:r>
      <w:r>
        <w:t xml:space="preserve">他将在今世生命终结时面临的审判。因为正是在此时此地，我们被提供生命与死亡的选择，唯有通过归正之路，我们才能进入那因大罪而被排除在外的天国</w:t>
      </w:r>
      <w:r>
        <w:rPr>
          <w:rStyle w:val="FootnoteReference"/>
        </w:rPr>
        <w:footnoteReference w:id="2522"/>
      </w:r>
      <w:r>
        <w:t xml:space="preserve">。借着补赎和信心归向基督，罪人从死亡进入生命，「不至于定罪」</w:t>
      </w:r>
      <w:r>
        <w:rPr>
          <w:rStyle w:val="FootnoteReference"/>
        </w:rPr>
        <w:footnoteReference w:id="2523"/>
      </w:r>
      <w:r>
        <w:t xml:space="preserve">。</w:t>
      </w:r>
    </w:p>
    <w:bookmarkEnd w:id="2524"/>
    <w:bookmarkStart w:id="2539" w:name="十大赦"/>
    <w:p>
      <w:pPr>
        <w:pStyle w:val="Heading5"/>
      </w:pPr>
      <w:r>
        <w:t xml:space="preserve">十、大赦</w:t>
      </w:r>
    </w:p>
    <w:p>
      <w:pPr>
        <w:pStyle w:val="FirstParagraph"/>
      </w:pPr>
      <w:r>
        <w:t xml:space="preserve">教会中大赦的教义与实践与告解圣事的功效密切相关。</w:t>
      </w:r>
    </w:p>
    <w:bookmarkStart w:id="2528" w:name="什么是大赦"/>
    <w:p>
      <w:pPr>
        <w:pStyle w:val="Heading6"/>
      </w:pPr>
      <w:r>
        <w:t xml:space="preserve">什么是大赦？</w:t>
      </w:r>
    </w:p>
    <w:p>
      <w:pPr>
        <w:pStyle w:val="FirstParagraph"/>
      </w:pPr>
      <w:r>
        <w:t xml:space="preserve">「大赦是在神前赦免已蒙宽恕罪过的暂罚，虔诚信徒在妥善准备下，按教会规定条件通过教会行动获得——教会作为救赎的分施者，以其权威分配和应用基督及圣人们的补赎宝库。」</w:t>
      </w:r>
      <w:r>
        <w:rPr>
          <w:rStyle w:val="FootnoteReference"/>
        </w:rPr>
        <w:footnoteReference w:id="2525"/>
      </w:r>
    </w:p>
    <w:p>
      <w:pPr>
        <w:pStyle w:val="BodyText"/>
      </w:pPr>
      <w:r>
        <w:t xml:space="preserve">「大赦按其免除罪过暂罚的部分或全部，分为限大赦与全大赦。」</w:t>
      </w:r>
      <w:r>
        <w:rPr>
          <w:rStyle w:val="FootnoteReference"/>
        </w:rPr>
        <w:footnoteReference w:id="2526"/>
      </w:r>
    </w:p>
    <w:p>
      <w:pPr>
        <w:pStyle w:val="BodyText"/>
      </w:pPr>
      <w:r>
        <w:t xml:space="preserve">信徒可为己或为亡者获得大赦</w:t>
      </w:r>
      <w:r>
        <w:rPr>
          <w:rStyle w:val="FootnoteReference"/>
        </w:rPr>
        <w:footnoteReference w:id="2527"/>
      </w:r>
      <w:r>
        <w:t xml:space="preserve">。</w:t>
      </w:r>
    </w:p>
    <w:bookmarkEnd w:id="2528"/>
    <w:bookmarkStart w:id="2531" w:name="罪罚"/>
    <w:p>
      <w:pPr>
        <w:pStyle w:val="Heading6"/>
      </w:pPr>
      <w:r>
        <w:t xml:space="preserve">罪罚</w:t>
      </w:r>
    </w:p>
    <w:p>
      <w:pPr>
        <w:pStyle w:val="FirstParagraph"/>
      </w:pPr>
      <w:r>
        <w:t xml:space="preserve">要理解教会这一教义与实践，必须明白罪有</w:t>
      </w:r>
      <w:r>
        <w:rPr>
          <w:i/>
          <w:iCs/>
        </w:rPr>
        <w:t xml:space="preserve">双重后果</w:t>
      </w:r>
      <w:r>
        <w:t xml:space="preserve">。大罪剥夺我们与神的共融，因而使人不能获得永生，这种剥夺称为罪的「永罚」。另一方面，每个罪过（即使小罪）都导致对受造物的不健康依恋，必须在此世或在死后称为炼狱的状态中净化。这种净化使人摆脱罪的所谓「暂罚」。这两种惩罚不应被视为神从外部施加的报复，而是源于罪本身的本质。来自炽热仁爱的归正能使罪人获得完全净化，以致不留任何惩罚</w:t>
      </w:r>
      <w:r>
        <w:rPr>
          <w:rStyle w:val="FootnoteReference"/>
        </w:rPr>
        <w:footnoteReference w:id="2529"/>
      </w:r>
      <w:r>
        <w:t xml:space="preserve">。</w:t>
      </w:r>
    </w:p>
    <w:p>
      <w:pPr>
        <w:pStyle w:val="BodyText"/>
      </w:pPr>
      <w:r>
        <w:t xml:space="preserve">罪过的赦免和与神共融的恢复，意味着罪之永罚的免除，但暂罚仍然存在。基督徒应在耐心忍受各种痛苦考验、并在死亡来临时平静面对的同时，努力将这罪的暂罚视为恩典来接受。他应通过慈善工作、祈祷和各种补赎实践，努力完全「脱去旧人」而「穿上新人」</w:t>
      </w:r>
      <w:r>
        <w:rPr>
          <w:rStyle w:val="FootnoteReference"/>
        </w:rPr>
        <w:footnoteReference w:id="2530"/>
      </w:r>
      <w:r>
        <w:t xml:space="preserve">。</w:t>
      </w:r>
    </w:p>
    <w:bookmarkEnd w:id="2531"/>
    <w:bookmarkStart w:id="2536" w:name="在圣徒相通中"/>
    <w:p>
      <w:pPr>
        <w:pStyle w:val="Heading6"/>
      </w:pPr>
      <w:r>
        <w:t xml:space="preserve">在圣徒相通中</w:t>
      </w:r>
    </w:p>
    <w:p>
      <w:pPr>
        <w:pStyle w:val="FirstParagraph"/>
      </w:pPr>
      <w:r>
        <w:t xml:space="preserve">寻求净化己罪并在神恩典帮助下成圣的基督徒并不孤单。「每位神子女的生命，都在基督里并借着基督，以奇妙方式与所有其他基督徒弟兄的生命相连，在基督奥体超自然的合一中，如同在一个奥妙的人身内。」</w:t>
      </w:r>
      <w:r>
        <w:rPr>
          <w:rStyle w:val="FootnoteReference"/>
        </w:rPr>
        <w:footnoteReference w:id="2532"/>
      </w:r>
    </w:p>
    <w:p>
      <w:pPr>
        <w:pStyle w:val="BodyText"/>
      </w:pPr>
      <w:r>
        <w:t xml:space="preserve">在圣徒相通中，「已抵达天乡的信徒、在炼狱中做补赎的信徒，以及仍在今世旅途的信徒之间，存在着恒久的仁爱联系。他们之间也有丰富的美善交流。」</w:t>
      </w:r>
      <w:r>
        <w:rPr>
          <w:rStyle w:val="FootnoteReference"/>
        </w:rPr>
        <w:footnoteReference w:id="2533"/>
      </w:r>
      <w:r>
        <w:t xml:space="preserve">在这奇妙的交流中，一人的圣德使他人受益，远超过一人之罪可能给他人造成的伤害。因此，求助于圣徒相通，能使痛悔的罪人更迅速有效地净化罪罚。</w:t>
      </w:r>
    </w:p>
    <w:p>
      <w:pPr>
        <w:pStyle w:val="BodyText"/>
      </w:pPr>
      <w:r>
        <w:t xml:space="preserve">我们也称圣徒相通的这些灵性益处为</w:t>
      </w:r>
      <w:r>
        <w:rPr>
          <w:i/>
          <w:iCs/>
        </w:rPr>
        <w:t xml:space="preserve">教会宝库</w:t>
      </w:r>
      <w:r>
        <w:t xml:space="preserve">，它「不是数个世纪积累的物质财富总和。相反，『教会宝库』是基督功绩在神前具有的、永不枯竭的无限价值。这些功绩被献上，为使全人类能从罪中获救并与圣父共融。在救主基督里，他救赎的补赎与功绩存在并发挥效力。」</w:t>
      </w:r>
      <w:r>
        <w:rPr>
          <w:rStyle w:val="FootnoteReference"/>
        </w:rPr>
        <w:footnoteReference w:id="2534"/>
      </w:r>
    </w:p>
    <w:p>
      <w:pPr>
        <w:pStyle w:val="BodyText"/>
      </w:pPr>
      <w:r>
        <w:t xml:space="preserve">「这宝库也包括圣母马利亚的祈祷与善工。它们在神前确实浩瀚无垠、深不可测，且具有原始性的价值。宝库中还有所有圣人的祈祷与善工——那些追随基督上主、靠他的恩典圣化生命并完成父所托付使命的人。他们如此获得自己的救恩，同时也在奥体合一中协助弟兄得救。」</w:t>
      </w:r>
      <w:r>
        <w:rPr>
          <w:rStyle w:val="FootnoteReference"/>
        </w:rPr>
        <w:footnoteReference w:id="2535"/>
      </w:r>
    </w:p>
    <w:bookmarkEnd w:id="2536"/>
    <w:bookmarkStart w:id="2538" w:name="通过教会从神获得大赦"/>
    <w:p>
      <w:pPr>
        <w:pStyle w:val="Heading6"/>
      </w:pPr>
      <w:r>
        <w:t xml:space="preserve">通过教会从神获得大赦</w:t>
      </w:r>
    </w:p>
    <w:p>
      <w:pPr>
        <w:pStyle w:val="FirstParagraph"/>
      </w:pPr>
      <w:r>
        <w:t xml:space="preserve">大赦是通过教会获得的——她凭基督耶稣授予的捆绑与释放权能，为个别基督徒代祷，为他们开启基督与圣人们的功绩宝库，从仁慈之父那里获得罪之暂罚的赦免。因此，教会不仅想援助这些基督徒，也想激励他们从事虔敬、补赎和仁爱工作</w:t>
      </w:r>
      <w:r>
        <w:rPr>
          <w:rStyle w:val="FootnoteReference"/>
        </w:rPr>
        <w:footnoteReference w:id="2537"/>
      </w:r>
      <w:r>
        <w:t xml:space="preserve">。</w:t>
      </w:r>
    </w:p>
    <w:p>
      <w:pPr>
        <w:pStyle w:val="BodyText"/>
      </w:pPr>
      <w:r>
        <w:t xml:space="preserve">既然正在净化的亡者也是同一圣徒相通的成员，我们帮助他们的方式之一就是为他们获得大赦，使他们罪过的暂罚得以赦免。</w:t>
      </w:r>
    </w:p>
    <w:bookmarkEnd w:id="2538"/>
    <w:bookmarkEnd w:id="2539"/>
    <w:bookmarkStart w:id="2547" w:name="十一忏悔圣事的举行"/>
    <w:p>
      <w:pPr>
        <w:pStyle w:val="Heading5"/>
      </w:pPr>
      <w:r>
        <w:t xml:space="preserve">十一、忏悔圣事的举行</w:t>
      </w:r>
    </w:p>
    <w:p>
      <w:pPr>
        <w:pStyle w:val="FirstParagraph"/>
      </w:pPr>
      <w:r>
        <w:t xml:space="preserve">如同所有圣事，告解是礼仪行动。其举行要素通常包括：祭司的问候与祝福、诵读神的话语以光照良心并激发痛悔、劝勉悔改；告明罪过并向祭司陈明；指定与接受补赎；祭司的赦罪；感恩赞美祈祷以及祭司祝福后的遣散。</w:t>
      </w:r>
    </w:p>
    <w:p>
      <w:pPr>
        <w:pStyle w:val="BodyText"/>
      </w:pPr>
      <w:r>
        <w:t xml:space="preserve">拜占庭礼承认几种赦罪经文，以呼求的形式美妙表达宽恕的奥秘：「愿同一位神——他曾借先知拿单宽恕认罪的大卫，宽恕痛哭的彼得，宽恕用眼泪为他洗脚的妇人，宽恕税吏和荡子——通过我这罪人，在今世与来世宽恕你，并使你们能毫无指摘地站在他可畏的审判台前，他是永受赞美的，直到永远。阿们。」</w:t>
      </w:r>
    </w:p>
    <w:p>
      <w:pPr>
        <w:pStyle w:val="BodyText"/>
      </w:pPr>
      <w:r>
        <w:t xml:space="preserve">告解圣事也可在</w:t>
      </w:r>
      <w:r>
        <w:rPr>
          <w:i/>
          <w:iCs/>
        </w:rPr>
        <w:t xml:space="preserve">团体庆祝</w:t>
      </w:r>
      <w:r>
        <w:t xml:space="preserve">框架内举行：我们一起准备告解，并为获得的宽恕共同感恩。在此，本罪过的告明与个别赦罪被插入包括读经、讲道、共同良心省察、团体求恕、主祷文和共同感恩的圣道礼仪中。这种团体庆祝更清晰地表达补赎的教会性。但无论以何种方式举行，告解圣事本质上始终是礼仪行动，因而是教会性与公开的行动</w:t>
      </w:r>
      <w:r>
        <w:rPr>
          <w:rStyle w:val="FootnoteReference"/>
        </w:rPr>
        <w:footnoteReference w:id="2540"/>
      </w:r>
      <w:r>
        <w:t xml:space="preserve">。</w:t>
      </w:r>
    </w:p>
    <w:p>
      <w:pPr>
        <w:pStyle w:val="BodyText"/>
      </w:pPr>
      <w:r>
        <w:t xml:space="preserve">在严重必要时，可采取</w:t>
      </w:r>
      <w:r>
        <w:rPr>
          <w:i/>
          <w:iCs/>
        </w:rPr>
        <w:t xml:space="preserve">集体和好礼与总告解、总赦罪</w:t>
      </w:r>
      <w:r>
        <w:t xml:space="preserve">。此类严重情况包括：面临死亡危险且无足够时间让祭司听每人告解；或因告解者众多，缺乏足够祭司在合理时间内妥善听每人告解，以致告解者非因自身过失将长期无法获得圣事恩典或圣餐。此时，为使赦罪有效，信徒必须有意在适当时期内个别告明自己的大罪</w:t>
      </w:r>
      <w:r>
        <w:rPr>
          <w:rStyle w:val="FootnoteReference"/>
        </w:rPr>
        <w:footnoteReference w:id="2541"/>
      </w:r>
      <w:r>
        <w:t xml:space="preserve">。教区主教是判断是否存在集体赦罪条件的裁决者</w:t>
      </w:r>
      <w:r>
        <w:rPr>
          <w:rStyle w:val="FootnoteReference"/>
        </w:rPr>
        <w:footnoteReference w:id="2542"/>
      </w:r>
      <w:r>
        <w:t xml:space="preserve">。重大节庆或朝圣时的大规模信徒聚集不构成严重需要</w:t>
      </w:r>
      <w:r>
        <w:rPr>
          <w:rStyle w:val="FootnoteReference"/>
        </w:rPr>
        <w:footnoteReference w:id="2543"/>
      </w:r>
      <w:r>
        <w:t xml:space="preserve">。</w:t>
      </w:r>
    </w:p>
    <w:p>
      <w:pPr>
        <w:pStyle w:val="BodyText"/>
      </w:pPr>
      <w:r>
        <w:t xml:space="preserve">「个别而完整的告解与赦罪，始终是信徒与神及教会和好的唯一常规方式，除非身体或道德上无法做到这种告解。」</w:t>
      </w:r>
      <w:r>
        <w:rPr>
          <w:rStyle w:val="FootnoteReference"/>
        </w:rPr>
        <w:footnoteReference w:id="2544"/>
      </w:r>
      <w:r>
        <w:t xml:space="preserve">这有深刻理由：基督在每件圣事中工作，他亲自对每位罪人说：「小子，你的罪赦了」</w:t>
      </w:r>
      <w:r>
        <w:rPr>
          <w:rStyle w:val="FootnoteReference"/>
        </w:rPr>
        <w:footnoteReference w:id="2545"/>
      </w:r>
      <w:r>
        <w:t xml:space="preserve">。他是医治每位需要他的病人的医生</w:t>
      </w:r>
      <w:r>
        <w:rPr>
          <w:rStyle w:val="FootnoteReference"/>
        </w:rPr>
        <w:footnoteReference w:id="2546"/>
      </w:r>
      <w:r>
        <w:t xml:space="preserve">。他扶起他们，使他们重新融入兄弟共融。因此，个人告明是与神及教会和好的最富表达性的方式。</w:t>
      </w:r>
    </w:p>
    <w:bookmarkEnd w:id="2547"/>
    <w:bookmarkStart w:id="2548" w:name="综述-37"/>
    <w:p>
      <w:pPr>
        <w:pStyle w:val="Heading5"/>
      </w:pPr>
      <w:r>
        <w:t xml:space="preserve">综述</w:t>
      </w:r>
    </w:p>
    <w:p>
      <w:pPr>
        <w:pStyle w:val="FirstParagraph"/>
      </w:pPr>
      <w:r>
        <w:t xml:space="preserve">「那日（就是七日的第一日）晚上」，耶稣向使徒显现，「向他们吹一口气，说：『你们受圣灵。你们赦免谁的罪，谁的罪就赦免了；你们留下谁的罪，谁的罪就留下了』」（</w:t>
      </w:r>
      <w:r>
        <w:rPr>
          <w:i/>
          <w:iCs/>
        </w:rPr>
        <w:t xml:space="preserve">约</w:t>
      </w:r>
      <w:r>
        <w:t xml:space="preserve">20:19,22-23）。</w:t>
      </w:r>
    </w:p>
    <w:p>
      <w:pPr>
        <w:pStyle w:val="BodyText"/>
      </w:pPr>
      <w:r>
        <w:t xml:space="preserve">洗礼后所犯罪过的赦免，由称为归正、告解、补赎或和好的特殊圣事赋予。</w:t>
      </w:r>
    </w:p>
    <w:p>
      <w:pPr>
        <w:pStyle w:val="BodyText"/>
      </w:pPr>
      <w:r>
        <w:t xml:space="preserve">罪人伤害神的尊荣与仁爱，伤害自己被召成为神子女的人性尊严，也伤害教会——每位基督徒本应成为其活石——的灵性福祉。</w:t>
      </w:r>
    </w:p>
    <w:p>
      <w:pPr>
        <w:pStyle w:val="BodyText"/>
      </w:pPr>
      <w:r>
        <w:t xml:space="preserve">在信心的眼光中，没有比罪更严重的恶，也没有任何事物比罪对罪人自己、教会及整个世界造成更恶劣的后果。</w:t>
      </w:r>
    </w:p>
    <w:p>
      <w:pPr>
        <w:pStyle w:val="BodyText"/>
      </w:pPr>
      <w:r>
        <w:t xml:space="preserve">在因罪失去与神的共融后重新恢复这共融，是源于神恩典的过程——他富于仁慈并关切人类的得救。人必须为自己和他人求此珍贵恩赐。</w:t>
      </w:r>
    </w:p>
    <w:p>
      <w:pPr>
        <w:pStyle w:val="BodyText"/>
      </w:pPr>
      <w:r>
        <w:t xml:space="preserve">归向神的运动称为归正与悔改，包含对所犯罪过的悲痛与憎恶，以及今后不再犯罪的坚定决心。归正触及过去与未来，并由对神仁慈的盼望所滋养。</w:t>
      </w:r>
    </w:p>
    <w:p>
      <w:pPr>
        <w:pStyle w:val="BodyText"/>
      </w:pPr>
      <w:r>
        <w:t xml:space="preserve">告解圣事是一个整体，包含忏悔者的三个行动与祭司的赦罪。忏悔者的行动是：痛悔、向祭司告明罪过、以及赔补与行补赎的意愿。</w:t>
      </w:r>
    </w:p>
    <w:p>
      <w:pPr>
        <w:pStyle w:val="BodyText"/>
      </w:pPr>
      <w:r>
        <w:t xml:space="preserve">痛悔必须由出于信心的动机所启发。若痛悔源于对神的仁爱，则称为「完整痛悔」；若基于其他动机，则称为「不完整痛悔」。</w:t>
      </w:r>
    </w:p>
    <w:p>
      <w:pPr>
        <w:pStyle w:val="BodyText"/>
      </w:pPr>
      <w:r>
        <w:t xml:space="preserve">渴望与神及教会和好者，应在仔细省察良心后，向祭司告明所有记得的未告明大罪。小罪的告明虽非绝对必要，但教会仍极力推荐。</w:t>
      </w:r>
    </w:p>
    <w:p>
      <w:pPr>
        <w:pStyle w:val="BodyText"/>
      </w:pPr>
      <w:r>
        <w:t xml:space="preserve">听告解者会指定某些「补赎」行为，由忏悔者履行，以修补罪过造成的伤害，并重建适合基督门徒的习惯。</w:t>
      </w:r>
    </w:p>
    <w:p>
      <w:pPr>
        <w:pStyle w:val="BodyText"/>
      </w:pPr>
      <w:r>
        <w:t xml:space="preserve">唯有从教会权威获得赦罪权的祭司，能以基督之名赦罪。</w:t>
      </w:r>
    </w:p>
    <w:p>
      <w:pPr>
        <w:pStyle w:val="BodyText"/>
      </w:pPr>
      <w:r>
        <w:t xml:space="preserve">告解圣事的灵性效果包括： { }</w:t>
      </w:r>
    </w:p>
    <w:p>
      <w:pPr>
        <w:pStyle w:val="Compact"/>
        <w:numPr>
          <w:ilvl w:val="0"/>
          <w:numId w:val="1016"/>
        </w:numPr>
      </w:pPr>
      <w:r>
        <w:t xml:space="preserve">与神和好，使忏悔者重获恩典；</w:t>
      </w:r>
    </w:p>
    <w:p>
      <w:pPr>
        <w:pStyle w:val="Compact"/>
        <w:numPr>
          <w:ilvl w:val="0"/>
          <w:numId w:val="1016"/>
        </w:numPr>
      </w:pPr>
      <w:r>
        <w:t xml:space="preserve">与教会和好；</w:t>
      </w:r>
    </w:p>
    <w:p>
      <w:pPr>
        <w:pStyle w:val="Compact"/>
        <w:numPr>
          <w:ilvl w:val="0"/>
          <w:numId w:val="1016"/>
        </w:numPr>
      </w:pPr>
      <w:r>
        <w:t xml:space="preserve">赦免因大罪招致的永罚；</w:t>
      </w:r>
    </w:p>
    <w:p>
      <w:pPr>
        <w:pStyle w:val="Compact"/>
        <w:numPr>
          <w:ilvl w:val="0"/>
          <w:numId w:val="1016"/>
        </w:numPr>
      </w:pPr>
      <w:r>
        <w:t xml:space="preserve">至少部分赦免罪过带来的暂罚；</w:t>
      </w:r>
    </w:p>
    <w:p>
      <w:pPr>
        <w:pStyle w:val="Compact"/>
        <w:numPr>
          <w:ilvl w:val="0"/>
          <w:numId w:val="1016"/>
        </w:numPr>
      </w:pPr>
      <w:r>
        <w:t xml:space="preserve">良心的平安宁静与灵性安慰；</w:t>
      </w:r>
    </w:p>
    <w:p>
      <w:pPr>
        <w:pStyle w:val="Compact"/>
        <w:numPr>
          <w:ilvl w:val="0"/>
          <w:numId w:val="1016"/>
        </w:numPr>
      </w:pPr>
      <w:r>
        <w:t xml:space="preserve">增强基督徒战斗的灵性力量。</w:t>
      </w:r>
    </w:p>
    <w:p>
      <w:pPr>
        <w:pStyle w:val="FirstParagraph"/>
      </w:pPr>
      <w:r>
        <w:t xml:space="preserve">个别而完整地告明大罪并获得赦罪，始终是与神及教会和好的唯一常规方式。</w:t>
      </w:r>
    </w:p>
    <w:p>
      <w:pPr>
        <w:pStyle w:val="BodyText"/>
      </w:pPr>
      <w:r>
        <w:t xml:space="preserve">信徒可通过大赦，为自己及炼狱灵魂获得罪过暂罚的赦免。</w:t>
      </w:r>
    </w:p>
    <w:p>
      <w:r>
        <w:br w:type="page"/>
      </w:r>
    </w:p>
    <w:bookmarkEnd w:id="2548"/>
    <w:bookmarkEnd w:id="2549"/>
    <w:bookmarkStart w:id="2602" w:name="第五条病人傅油"/>
    <w:p>
      <w:pPr>
        <w:pStyle w:val="Heading4"/>
      </w:pPr>
      <w:r>
        <w:t xml:space="preserve">第五条：病人傅油</w:t>
      </w:r>
    </w:p>
    <w:p>
      <w:pPr>
        <w:pStyle w:val="FirstParagraph"/>
      </w:pPr>
      <w:r>
        <w:t xml:space="preserve">「藉着神圣傅油与祭司的祈祷，整个教会将患病者托付给受苦且受光荣的主，求他扶起并拯救他们。教会更劝勉他们藉着自愿结合于基督的受难与死亡，为神的子民益处作出贡献。」</w:t>
      </w:r>
      <w:r>
        <w:rPr>
          <w:rStyle w:val="FootnoteReference"/>
        </w:rPr>
        <w:footnoteReference w:id="2550"/>
      </w:r>
    </w:p>
    <w:bookmarkStart w:id="2582" w:name="一在救恩计划中的基础"/>
    <w:p>
      <w:pPr>
        <w:pStyle w:val="Heading5"/>
      </w:pPr>
      <w:r>
        <w:t xml:space="preserve">一、在救恩计划中的基础</w:t>
      </w:r>
    </w:p>
    <w:p>
      <w:pPr>
        <w:pStyle w:val="FirstParagraph"/>
      </w:pPr>
      <w:r>
        <w:rPr>
          <w:i/>
          <w:iCs/>
        </w:rPr>
        <w:t xml:space="preserve">人生中的疾病</w:t>
      </w:r>
      <w:r>
        <w:t xml:space="preserve"> </w:t>
      </w:r>
      <w:r>
        <w:t xml:space="preserve">疾病与痛苦始终是人类生命面临的最严峻问题之一。在疾病中，人体验到自己的无能、局限与有限。每种疾病都让我们瞥见死亡。</w:t>
      </w:r>
    </w:p>
    <w:p>
      <w:pPr>
        <w:pStyle w:val="BodyText"/>
      </w:pPr>
      <w:r>
        <w:t xml:space="preserve">疾病可能导致焦虑、自我封闭，有时甚至使人绝望并背叛神。它也能使人更成熟，帮助他分辨生命中非本质的事物，从而转向本质。疾病常常引发对神的追寻与归依。</w:t>
      </w:r>
    </w:p>
    <w:p>
      <w:pPr>
        <w:pStyle w:val="BodyText"/>
      </w:pPr>
      <w:r>
        <w:rPr>
          <w:i/>
          <w:iCs/>
        </w:rPr>
        <w:t xml:space="preserve">在神面前的患病者</w:t>
      </w:r>
      <w:r>
        <w:t xml:space="preserve"> </w:t>
      </w:r>
      <w:r>
        <w:t xml:space="preserve">旧约中的人在神面前经历疾病。他在神面前哀叹病痛，并向生命与死亡的主宰祈求医治。</w:t>
      </w:r>
      <w:r>
        <w:rPr>
          <w:rStyle w:val="FootnoteReference"/>
        </w:rPr>
        <w:footnoteReference w:id="2551"/>
      </w:r>
      <w:r>
        <w:t xml:space="preserve"> </w:t>
      </w:r>
      <w:r>
        <w:t xml:space="preserve">疾病成为归正的途径；神的赦免开启医治。</w:t>
      </w:r>
      <w:r>
        <w:rPr>
          <w:rStyle w:val="FootnoteReference"/>
        </w:rPr>
        <w:footnoteReference w:id="2552"/>
      </w:r>
      <w:r>
        <w:t xml:space="preserve"> </w:t>
      </w:r>
      <w:r>
        <w:t xml:space="preserve">以色列的经验表明，疾病与罪恶神秘相连，而按神的律法忠于神可恢复生命：「因为我耶和华是医治你的。」</w:t>
      </w:r>
      <w:r>
        <w:rPr>
          <w:rStyle w:val="FootnoteReference"/>
        </w:rPr>
        <w:footnoteReference w:id="2553"/>
      </w:r>
      <w:r>
        <w:t xml:space="preserve"> </w:t>
      </w:r>
      <w:r>
        <w:t xml:space="preserve">先知直觉到痛苦也能为他人之罪具有救赎性意义。</w:t>
      </w:r>
      <w:r>
        <w:rPr>
          <w:rStyle w:val="FootnoteReference"/>
        </w:rPr>
        <w:footnoteReference w:id="2554"/>
      </w:r>
      <w:r>
        <w:t xml:space="preserve"> </w:t>
      </w:r>
      <w:r>
        <w:t xml:space="preserve">最终以赛亚宣告神将为锡安开启新时代，赦免一切过犯，医治所有疾病。</w:t>
      </w:r>
      <w:r>
        <w:rPr>
          <w:rStyle w:val="FootnoteReference"/>
        </w:rPr>
        <w:footnoteReference w:id="2555"/>
      </w:r>
    </w:p>
    <w:p>
      <w:pPr>
        <w:pStyle w:val="BodyText"/>
      </w:pPr>
      <w:r>
        <w:rPr>
          <w:i/>
          <w:iCs/>
        </w:rPr>
        <w:t xml:space="preserve">医师基督</w:t>
      </w:r>
      <w:r>
        <w:t xml:space="preserve"> </w:t>
      </w:r>
      <w:r>
        <w:t xml:space="preserve">基督对病人的怜悯及对各种疾病的医治，是「神眷顾了他的百姓」</w:t>
      </w:r>
      <w:r>
        <w:rPr>
          <w:rStyle w:val="FootnoteReference"/>
        </w:rPr>
        <w:footnoteReference w:id="2556"/>
      </w:r>
      <w:r>
        <w:t xml:space="preserve">及神国临近的鲜明标记。耶稣不仅有能力医治，还能赦罪；</w:t>
      </w:r>
      <w:r>
        <w:rPr>
          <w:rStyle w:val="FootnoteReference"/>
        </w:rPr>
        <w:footnoteReference w:id="2557"/>
      </w:r>
      <w:r>
        <w:t xml:space="preserve"> </w:t>
      </w:r>
      <w:r>
        <w:t xml:space="preserve">他来是为医治全人——灵魂与身体；他是病人所需的医师。</w:t>
      </w:r>
      <w:r>
        <w:rPr>
          <w:rStyle w:val="FootnoteReference"/>
        </w:rPr>
        <w:footnoteReference w:id="2558"/>
      </w:r>
      <w:r>
        <w:t xml:space="preserve"> </w:t>
      </w:r>
      <w:r>
        <w:t xml:space="preserve">他对受苦者的怜悯甚至达到与认同他们的程度：「我病了，你们看顾我。」</w:t>
      </w:r>
      <w:r>
        <w:rPr>
          <w:rStyle w:val="FootnoteReference"/>
        </w:rPr>
        <w:footnoteReference w:id="2559"/>
      </w:r>
      <w:r>
        <w:t xml:space="preserve"> </w:t>
      </w:r>
      <w:r>
        <w:t xml:space="preserve">他对病人特殊的爱，几个世纪以来不断促使基督徒特别关注身心受苦者，成为不懈安慰他们的动力源泉。</w:t>
      </w:r>
    </w:p>
    <w:p>
      <w:pPr>
        <w:pStyle w:val="BodyText"/>
      </w:pPr>
      <w:r>
        <w:t xml:space="preserve">耶稣常要求病人有信心。</w:t>
      </w:r>
      <w:r>
        <w:rPr>
          <w:rStyle w:val="FootnoteReference"/>
        </w:rPr>
        <w:footnoteReference w:id="2560"/>
      </w:r>
      <w:r>
        <w:t xml:space="preserve"> </w:t>
      </w:r>
      <w:r>
        <w:t xml:space="preserve">他使用标记来医治：唾沫与按手，</w:t>
      </w:r>
      <w:r>
        <w:rPr>
          <w:rStyle w:val="FootnoteReference"/>
        </w:rPr>
        <w:footnoteReference w:id="2561"/>
      </w:r>
      <w:r>
        <w:t xml:space="preserve"> </w:t>
      </w:r>
      <w:r>
        <w:t xml:space="preserve">泥与洗涤。</w:t>
      </w:r>
      <w:r>
        <w:rPr>
          <w:rStyle w:val="FootnoteReference"/>
        </w:rPr>
        <w:footnoteReference w:id="2562"/>
      </w:r>
      <w:r>
        <w:t xml:space="preserve"> </w:t>
      </w:r>
      <w:r>
        <w:t xml:space="preserve">病人设法摸他，「因为有能力从他身上发出来，医好他们。」</w:t>
      </w:r>
      <w:r>
        <w:rPr>
          <w:rStyle w:val="FootnoteReference"/>
        </w:rPr>
        <w:footnoteReference w:id="2563"/>
      </w:r>
      <w:r>
        <w:t xml:space="preserve"> </w:t>
      </w:r>
      <w:r>
        <w:t xml:space="preserve">因此在圣事中，基督继续「触摸」我们以施行医治。</w:t>
      </w:r>
    </w:p>
    <w:p>
      <w:pPr>
        <w:pStyle w:val="BodyText"/>
      </w:pPr>
      <w:r>
        <w:t xml:space="preserve">基督被如此多的苦难所动，不仅让病人触摸他，更将他们的痛苦当作自己的：「他代替我们的软弱，担当我们的疾病。」</w:t>
      </w:r>
      <w:r>
        <w:rPr>
          <w:rStyle w:val="FootnoteReference"/>
        </w:rPr>
        <w:footnoteReference w:id="2564"/>
      </w:r>
      <w:r>
        <w:t xml:space="preserve">但他并未治愈所有病人。他的医治是神国来临的标记，预告更彻底的痊愈——藉他的逾越奥秘战胜罪恶与死亡。在十字架上，基督承担了全部罪恶的重担，除去了「世人罪孽」</w:t>
      </w:r>
      <w:r>
        <w:rPr>
          <w:rStyle w:val="FootnoteReference"/>
        </w:rPr>
        <w:footnoteReference w:id="2565"/>
      </w:r>
      <w:r>
        <w:t xml:space="preserve">——疾病只是其后果之一。基督藉十字架上的受难与死亡，赋予痛苦新意义：从此它能使人肖似他，并与他救赎性的苦难结合。</w:t>
      </w:r>
    </w:p>
    <w:p>
      <w:pPr>
        <w:pStyle w:val="BodyText"/>
      </w:pPr>
      <w:r>
        <w:rPr>
          <w:i/>
          <w:iCs/>
        </w:rPr>
        <w:t xml:space="preserve">「医治病人…」</w:t>
      </w:r>
      <w:r>
        <w:t xml:space="preserve"> </w:t>
      </w:r>
      <w:r>
        <w:t xml:space="preserve">基督邀请门徒背负自己的十字架来跟随他。</w:t>
      </w:r>
      <w:r>
        <w:rPr>
          <w:rStyle w:val="FootnoteReference"/>
        </w:rPr>
        <w:footnoteReference w:id="2566"/>
      </w:r>
      <w:r>
        <w:t xml:space="preserve">跟随中，他们获得对疾病与病人的新眼光。耶稣使他们参与自己贫穷与服务的生活，分享他怜悯与医治的使命：「门徒就出去传道，叫人悔改，又赶出许多鬼，用油抹了许多病人，治好他们。」</w:t>
      </w:r>
      <w:r>
        <w:rPr>
          <w:rStyle w:val="FootnoteReference"/>
        </w:rPr>
        <w:footnoteReference w:id="2567"/>
      </w:r>
    </w:p>
    <w:p>
      <w:pPr>
        <w:pStyle w:val="BodyText"/>
      </w:pPr>
      <w:r>
        <w:t xml:space="preserve">复活的主更新这使命（「奉我的名…手按病人，病人就必好了。」</w:t>
      </w:r>
      <w:r>
        <w:rPr>
          <w:rStyle w:val="FootnoteReference"/>
        </w:rPr>
        <w:footnoteReference w:id="2568"/>
      </w:r>
      <w:r>
        <w:t xml:space="preserve">），并藉教会呼求他名所行的神迹予以确认。</w:t>
      </w:r>
      <w:r>
        <w:rPr>
          <w:rStyle w:val="FootnoteReference"/>
        </w:rPr>
        <w:footnoteReference w:id="2569"/>
      </w:r>
      <w:r>
        <w:t xml:space="preserve">这些神迹特别表明耶稣真是「拯救的神」</w:t>
      </w:r>
      <w:r>
        <w:rPr>
          <w:rStyle w:val="FootnoteReference"/>
        </w:rPr>
        <w:footnoteReference w:id="2570"/>
      </w:r>
      <w:r>
        <w:t xml:space="preserve">。</w:t>
      </w:r>
    </w:p>
    <w:p>
      <w:pPr>
        <w:pStyle w:val="BodyText"/>
      </w:pPr>
      <w:r>
        <w:t xml:space="preserve">圣灵赐予某些人医治的特恩</w:t>
      </w:r>
      <w:r>
        <w:rPr>
          <w:rStyle w:val="FootnoteReference"/>
        </w:rPr>
        <w:footnoteReference w:id="2571"/>
      </w:r>
      <w:r>
        <w:t xml:space="preserve">，为彰显复活主恩典的力量。但即使最热切的祈祷也未必总使疾病痊愈。因此圣保罗需从主学习：「我的恩典够你用的，因为我的能力是在人的软弱上显得完全」，而忍受苦难意味着「为基督的身体——就是教会——要在我肉身上补满基督患难的缺欠。」</w:t>
      </w:r>
      <w:r>
        <w:rPr>
          <w:rStyle w:val="FootnoteReference"/>
        </w:rPr>
        <w:footnoteReference w:id="2572"/>
      </w:r>
    </w:p>
    <w:p>
      <w:pPr>
        <w:pStyle w:val="BodyText"/>
      </w:pPr>
      <w:r>
        <w:t xml:space="preserve">「医治病人！」</w:t>
      </w:r>
      <w:r>
        <w:rPr>
          <w:rStyle w:val="FootnoteReference"/>
        </w:rPr>
        <w:footnoteReference w:id="2573"/>
      </w:r>
      <w:r>
        <w:t xml:space="preserve">教会从主领受这使命，既通过照护病人，也以代祷陪伴他们来完成。她相信基督——灵魂与身体的医师——赋予生命的临在。这临在特别通过圣事运作，尤其是圣餐这赐永生的食粮——圣保罗提示其与身体健康相关。</w:t>
      </w:r>
      <w:r>
        <w:rPr>
          <w:rStyle w:val="FootnoteReference"/>
        </w:rPr>
        <w:footnoteReference w:id="2574"/>
      </w:r>
    </w:p>
    <w:p>
      <w:pPr>
        <w:pStyle w:val="BodyText"/>
      </w:pPr>
      <w:r>
        <w:t xml:space="preserve">然而使徒时代的教会已有为病人的礼仪，圣雅各作证说：「你们中间有病了的呢，他就该请教会的长老们来；他们可以奉主的名用油抹他，为他祷告。出于信心的祈祷要救那病人，主必叫他起来；他若犯了罪，也必蒙赦免。」</w:t>
      </w:r>
      <w:r>
        <w:rPr>
          <w:rStyle w:val="FootnoteReference"/>
        </w:rPr>
        <w:footnoteReference w:id="2575"/>
      </w:r>
      <w:r>
        <w:t xml:space="preserve">圣传视此礼仪为七件圣事之一。</w:t>
      </w:r>
      <w:r>
        <w:rPr>
          <w:rStyle w:val="FootnoteReference"/>
        </w:rPr>
        <w:footnoteReference w:id="2576"/>
      </w:r>
    </w:p>
    <w:p>
      <w:pPr>
        <w:pStyle w:val="BodyText"/>
      </w:pPr>
      <w:r>
        <w:rPr>
          <w:i/>
          <w:iCs/>
        </w:rPr>
        <w:t xml:space="preserve">病人的圣事</w:t>
      </w:r>
      <w:r>
        <w:t xml:space="preserve">教会相信并宣认：七件圣事中有一件特别为坚强受疾病考验者——病人傅油：</w:t>
      </w:r>
    </w:p>
    <w:p>
      <w:pPr>
        <w:pStyle w:val="BodyText"/>
      </w:pPr>
      <w:r>
        <w:t xml:space="preserve">这病人的神圣傅油由我们的主基督立定为新约的真正圣事。马可已暗示此事，而主的弟兄使徒雅各则向信徒推荐并颁布。</w:t>
      </w:r>
      <w:r>
        <w:rPr>
          <w:rStyle w:val="FootnoteReference"/>
        </w:rPr>
        <w:footnoteReference w:id="2577"/>
      </w:r>
    </w:p>
    <w:p>
      <w:pPr>
        <w:pStyle w:val="BodyText"/>
      </w:pPr>
      <w:r>
        <w:t xml:space="preserve">从古代东西方礼仪传统中，我们已有用祝圣过的油傅抹病人的见证。数世纪来，病人傅油越来越专为临终者施行，因而得名「终傅」。尽管有此演变，礼仪始终不忘祈求：若有益于病人灵魂的得救，愿他恢复健康。</w:t>
      </w:r>
      <w:r>
        <w:rPr>
          <w:rStyle w:val="FootnoteReference"/>
        </w:rPr>
        <w:footnoteReference w:id="2578"/>
      </w:r>
    </w:p>
    <w:p>
      <w:pPr>
        <w:pStyle w:val="BodyText"/>
      </w:pPr>
      <w:r>
        <w:t xml:space="preserve">梵蒂冈第二届大公会议后</w:t>
      </w:r>
      <w:r>
        <w:rPr>
          <w:rStyle w:val="FootnoteReference"/>
        </w:rPr>
        <w:footnoteReference w:id="2579"/>
      </w:r>
      <w:r>
        <w:t xml:space="preserve">，保禄六世的宗座宪章《病人傅油圣事》</w:t>
      </w:r>
      <w:r>
        <w:rPr>
          <w:rStyle w:val="FootnoteReference"/>
        </w:rPr>
        <w:footnoteReference w:id="2580"/>
      </w:r>
      <w:r>
        <w:t xml:space="preserve">规定罗马礼中此后应遵守：</w:t>
      </w:r>
    </w:p>
    <w:p>
      <w:pPr>
        <w:pStyle w:val="BodyText"/>
      </w:pPr>
      <w:r>
        <w:t xml:space="preserve">病人傅油圣事为重病患者施行，用正规祝圣的油——橄榄或其他植物榨取的——在其额头与双手傅抹，并仅诵念一次：「藉此神圣傅油，愿主以他的仁爱和怜悯，藉圣灵的恩典帮助你。愿赦免你罪过的主拯救你，使你振作。」</w:t>
      </w:r>
      <w:r>
        <w:rPr>
          <w:rStyle w:val="FootnoteReference"/>
        </w:rPr>
        <w:footnoteReference w:id="2581"/>
      </w:r>
    </w:p>
    <w:bookmarkEnd w:id="2582"/>
    <w:bookmarkStart w:id="2585" w:name="二谁可领受及谁可施行此圣事"/>
    <w:p>
      <w:pPr>
        <w:pStyle w:val="Heading5"/>
      </w:pPr>
      <w:r>
        <w:t xml:space="preserve">二、谁可领受及谁可施行此圣事？</w:t>
      </w:r>
    </w:p>
    <w:p>
      <w:pPr>
        <w:pStyle w:val="FirstParagraph"/>
      </w:pPr>
      <w:r>
        <w:rPr>
          <w:i/>
          <w:iCs/>
        </w:rPr>
        <w:t xml:space="preserve">在重病情况下…</w:t>
      </w:r>
      <w:r>
        <w:t xml:space="preserve"> </w:t>
      </w:r>
      <w:r>
        <w:t xml:space="preserve">病人傅油「并非仅为临终者的圣事。因此，当信徒因疾病或年老而开始有生命危险时，显然已是领受此圣事的合适时机。」</w:t>
      </w:r>
      <w:r>
        <w:rPr>
          <w:rStyle w:val="FootnoteReference"/>
        </w:rPr>
        <w:footnoteReference w:id="2583"/>
      </w:r>
    </w:p>
    <w:p>
      <w:pPr>
        <w:pStyle w:val="BodyText"/>
      </w:pPr>
      <w:r>
        <w:t xml:space="preserve">若领受膏油的病人康复后再次患重病，可重新领受此圣事。同一病症若转危，可重复施行。重大手术前领受病人傅油亦属相宜，年老体衰者亦然。</w:t>
      </w:r>
    </w:p>
    <w:p>
      <w:pPr>
        <w:pStyle w:val="BodyText"/>
      </w:pPr>
      <w:r>
        <w:rPr>
          <w:i/>
          <w:iCs/>
        </w:rPr>
        <w:t xml:space="preserve">「…该请教会的长老们来」</w:t>
      </w:r>
      <w:r>
        <w:t xml:space="preserve"> </w:t>
      </w:r>
      <w:r>
        <w:t xml:space="preserve">只有祭司（主教与长老）是病人傅油的施行人。</w:t>
      </w:r>
      <w:r>
        <w:rPr>
          <w:rStyle w:val="FootnoteReference"/>
        </w:rPr>
        <w:footnoteReference w:id="2584"/>
      </w:r>
      <w:r>
        <w:t xml:space="preserve"> </w:t>
      </w:r>
      <w:r>
        <w:t xml:space="preserve">牧者有责任教导信徒此圣事的益处。信徒应鼓励病人请祭司来施行圣事。病人应在牧者及全体教会团体协助下，以妥善准备领受圣事；教会团体尤应通过祈祷与兄弟般的关怀，特别陪伴病人。</w:t>
      </w:r>
    </w:p>
    <w:bookmarkEnd w:id="2585"/>
    <w:bookmarkStart w:id="2589" w:name="三如何举行此圣事"/>
    <w:p>
      <w:pPr>
        <w:pStyle w:val="Heading5"/>
      </w:pPr>
      <w:r>
        <w:t xml:space="preserve">三、如何举行此圣事？</w:t>
      </w:r>
    </w:p>
    <w:p>
      <w:pPr>
        <w:pStyle w:val="FirstParagraph"/>
      </w:pPr>
      <w:r>
        <w:t xml:space="preserve">如同所有圣事，病人傅油是礼仪性与团体性的庆典，</w:t>
      </w:r>
      <w:r>
        <w:rPr>
          <w:rStyle w:val="FootnoteReference"/>
        </w:rPr>
        <w:footnoteReference w:id="2586"/>
      </w:r>
      <w:r>
        <w:t xml:space="preserve"> </w:t>
      </w:r>
      <w:r>
        <w:t xml:space="preserve">无论在家中、医院或教堂，为单个或群体病患举行皆可。在纪念主逾越奥秘的感恩祭中举行尤为适宜。依情况建议，可先举行忏悔圣事，随后领受感恩圣事。作为基督逾越的圣事，感恩祭常应是今世旅途的最后圣事——进入永生的「临终圣餐」。</w:t>
      </w:r>
    </w:p>
    <w:p>
      <w:pPr>
        <w:pStyle w:val="BodyText"/>
      </w:pPr>
      <w:r>
        <w:t xml:space="preserve">道与圣事构成不可分的整体。以悔罪行动开始的圣道礼仪，藉基督的话语与使徒的见证，唤醒病人与团体的信心，以祈求主赐予圣灵的力量。</w:t>
      </w:r>
    </w:p>
    <w:p>
      <w:pPr>
        <w:pStyle w:val="BodyText"/>
      </w:pPr>
      <w:r>
        <w:t xml:space="preserve">这圣事的庆祝包括以下主要部分：「教会的祭司」</w:t>
      </w:r>
      <w:r>
        <w:rPr>
          <w:rStyle w:val="FootnoteReference"/>
        </w:rPr>
        <w:footnoteReference w:id="2587"/>
      </w:r>
      <w:r>
        <w:t xml:space="preserve">——在静默中——为病人按手；他们以教会的信心为病人祈祷</w:t>
      </w:r>
      <w:r>
        <w:rPr>
          <w:rStyle w:val="FootnoteReference"/>
        </w:rPr>
        <w:footnoteReference w:id="2588"/>
      </w:r>
      <w:r>
        <w:t xml:space="preserve">——这是本圣事特有的呼求圣灵；然后他们用油傅抹病人，这油可能的话应由主教祝圣。</w:t>
      </w:r>
    </w:p>
    <w:p>
      <w:pPr>
        <w:pStyle w:val="BodyText"/>
      </w:pPr>
      <w:r>
        <w:t xml:space="preserve">这些礼仪行动表明这圣事给病人带来什么恩典。 { }</w:t>
      </w:r>
    </w:p>
    <w:bookmarkEnd w:id="2589"/>
    <w:bookmarkStart w:id="2596" w:name="四举行此圣事的功效"/>
    <w:p>
      <w:pPr>
        <w:pStyle w:val="Heading5"/>
      </w:pPr>
      <w:r>
        <w:t xml:space="preserve">四、举行此圣事的功效</w:t>
      </w:r>
    </w:p>
    <w:p>
      <w:pPr>
        <w:pStyle w:val="FirstParagraph"/>
      </w:pPr>
      <w:r>
        <w:rPr>
          <w:i/>
          <w:iCs/>
        </w:rPr>
        <w:t xml:space="preserve">圣灵的特殊恩赐</w:t>
      </w:r>
      <w:r>
        <w:t xml:space="preserve">。此圣事的首要恩典是坚强、平安与勇气，以克服重病或年老体衰伴随的困难。这恩典是圣灵的礼物，能更新对神的信赖与信心，并在面对死亡时，坚强抵抗恶者的诱惑——灰心与焦虑的诱惑。</w:t>
      </w:r>
      <w:r>
        <w:rPr>
          <w:rStyle w:val="FootnoteReference"/>
        </w:rPr>
        <w:footnoteReference w:id="2590"/>
      </w:r>
      <w:r>
        <w:t xml:space="preserve"> </w:t>
      </w:r>
      <w:r>
        <w:t xml:space="preserve">主藉其圣灵大能的帮助，旨在引领病人获得灵魂的痊愈，若合乎神的旨意，也可获身体痊愈。</w:t>
      </w:r>
      <w:r>
        <w:rPr>
          <w:rStyle w:val="FootnoteReference"/>
        </w:rPr>
        <w:footnoteReference w:id="2591"/>
      </w:r>
      <w:r>
        <w:t xml:space="preserve"> </w:t>
      </w:r>
      <w:r>
        <w:t xml:space="preserve">此外，「他若犯了罪，也必蒙赦免。」</w:t>
      </w:r>
      <w:r>
        <w:rPr>
          <w:rStyle w:val="FootnoteReference"/>
        </w:rPr>
        <w:footnoteReference w:id="2592"/>
      </w:r>
    </w:p>
    <w:p>
      <w:pPr>
        <w:pStyle w:val="BodyText"/>
      </w:pPr>
      <w:r>
        <w:rPr>
          <w:i/>
          <w:iCs/>
        </w:rPr>
        <w:t xml:space="preserve">与基督苦难的结合</w:t>
      </w:r>
      <w:r>
        <w:t xml:space="preserve">。藉此圣事的恩典，病人获得力量与恩赐，能更紧密地结合于基督的苦难：在某种意义上，他被祝圣为藉肖似救主救赎性的苦难而结出果实。原罪后果的痛苦获得新意义，成为参与耶稣救赎工程的方式。</w:t>
      </w:r>
    </w:p>
    <w:p>
      <w:pPr>
        <w:pStyle w:val="BodyText"/>
      </w:pPr>
      <w:r>
        <w:rPr>
          <w:i/>
          <w:iCs/>
        </w:rPr>
        <w:t xml:space="preserve">教会的恩典</w:t>
      </w:r>
      <w:r>
        <w:t xml:space="preserve">。领受此圣事的病人「自愿结合于基督的苦难与死亡」，「为神的子民益处作出贡献。」</w:t>
      </w:r>
      <w:r>
        <w:rPr>
          <w:rStyle w:val="FootnoteReference"/>
        </w:rPr>
        <w:footnoteReference w:id="2593"/>
      </w:r>
      <w:r>
        <w:t xml:space="preserve"> </w:t>
      </w:r>
      <w:r>
        <w:t xml:space="preserve">教会举行此圣事时，在诸圣相通中为病人代祷；而病人则藉此圣事恩典，协助教会圣化，并为教会藉基督献给天父的所有人灵——教会为他们受苦并奉献自己——带来益处。</w:t>
      </w:r>
    </w:p>
    <w:p>
      <w:pPr>
        <w:pStyle w:val="BodyText"/>
      </w:pPr>
      <w:r>
        <w:rPr>
          <w:i/>
          <w:iCs/>
        </w:rPr>
        <w:t xml:space="preserve">迈向最后旅程的准备</w:t>
      </w:r>
      <w:r>
        <w:t xml:space="preserve">。若病人傅油圣事可施予所有重病衰弱者，则更应施予即将离世者，故亦称为</w:t>
      </w:r>
      <w:r>
        <w:rPr>
          <w:i/>
          <w:iCs/>
        </w:rPr>
        <w:t xml:space="preserve">临终者的圣事</w:t>
      </w:r>
      <w:r>
        <w:t xml:space="preserve">。</w:t>
      </w:r>
      <w:r>
        <w:rPr>
          <w:rStyle w:val="FootnoteReference"/>
        </w:rPr>
        <w:footnoteReference w:id="2594"/>
      </w:r>
      <w:r>
        <w:t xml:space="preserve"> </w:t>
      </w:r>
      <w:r>
        <w:t xml:space="preserve">病人傅油完成我们相似基督死亡与复活的历程，如同洗礼开启这历程。它圆满标志基督徒一生的傅油：洗礼的傅油在我们内印证新生命，坚振的傅油为今世战斗坚强我们。这最后的傅油如同坚固堡垒，强化我们今世生命的终点，以面对进入父家前的最后战斗。</w:t>
      </w:r>
      <w:r>
        <w:rPr>
          <w:rStyle w:val="FootnoteReference"/>
        </w:rPr>
        <w:footnoteReference w:id="2595"/>
      </w:r>
    </w:p>
    <w:bookmarkEnd w:id="2596"/>
    <w:bookmarkStart w:id="2599" w:name="五临终圣餐基督徒的最后圣事"/>
    <w:p>
      <w:pPr>
        <w:pStyle w:val="Heading5"/>
      </w:pPr>
      <w:r>
        <w:t xml:space="preserve">五、临终圣餐——基督徒的最后圣事</w:t>
      </w:r>
    </w:p>
    <w:p>
      <w:pPr>
        <w:pStyle w:val="FirstParagraph"/>
      </w:pPr>
      <w:r>
        <w:t xml:space="preserve">除病人傅油外，教会为即将离世者提供感恩圣事作为临终圣餐。在这「逾越」到父家的时刻领受基督体血，具有特殊意义与重要性。这是永生的种子与复活的能力，正如主所言：「吃我肉、喝我血的人就有永生，在末日我要叫他复活。」</w:t>
      </w:r>
      <w:r>
        <w:rPr>
          <w:rStyle w:val="FootnoteReference"/>
        </w:rPr>
        <w:footnoteReference w:id="2597"/>
      </w:r>
      <w:r>
        <w:t xml:space="preserve"> </w:t>
      </w:r>
      <w:r>
        <w:t xml:space="preserve">作为曾死而复活的基督的圣事，感恩祭在此成为从死亡到生命、从此世到父家的逾越圣事。</w:t>
      </w:r>
      <w:r>
        <w:rPr>
          <w:rStyle w:val="FootnoteReference"/>
        </w:rPr>
        <w:footnoteReference w:id="2598"/>
      </w:r>
    </w:p>
    <w:p>
      <w:pPr>
        <w:pStyle w:val="BodyText"/>
      </w:pPr>
      <w:r>
        <w:t xml:space="preserve">因此，正如洗礼、坚振与圣餐构成称为「基督徒入门圣事」的统一体，忏悔、病人傅油与作为临终圣餐的感恩祭，也可说是在基督徒生命终点构成「准备我们进入天乡的圣事」，或完成今世朝圣的圣事。</w:t>
      </w:r>
    </w:p>
    <w:bookmarkEnd w:id="2599"/>
    <w:bookmarkStart w:id="2601" w:name="综述-38"/>
    <w:p>
      <w:pPr>
        <w:pStyle w:val="Heading5"/>
      </w:pPr>
      <w:r>
        <w:t xml:space="preserve">综述</w:t>
      </w:r>
    </w:p>
    <w:p>
      <w:pPr>
        <w:pStyle w:val="FirstParagraph"/>
      </w:pPr>
      <w:r>
        <w:t xml:space="preserve">「你们中间有病了的呢，他就该请教会的长老们来；他们可以奉主的名用油抹他，为他祷告。出于信心的祈祷要救那病人，主必叫他起来；他若犯了罪，也必蒙赦免」（雅5:14-15）。</w:t>
      </w:r>
    </w:p>
    <w:p>
      <w:pPr>
        <w:pStyle w:val="BodyText"/>
      </w:pPr>
      <w:r>
        <w:t xml:space="preserve">病人傅油圣事的目的是赋予面临重病或年老体弱困境的基督徒特殊恩典。</w:t>
      </w:r>
    </w:p>
    <w:p>
      <w:pPr>
        <w:pStyle w:val="BodyText"/>
      </w:pPr>
      <w:r>
        <w:t xml:space="preserve">当信徒因疾病或年老而面临死亡危险时，显然已是领受此神圣傅油的合适时机。</w:t>
      </w:r>
    </w:p>
    <w:p>
      <w:pPr>
        <w:pStyle w:val="BodyText"/>
      </w:pPr>
      <w:r>
        <w:t xml:space="preserve">基督徒每次患重病时均可领受病人傅油，若病情在领受后恶化，亦可重复领受。</w:t>
      </w:r>
    </w:p>
    <w:p>
      <w:pPr>
        <w:pStyle w:val="BodyText"/>
      </w:pPr>
      <w:r>
        <w:t xml:space="preserve">只有祭司（长老与主教）能施行病人傅油圣事，需使用主教祝圣的油，必要时亦可由主礼长老自行祝圣。</w:t>
      </w:r>
      <w:r>
        <w:rPr>
          <w:rStyle w:val="FootnoteReference"/>
        </w:rPr>
        <w:footnoteReference w:id="2600"/>
      </w:r>
    </w:p>
    <w:p>
      <w:pPr>
        <w:pStyle w:val="BodyText"/>
      </w:pPr>
      <w:r>
        <w:t xml:space="preserve">病人傅油的举行，本质上包括傅抹病人额头与双手（罗马礼）或身体其他部位（东方礼），同时主礼者诵念礼仪经文，祈求此圣事的特殊恩典。</w:t>
      </w:r>
    </w:p>
    <w:p>
      <w:pPr>
        <w:pStyle w:val="BodyText"/>
      </w:pPr>
      <w:r>
        <w:t xml:space="preserve">病人傅油圣事的特殊恩典具有以下功效： { }</w:t>
      </w:r>
    </w:p>
    <w:p>
      <w:pPr>
        <w:pStyle w:val="Compact"/>
        <w:numPr>
          <w:ilvl w:val="0"/>
          <w:numId w:val="1017"/>
        </w:numPr>
      </w:pPr>
      <w:r>
        <w:t xml:space="preserve">使病人结合于基督的苦难，为他自身及整个教会的益处；</w:t>
      </w:r>
    </w:p>
    <w:p>
      <w:pPr>
        <w:pStyle w:val="Compact"/>
        <w:numPr>
          <w:ilvl w:val="0"/>
          <w:numId w:val="1017"/>
        </w:numPr>
      </w:pPr>
      <w:r>
        <w:t xml:space="preserve">赐予力量、平安与勇气，以基督徒的方式坚忍疾病或年老的痛苦；</w:t>
      </w:r>
    </w:p>
    <w:p>
      <w:pPr>
        <w:pStyle w:val="Compact"/>
        <w:numPr>
          <w:ilvl w:val="0"/>
          <w:numId w:val="1017"/>
        </w:numPr>
      </w:pPr>
      <w:r>
        <w:t xml:space="preserve">若病人未能通过忏悔圣事获得赦免，则赦免其罪过；</w:t>
      </w:r>
    </w:p>
    <w:p>
      <w:pPr>
        <w:pStyle w:val="Compact"/>
        <w:numPr>
          <w:ilvl w:val="0"/>
          <w:numId w:val="1017"/>
        </w:numPr>
      </w:pPr>
      <w:r>
        <w:t xml:space="preserve">若有助于灵魂得救，则恢复其健康；</w:t>
      </w:r>
    </w:p>
    <w:p>
      <w:pPr>
        <w:pStyle w:val="Compact"/>
        <w:numPr>
          <w:ilvl w:val="0"/>
          <w:numId w:val="1017"/>
        </w:numPr>
      </w:pPr>
      <w:r>
        <w:t xml:space="preserve">为进入永生作准备。</w:t>
      </w:r>
    </w:p>
    <w:p>
      <w:r>
        <w:br w:type="page"/>
      </w:r>
    </w:p>
    <w:bookmarkEnd w:id="2601"/>
    <w:bookmarkEnd w:id="2602"/>
    <w:bookmarkEnd w:id="2603"/>
    <w:bookmarkStart w:id="2814" w:name="第三章为共融服务的圣事"/>
    <w:p>
      <w:pPr>
        <w:pStyle w:val="Heading3"/>
      </w:pPr>
      <w:r>
        <w:t xml:space="preserve">第三章：为共融服务的圣事</w:t>
      </w:r>
    </w:p>
    <w:p>
      <w:pPr>
        <w:pStyle w:val="FirstParagraph"/>
      </w:pPr>
      <w:r>
        <w:t xml:space="preserve">洗礼、坚振和圣餐是基督徒入门圣事。它们奠定了所有基督门徒的共同圣召，即成圣的圣召和向世界传福音的使命。它们赋予在此生作为朝向家乡的朝圣者按照圣灵生活所需的恩典。</w:t>
      </w:r>
    </w:p>
    <w:p>
      <w:pPr>
        <w:pStyle w:val="BodyText"/>
      </w:pPr>
      <w:r>
        <w:t xml:space="preserve">另外两件圣事，圣秩和婚姻，是为了他人的救恩；如果它们也有助于个人的救恩，那是通过为他人服务而达成的。它们在教会内赋予特殊的使命，并服务于建立神的子民。</w:t>
      </w:r>
    </w:p>
    <w:p>
      <w:pPr>
        <w:pStyle w:val="BodyText"/>
      </w:pPr>
      <w:r>
        <w:t xml:space="preserve">通过这些圣事，那些已经因洗礼和坚振</w:t>
      </w:r>
      <w:r>
        <w:rPr>
          <w:rStyle w:val="FootnoteReference"/>
        </w:rPr>
        <w:footnoteReference w:id="2604"/>
      </w:r>
      <w:r>
        <w:t xml:space="preserve">而为所有信徒的共同祭司职</w:t>
      </w:r>
      <w:r>
        <w:rPr>
          <w:i/>
          <w:iCs/>
        </w:rPr>
        <w:t xml:space="preserve">祝圣</w:t>
      </w:r>
      <w:r>
        <w:t xml:space="preserve">的人，可以接受特殊的</w:t>
      </w:r>
      <w:r>
        <w:rPr>
          <w:i/>
          <w:iCs/>
        </w:rPr>
        <w:t xml:space="preserve">祝圣</w:t>
      </w:r>
      <w:r>
        <w:t xml:space="preserve">。那些领受圣秩圣事的人，以基督的名义被</w:t>
      </w:r>
      <w:r>
        <w:rPr>
          <w:i/>
          <w:iCs/>
        </w:rPr>
        <w:t xml:space="preserve">祝圣</w:t>
      </w:r>
      <w:r>
        <w:t xml:space="preserve">，「以神的道和恩典牧养教会」。</w:t>
      </w:r>
      <w:r>
        <w:rPr>
          <w:rStyle w:val="FootnoteReference"/>
        </w:rPr>
        <w:footnoteReference w:id="2605"/>
      </w:r>
      <w:r>
        <w:t xml:space="preserve">另一方面，「基督徒夫妇因特殊的圣事而被坚固，并且可以说是为他们身份的职责和尊严而被</w:t>
      </w:r>
      <w:r>
        <w:rPr>
          <w:i/>
          <w:iCs/>
        </w:rPr>
        <w:t xml:space="preserve">祝圣</w:t>
      </w:r>
      <w:r>
        <w:t xml:space="preserve">」。</w:t>
      </w:r>
      <w:r>
        <w:rPr>
          <w:rStyle w:val="FootnoteReference"/>
        </w:rPr>
        <w:footnoteReference w:id="2606"/>
      </w:r>
    </w:p>
    <w:p>
      <w:r>
        <w:br w:type="page"/>
      </w:r>
    </w:p>
    <w:bookmarkStart w:id="2705" w:name="第六条圣秩圣事"/>
    <w:p>
      <w:pPr>
        <w:pStyle w:val="Heading4"/>
      </w:pPr>
      <w:r>
        <w:t xml:space="preserve">第六条：圣秩圣事</w:t>
      </w:r>
    </w:p>
    <w:p>
      <w:pPr>
        <w:pStyle w:val="FirstParagraph"/>
      </w:pPr>
      <w:r>
        <w:t xml:space="preserve">圣秩是基督托付给使徒的使命在教会内继续执行直到时代终结的圣事：因此它是使徒职务的圣事。它包括三个等级：主教职、祭司职和执事职。</w:t>
      </w:r>
    </w:p>
    <w:p>
      <w:pPr>
        <w:pStyle w:val="BodyText"/>
      </w:pPr>
      <w:r>
        <w:t xml:space="preserve">（关于基督设立使徒职务及其使命，见上文874段及以下。这里只论述传递这职务的圣事方式。）</w:t>
      </w:r>
    </w:p>
    <w:bookmarkStart w:id="2609" w:name="一为什么这圣事称为圣秩"/>
    <w:p>
      <w:pPr>
        <w:pStyle w:val="Heading5"/>
      </w:pPr>
      <w:r>
        <w:t xml:space="preserve">一、为什么这圣事称为「圣秩」？</w:t>
      </w:r>
    </w:p>
    <w:p>
      <w:pPr>
        <w:pStyle w:val="FirstParagraph"/>
      </w:pPr>
      <w:r>
        <w:t xml:space="preserve">在罗马古代，</w:t>
      </w:r>
      <w:r>
        <w:rPr>
          <w:i/>
          <w:iCs/>
        </w:rPr>
        <w:t xml:space="preserve">order</w:t>
      </w:r>
      <w:r>
        <w:t xml:space="preserve">（秩序）一词指一个既定的公民团体，特别是管理团体。</w:t>
      </w:r>
      <w:r>
        <w:rPr>
          <w:i/>
          <w:iCs/>
        </w:rPr>
        <w:t xml:space="preserve">Ordinatio</w:t>
      </w:r>
      <w:r>
        <w:t xml:space="preserve">（授职）意味着加入一个</w:t>
      </w:r>
      <w:r>
        <w:rPr>
          <w:i/>
          <w:iCs/>
        </w:rPr>
        <w:t xml:space="preserve">ordo</w:t>
      </w:r>
      <w:r>
        <w:t xml:space="preserve">（团体）。在教会内有一些既定的团体，圣传——并非没有圣经根据</w:t>
      </w:r>
      <w:r>
        <w:rPr>
          <w:rStyle w:val="FootnoteReference"/>
        </w:rPr>
        <w:footnoteReference w:id="2607"/>
      </w:r>
      <w:r>
        <w:t xml:space="preserve">——自古以来称之为</w:t>
      </w:r>
      <w:r>
        <w:rPr>
          <w:i/>
          <w:iCs/>
        </w:rPr>
        <w:t xml:space="preserve">taxeis</w:t>
      </w:r>
      <w:r>
        <w:t xml:space="preserve">（希腊文）或</w:t>
      </w:r>
      <w:r>
        <w:rPr>
          <w:i/>
          <w:iCs/>
        </w:rPr>
        <w:t xml:space="preserve">ordines</w:t>
      </w:r>
      <w:r>
        <w:t xml:space="preserve">（拉丁文）。因此礼仪中说到</w:t>
      </w:r>
      <w:r>
        <w:rPr>
          <w:i/>
          <w:iCs/>
        </w:rPr>
        <w:t xml:space="preserve">ordo episcoporum</w:t>
      </w:r>
      <w:r>
        <w:t xml:space="preserve">（主教团）、</w:t>
      </w:r>
      <w:r>
        <w:rPr>
          <w:i/>
          <w:iCs/>
        </w:rPr>
        <w:t xml:space="preserve">ordo presbyterorum</w:t>
      </w:r>
      <w:r>
        <w:t xml:space="preserve">（祭司团）、</w:t>
      </w:r>
      <w:r>
        <w:rPr>
          <w:i/>
          <w:iCs/>
        </w:rPr>
        <w:t xml:space="preserve">ordo diaconorum</w:t>
      </w:r>
      <w:r>
        <w:t xml:space="preserve">（执事团）。其他群体也获得ordo这个名称：慕道者、贞女、夫妇、寡妇……</w:t>
      </w:r>
    </w:p>
    <w:p>
      <w:pPr>
        <w:pStyle w:val="BodyText"/>
      </w:pPr>
      <w:r>
        <w:t xml:space="preserve">加入教会内这些团体之一是通过称为</w:t>
      </w:r>
      <w:r>
        <w:rPr>
          <w:i/>
          <w:iCs/>
        </w:rPr>
        <w:t xml:space="preserve">ordinatio</w:t>
      </w:r>
      <w:r>
        <w:t xml:space="preserve">（授职）的礼仪完成的，这是一个宗教和礼仪行为，是祝圣、祝福或圣事。今天，「</w:t>
      </w:r>
      <w:r>
        <w:rPr>
          <w:i/>
          <w:iCs/>
        </w:rPr>
        <w:t xml:space="preserve">授职</w:t>
      </w:r>
      <w:r>
        <w:t xml:space="preserve">」一词专指将一个人纳入主教、祭司或执事团的圣事行为，它超越了团体的简单</w:t>
      </w:r>
      <w:r>
        <w:rPr>
          <w:i/>
          <w:iCs/>
        </w:rPr>
        <w:t xml:space="preserve">选举、指定、委派或任命</w:t>
      </w:r>
      <w:r>
        <w:t xml:space="preserve">，因为它赋予圣灵的恩赐，使人能够行使「神圣权力」（</w:t>
      </w:r>
      <w:r>
        <w:rPr>
          <w:i/>
          <w:iCs/>
        </w:rPr>
        <w:t xml:space="preserve">sacra potestas</w:t>
      </w:r>
      <w:r>
        <w:t xml:space="preserve">），</w:t>
      </w:r>
      <w:r>
        <w:rPr>
          <w:rStyle w:val="FootnoteReference"/>
        </w:rPr>
        <w:footnoteReference w:id="2608"/>
      </w:r>
      <w:r>
        <w:t xml:space="preserve">这权力只能来自基督自己通过他的教会。授职也称为</w:t>
      </w:r>
      <w:r>
        <w:rPr>
          <w:i/>
          <w:iCs/>
        </w:rPr>
        <w:t xml:space="preserve">consecratio</w:t>
      </w:r>
      <w:r>
        <w:t xml:space="preserve">（祝圣），因为它是基督亲自为他的教会所作的分别和授权。主教的</w:t>
      </w:r>
      <w:r>
        <w:rPr>
          <w:i/>
          <w:iCs/>
        </w:rPr>
        <w:t xml:space="preserve">按手</w:t>
      </w:r>
      <w:r>
        <w:t xml:space="preserve">，连同祝圣祷文，构成了这授职的可见标记。</w:t>
      </w:r>
    </w:p>
    <w:bookmarkEnd w:id="2609"/>
    <w:bookmarkStart w:id="2641" w:name="二圣秩圣事在救恩计划中的地位"/>
    <w:p>
      <w:pPr>
        <w:pStyle w:val="Heading5"/>
      </w:pPr>
      <w:r>
        <w:t xml:space="preserve">二、圣秩圣事在救恩计划中的地位</w:t>
      </w:r>
    </w:p>
    <w:bookmarkStart w:id="2619" w:name="旧约的祭司职"/>
    <w:p>
      <w:pPr>
        <w:pStyle w:val="Heading6"/>
      </w:pPr>
      <w:r>
        <w:t xml:space="preserve">旧约的祭司职</w:t>
      </w:r>
    </w:p>
    <w:p>
      <w:pPr>
        <w:pStyle w:val="FirstParagraph"/>
      </w:pPr>
      <w:r>
        <w:t xml:space="preserve">被拣选的子民被神立为「祭司的国度，圣洁的国民」。</w:t>
      </w:r>
      <w:r>
        <w:rPr>
          <w:rStyle w:val="FootnoteReference"/>
        </w:rPr>
        <w:footnoteReference w:id="2610"/>
      </w:r>
      <w:r>
        <w:t xml:space="preserve">但在以色列民中，神拣选了十二支派中的一支，即利未支派，将其分别出来从事礼仪服务；神自己是他们的产业。</w:t>
      </w:r>
      <w:r>
        <w:rPr>
          <w:rStyle w:val="FootnoteReference"/>
        </w:rPr>
        <w:footnoteReference w:id="2611"/>
      </w:r>
      <w:r>
        <w:t xml:space="preserve">一个特殊的礼仪祝圣了旧约祭司职的开端。祭司们「奉派替人办理属神的事，为要献上礼物和赎罪祭」。</w:t>
      </w:r>
      <w:r>
        <w:rPr>
          <w:rStyle w:val="FootnoteReference"/>
        </w:rPr>
        <w:footnoteReference w:id="2612"/>
      </w:r>
    </w:p>
    <w:p>
      <w:pPr>
        <w:pStyle w:val="BodyText"/>
      </w:pPr>
      <w:r>
        <w:t xml:space="preserve">这祭司职被设立来宣讲神的道，并通过祭献和祈祷恢复与神的共融，</w:t>
      </w:r>
      <w:r>
        <w:rPr>
          <w:rStyle w:val="FootnoteReference"/>
        </w:rPr>
        <w:footnoteReference w:id="2613"/>
      </w:r>
      <w:r>
        <w:t xml:space="preserve">然而它仍然无力带来救恩，需要不断重复祭献，无法达到决定性的圣化，只有基督的祭献才能完成这一切。</w:t>
      </w:r>
      <w:r>
        <w:rPr>
          <w:rStyle w:val="FootnoteReference"/>
        </w:rPr>
        <w:footnoteReference w:id="2614"/>
      </w:r>
    </w:p>
    <w:p>
      <w:pPr>
        <w:pStyle w:val="BodyText"/>
      </w:pPr>
      <w:r>
        <w:t xml:space="preserve">然而，教会的礼仪在亚伦的祭司职和利未人的服务中，以及在七十位长老的设立中，</w:t>
      </w:r>
      <w:r>
        <w:rPr>
          <w:rStyle w:val="FootnoteReference"/>
        </w:rPr>
        <w:footnoteReference w:id="2615"/>
      </w:r>
      <w:r>
        <w:t xml:space="preserve">看到了新约授职职务的预表。因此在拉丁礼中，教会在主教授职的祝圣颂谢词中祈祷：</w:t>
      </w:r>
    </w:p>
    <w:p>
      <w:pPr>
        <w:pStyle w:val="BlockText"/>
      </w:pPr>
      <w:r>
        <w:t xml:space="preserve">我们主耶稣基督的父神……</w:t>
      </w:r>
      <w:r>
        <w:t xml:space="preserve"> </w:t>
      </w:r>
      <w:r>
        <w:t xml:space="preserve">你以恩慈的话语</w:t>
      </w:r>
      <w:r>
        <w:t xml:space="preserve"> </w:t>
      </w:r>
      <w:r>
        <w:t xml:space="preserve">建立了你教会的计划。</w:t>
      </w:r>
    </w:p>
    <w:p>
      <w:pPr>
        <w:pStyle w:val="BlockText"/>
      </w:pPr>
      <w:r>
        <w:t xml:space="preserve">从起初，</w:t>
      </w:r>
      <w:r>
        <w:t xml:space="preserve"> </w:t>
      </w:r>
      <w:r>
        <w:t xml:space="preserve">你拣选亚伯拉罕的后裔作你的圣洁国民。</w:t>
      </w:r>
      <w:r>
        <w:t xml:space="preserve"> </w:t>
      </w:r>
      <w:r>
        <w:t xml:space="preserve">你设立了统治者和祭司，</w:t>
      </w:r>
      <w:r>
        <w:t xml:space="preserve"> </w:t>
      </w:r>
      <w:r>
        <w:t xml:space="preserve">没有让你的圣所缺少服事你的职事人员……</w:t>
      </w:r>
      <w:r>
        <w:rPr>
          <w:rStyle w:val="FootnoteReference"/>
        </w:rPr>
        <w:footnoteReference w:id="2616"/>
      </w:r>
    </w:p>
    <w:p>
      <w:pPr>
        <w:pStyle w:val="FirstParagraph"/>
      </w:pPr>
      <w:r>
        <w:t xml:space="preserve">在祭司授职礼中，教会祈祷：</w:t>
      </w:r>
    </w:p>
    <w:p>
      <w:pPr>
        <w:pStyle w:val="BlockText"/>
      </w:pPr>
      <w:r>
        <w:t xml:space="preserve">主，圣父……</w:t>
      </w:r>
      <w:r>
        <w:t xml:space="preserve"> </w:t>
      </w:r>
      <w:r>
        <w:t xml:space="preserve">当你指派大祭司统治你的子民时，</w:t>
      </w:r>
      <w:r>
        <w:t xml:space="preserve"> </w:t>
      </w:r>
      <w:r>
        <w:t xml:space="preserve">你拣选其他在品级和尊严上次于他们的人</w:t>
      </w:r>
      <w:r>
        <w:t xml:space="preserve"> </w:t>
      </w:r>
      <w:r>
        <w:t xml:space="preserve">与他们同在并协助他们的工作……</w:t>
      </w:r>
    </w:p>
    <w:p>
      <w:pPr>
        <w:pStyle w:val="BlockText"/>
      </w:pPr>
      <w:r>
        <w:t xml:space="preserve">你将摩西的灵分给七十位智者……</w:t>
      </w:r>
      <w:r>
        <w:t xml:space="preserve"> </w:t>
      </w:r>
      <w:r>
        <w:t xml:space="preserve">你在亚伦的众子中</w:t>
      </w:r>
      <w:r>
        <w:t xml:space="preserve"> </w:t>
      </w:r>
      <w:r>
        <w:t xml:space="preserve">分享了他们父亲权力的圆满。</w:t>
      </w:r>
      <w:r>
        <w:rPr>
          <w:rStyle w:val="FootnoteReference"/>
        </w:rPr>
        <w:footnoteReference w:id="2617"/>
      </w:r>
    </w:p>
    <w:p>
      <w:pPr>
        <w:pStyle w:val="FirstParagraph"/>
      </w:pPr>
      <w:r>
        <w:t xml:space="preserve">在执事授职的祝圣祷文中，教会宣认：</w:t>
      </w:r>
    </w:p>
    <w:p>
      <w:pPr>
        <w:pStyle w:val="BlockText"/>
      </w:pPr>
      <w:r>
        <w:t xml:space="preserve">全能的神……</w:t>
      </w:r>
      <w:r>
        <w:t xml:space="preserve"> </w:t>
      </w:r>
      <w:r>
        <w:t xml:space="preserve">你使教会，基督的身体，</w:t>
      </w:r>
      <w:r>
        <w:t xml:space="preserve"> </w:t>
      </w:r>
      <w:r>
        <w:t xml:space="preserve">成长为一座新的更伟大的圣殿。</w:t>
      </w:r>
      <w:r>
        <w:t xml:space="preserve"> </w:t>
      </w:r>
      <w:r>
        <w:t xml:space="preserve">你以各样恩典丰富它，</w:t>
      </w:r>
      <w:r>
        <w:t xml:space="preserve"> </w:t>
      </w:r>
      <w:r>
        <w:t xml:space="preserve">以不同的肢体使它完美，</w:t>
      </w:r>
      <w:r>
        <w:t xml:space="preserve"> </w:t>
      </w:r>
      <w:r>
        <w:t xml:space="preserve">在奇妙的合一模式中服务整个身体。</w:t>
      </w:r>
    </w:p>
    <w:p>
      <w:pPr>
        <w:pStyle w:val="BlockText"/>
      </w:pPr>
      <w:r>
        <w:t xml:space="preserve">你为了你名的荣耀，</w:t>
      </w:r>
      <w:r>
        <w:t xml:space="preserve"> </w:t>
      </w:r>
      <w:r>
        <w:t xml:space="preserve">设立了敬拜和服务的三重职务。</w:t>
      </w:r>
      <w:r>
        <w:t xml:space="preserve"> </w:t>
      </w:r>
      <w:r>
        <w:t xml:space="preserve">你拣选利未的子孙作为你会幕的职事人员，</w:t>
      </w:r>
      <w:r>
        <w:t xml:space="preserve"> </w:t>
      </w:r>
      <w:r>
        <w:t xml:space="preserve">赐给他们你的祝福作为他们永远的产业。</w:t>
      </w:r>
      <w:r>
        <w:rPr>
          <w:rStyle w:val="FootnoteReference"/>
        </w:rPr>
        <w:footnoteReference w:id="2618"/>
      </w:r>
    </w:p>
    <w:bookmarkEnd w:id="2619"/>
    <w:bookmarkStart w:id="2625" w:name="基督独一的祭司职"/>
    <w:p>
      <w:pPr>
        <w:pStyle w:val="Heading6"/>
      </w:pPr>
      <w:r>
        <w:t xml:space="preserve">基督独一的祭司职</w:t>
      </w:r>
    </w:p>
    <w:p>
      <w:pPr>
        <w:pStyle w:val="FirstParagraph"/>
      </w:pPr>
      <w:r>
        <w:t xml:space="preserve">旧约祭司职所预表的一切，都在耶稣基督身上得到成全，他是「神和人中间的独一中保」。</w:t>
      </w:r>
      <w:r>
        <w:rPr>
          <w:rStyle w:val="FootnoteReference"/>
        </w:rPr>
        <w:footnoteReference w:id="2620"/>
      </w:r>
      <w:r>
        <w:t xml:space="preserve">基督教传统视「至高神的祭司」麦基洗德为基督祭司职的预表，基督是独一的「照着麦基洗德的等次」的「大祭司」；</w:t>
      </w:r>
      <w:r>
        <w:rPr>
          <w:rStyle w:val="FootnoteReference"/>
        </w:rPr>
        <w:footnoteReference w:id="2621"/>
      </w:r>
      <w:r>
        <w:t xml:space="preserve">「圣洁、无邪恶、无玷污」，</w:t>
      </w:r>
      <w:r>
        <w:rPr>
          <w:rStyle w:val="FootnoteReference"/>
        </w:rPr>
        <w:footnoteReference w:id="2622"/>
      </w:r>
      <w:r>
        <w:t xml:space="preserve">「他一次献祭，便叫那得以成圣的人永远完全」，</w:t>
      </w:r>
      <w:r>
        <w:rPr>
          <w:rStyle w:val="FootnoteReference"/>
        </w:rPr>
        <w:footnoteReference w:id="2623"/>
      </w:r>
      <w:r>
        <w:t xml:space="preserve">就是说，通过十字架的独一祭献。</w:t>
      </w:r>
    </w:p>
    <w:p>
      <w:pPr>
        <w:pStyle w:val="BodyText"/>
      </w:pPr>
      <w:r>
        <w:t xml:space="preserve">基督的救赎祭献是独一的，一次而永远完成的；然而它在教会的圣餐祭献中成为临在的。基督独一的祭司职也是如此；它通过职务祭司职而临在，却不减损基督祭司职的独一性：「只有基督是真正的祭司，其他人只是他的职事人员。」</w:t>
      </w:r>
      <w:r>
        <w:rPr>
          <w:rStyle w:val="FootnoteReference"/>
        </w:rPr>
        <w:footnoteReference w:id="2624"/>
      </w:r>
    </w:p>
    <w:bookmarkEnd w:id="2625"/>
    <w:bookmarkStart w:id="2629" w:name="两种参与基督独一祭司职的方式"/>
    <w:p>
      <w:pPr>
        <w:pStyle w:val="Heading6"/>
      </w:pPr>
      <w:r>
        <w:t xml:space="preserve">两种参与基督独一祭司职的方式</w:t>
      </w:r>
    </w:p>
    <w:p>
      <w:pPr>
        <w:pStyle w:val="FirstParagraph"/>
      </w:pPr>
      <w:r>
        <w:t xml:space="preserve">基督，大祭司和独一的中保，使教会成为「国民，作他父神的祭司」。</w:t>
      </w:r>
      <w:r>
        <w:rPr>
          <w:rStyle w:val="FootnoteReference"/>
        </w:rPr>
        <w:footnoteReference w:id="2626"/>
      </w:r>
      <w:r>
        <w:t xml:space="preserve">整个信徒团体，就其本身而言，是祭司性的。信徒通过参与——各人按照自己的圣召——基督作为祭司、先知和君王的使命，来行使他们洗礼的祭司职。通过洗礼和坚振圣事，信徒被「祝圣成为……圣洁的祭司」。</w:t>
      </w:r>
      <w:r>
        <w:rPr>
          <w:rStyle w:val="FootnoteReference"/>
        </w:rPr>
        <w:footnoteReference w:id="2627"/>
      </w:r>
    </w:p>
    <w:p>
      <w:pPr>
        <w:pStyle w:val="BodyText"/>
      </w:pPr>
      <w:r>
        <w:t xml:space="preserve">主教和祭司的职务祭司职或圣统祭司职，与所有信徒的共同祭司职，「各按其固有的方式，参与基督独一的祭司职」。虽然它们「彼此相互联系」，却有本质上的区别。</w:t>
      </w:r>
      <w:r>
        <w:rPr>
          <w:rStyle w:val="FootnoteReference"/>
        </w:rPr>
        <w:footnoteReference w:id="2628"/>
      </w:r>
      <w:r>
        <w:t xml:space="preserve">在什么意义上呢？信徒的共同祭司职是通过展开洗礼恩典——信、望、爱的生活，按照圣灵的生活——而行使的，而职务祭司职是为共同祭司职服务的。它指向所有基督徒洗礼恩典的展开。职务祭司职是基督不断建立和引导他教会的</w:t>
      </w:r>
      <w:r>
        <w:rPr>
          <w:i/>
          <w:iCs/>
        </w:rPr>
        <w:t xml:space="preserve">途径</w:t>
      </w:r>
      <w:r>
        <w:t xml:space="preserve">。因此，它通过其专有的圣事，即圣秩圣事来传递。</w:t>
      </w:r>
    </w:p>
    <w:bookmarkEnd w:id="2629"/>
    <w:bookmarkStart w:id="2638" w:name="以基督元首的身份"/>
    <w:p>
      <w:pPr>
        <w:pStyle w:val="Heading6"/>
      </w:pPr>
      <w:r>
        <w:t xml:space="preserve">以基督元首的身份……</w:t>
      </w:r>
    </w:p>
    <w:p>
      <w:pPr>
        <w:pStyle w:val="FirstParagraph"/>
      </w:pPr>
      <w:r>
        <w:t xml:space="preserve">在授职者的教会服务中，是基督自己临在于他的教会，作为他身体的元首、他羊群的牧人、救赎祭献的大祭司、真理的导师。这就是教会所说的，祭司凭借圣秩圣事，</w:t>
      </w:r>
      <w:r>
        <w:rPr>
          <w:i/>
          <w:iCs/>
        </w:rPr>
        <w:t xml:space="preserve">以基督元首的身份</w:t>
      </w:r>
      <w:r>
        <w:t xml:space="preserve">行事的意思：</w:t>
      </w:r>
      <w:r>
        <w:rPr>
          <w:rStyle w:val="FootnoteReference"/>
        </w:rPr>
        <w:footnoteReference w:id="2630"/>
      </w:r>
    </w:p>
    <w:p>
      <w:pPr>
        <w:pStyle w:val="BlockText"/>
      </w:pPr>
      <w:r>
        <w:t xml:space="preserve">这是同一位祭司，耶稣基督，他的职事人员真正代表他的神圣位格。现在，职事人员因所领受的祭司祝圣，真正相似于大祭司，并拥有以基督本人的能力和位格行事的权柄（</w:t>
      </w:r>
      <w:r>
        <w:rPr>
          <w:i/>
          <w:iCs/>
        </w:rPr>
        <w:t xml:space="preserve">virtute ac persona ipsius Christi</w:t>
      </w:r>
      <w:r>
        <w:t xml:space="preserve">）。</w:t>
      </w:r>
      <w:r>
        <w:rPr>
          <w:rStyle w:val="FootnoteReference"/>
        </w:rPr>
        <w:footnoteReference w:id="2631"/>
      </w:r>
    </w:p>
    <w:p>
      <w:pPr>
        <w:pStyle w:val="BlockText"/>
      </w:pPr>
      <w:r>
        <w:t xml:space="preserve">基督是一切祭司职的泉源：旧律法的祭司是基督的预像，新律法的祭司以基督的身份行事。</w:t>
      </w:r>
      <w:r>
        <w:rPr>
          <w:rStyle w:val="FootnoteReference"/>
        </w:rPr>
        <w:footnoteReference w:id="2632"/>
      </w:r>
    </w:p>
    <w:p>
      <w:pPr>
        <w:pStyle w:val="FirstParagraph"/>
      </w:pPr>
      <w:r>
        <w:t xml:space="preserve">通过授职职务，特别是主教和祭司的职务，基督作为教会元首的临在，在信徒团体中成为可见的。</w:t>
      </w:r>
      <w:r>
        <w:rPr>
          <w:rStyle w:val="FootnoteReference"/>
        </w:rPr>
        <w:footnoteReference w:id="2633"/>
      </w:r>
      <w:r>
        <w:t xml:space="preserve">按照安提阿的圣依纳爵的美好表达，主教是</w:t>
      </w:r>
      <w:r>
        <w:rPr>
          <w:i/>
          <w:iCs/>
        </w:rPr>
        <w:t xml:space="preserve">typos tou Patros</w:t>
      </w:r>
      <w:r>
        <w:t xml:space="preserve">（天父的预像）：他就像天父神的活生生的形像。</w:t>
      </w:r>
      <w:r>
        <w:rPr>
          <w:rStyle w:val="FootnoteReference"/>
        </w:rPr>
        <w:footnoteReference w:id="2634"/>
      </w:r>
    </w:p>
    <w:p>
      <w:pPr>
        <w:pStyle w:val="BodyText"/>
      </w:pPr>
      <w:r>
        <w:t xml:space="preserve">基督在职事人员中的这种临在，不应被理解为后者能免于一切人性的软弱、支配欲、错误，甚至罪恶。圣灵的能力并不以同样的方式保证职事人员的所有行为。虽然这种保证延伸到圣事，以致即使职事人员的罪也不能阻碍恩典的果实，但在许多其他行为中，职事人员留下人性的痕迹，这些痕迹并不总是忠于福音的标记，因此可能损害教会使徒工作的成果。</w:t>
      </w:r>
    </w:p>
    <w:p>
      <w:pPr>
        <w:pStyle w:val="BodyText"/>
      </w:pPr>
      <w:r>
        <w:t xml:space="preserve">这祭司职是服务性的。「主托付给他子民牧者的职务，严格来说是一种</w:t>
      </w:r>
      <w:r>
        <w:rPr>
          <w:i/>
          <w:iCs/>
        </w:rPr>
        <w:t xml:space="preserve">服务</w:t>
      </w:r>
      <w:r>
        <w:t xml:space="preserve">。」</w:t>
      </w:r>
      <w:r>
        <w:rPr>
          <w:rStyle w:val="FootnoteReference"/>
        </w:rPr>
        <w:footnoteReference w:id="2635"/>
      </w:r>
      <w:r>
        <w:t xml:space="preserve">它完全与基督和人有关。它完全依赖基督和他独一的祭司职；它是为了人的益处和教会的共融而设立的。圣秩圣事传递一种「神圣权力」，这权力不是别的，正是基督的权力。因此，行使这权柄必须以基督为榜样，他因着爱使自己成为最小的，成为众人的仆人。</w:t>
      </w:r>
      <w:r>
        <w:rPr>
          <w:rStyle w:val="FootnoteReference"/>
        </w:rPr>
        <w:footnoteReference w:id="2636"/>
      </w:r>
      <w:r>
        <w:t xml:space="preserve">「主明确地说，关心他的羊群是爱他的证明。」</w:t>
      </w:r>
      <w:r>
        <w:rPr>
          <w:rStyle w:val="FootnoteReference"/>
        </w:rPr>
        <w:footnoteReference w:id="2637"/>
      </w:r>
    </w:p>
    <w:bookmarkEnd w:id="2638"/>
    <w:bookmarkStart w:id="2640" w:name="以整个教会的名义"/>
    <w:p>
      <w:pPr>
        <w:pStyle w:val="Heading6"/>
      </w:pPr>
      <w:r>
        <w:t xml:space="preserve">……「以整个教会的名义」</w:t>
      </w:r>
    </w:p>
    <w:p>
      <w:pPr>
        <w:pStyle w:val="FirstParagraph"/>
      </w:pPr>
      <w:r>
        <w:t xml:space="preserve">职务祭司职的任务不仅是在信徒聚会前代表基督——教会的元首，而且也是以整个教会的名义行事，当向神呈献教会的祈祷时，尤其是在奉献圣餐祭献时。</w:t>
      </w:r>
      <w:r>
        <w:rPr>
          <w:rStyle w:val="FootnoteReference"/>
        </w:rPr>
        <w:footnoteReference w:id="2639"/>
      </w:r>
    </w:p>
    <w:p>
      <w:pPr>
        <w:pStyle w:val="BodyText"/>
      </w:pPr>
      <w:r>
        <w:t xml:space="preserve">「以</w:t>
      </w:r>
      <w:r>
        <w:rPr>
          <w:i/>
          <w:iCs/>
        </w:rPr>
        <w:t xml:space="preserve">整个</w:t>
      </w:r>
      <w:r>
        <w:t xml:space="preserve">教会的名义」并不意味着祭司是团体的代表。教会的祈祷和奉献与她的元首基督的祈祷和奉献是不可分的；总是基督在他的教会内并通过教会敬拜。整个教会，基督的身体，在圣灵的合一中，「藉着他、偕同他、在他内」，向天父祈祷并奉献自己。整个身体，</w:t>
      </w:r>
      <w:r>
        <w:rPr>
          <w:i/>
          <w:iCs/>
        </w:rPr>
        <w:t xml:space="preserve">元首和肢体</w:t>
      </w:r>
      <w:r>
        <w:t xml:space="preserve">，一起祈祷和奉献，因此那些在身体内特别作他职事人员的，不仅被称为基督的职事人员，也被称为教会的职事人员。正因为职务祭司职代表基督，它才能代表教会。</w:t>
      </w:r>
    </w:p>
    <w:bookmarkEnd w:id="2640"/>
    <w:bookmarkEnd w:id="2641"/>
    <w:bookmarkStart w:id="2673" w:name="三圣秩圣事的三个等级"/>
    <w:p>
      <w:pPr>
        <w:pStyle w:val="Heading5"/>
      </w:pPr>
      <w:r>
        <w:t xml:space="preserve">三、圣秩圣事的三个等级</w:t>
      </w:r>
    </w:p>
    <w:p>
      <w:pPr>
        <w:pStyle w:val="FirstParagraph"/>
      </w:pPr>
      <w:r>
        <w:t xml:space="preserve">「神所设立的教会职务，自古以来由那些被称为主教、祭司和执事的人以不同品级执行。」</w:t>
      </w:r>
      <w:r>
        <w:rPr>
          <w:rStyle w:val="FootnoteReference"/>
        </w:rPr>
        <w:footnoteReference w:id="2642"/>
      </w:r>
      <w:r>
        <w:t xml:space="preserve"> </w:t>
      </w:r>
      <w:r>
        <w:t xml:space="preserve">公教教义在礼仪、训导权及教会恒常实践中表明，承认对基督祭司职分的职务性参与存在两个品级：主教职与祭司职。执事职旨在辅助并服务他们。因此，当前术语中的</w:t>
      </w:r>
      <w:r>
        <w:rPr>
          <w:i/>
          <w:iCs/>
        </w:rPr>
        <w:t xml:space="preserve">sacerdos</w:t>
      </w:r>
      <w:r>
        <w:t xml:space="preserve">（祭司）指主教与祭司，但不包括执事。然而公教教义阐明，祭司性参与的品级（主教职与祭司职）与服务性品级（执事职）三者皆通过称为「授秩礼」的圣事性行动——即圣秩圣事——授予：</w:t>
      </w:r>
    </w:p>
    <w:p>
      <w:pPr>
        <w:pStyle w:val="BlockText"/>
      </w:pPr>
      <w:r>
        <w:t xml:space="preserve">人人都应敬重执事如同耶稣基督，敬重主教如同父的形像，敬重祭司们如同神的议会和使徒的团体。没有他们，就不能称为教会。</w:t>
      </w:r>
      <w:r>
        <w:rPr>
          <w:rStyle w:val="FootnoteReference"/>
        </w:rPr>
        <w:footnoteReference w:id="2643"/>
      </w:r>
    </w:p>
    <w:bookmarkStart w:id="2653" w:name="主教授职圣秩圣事的圆满"/>
    <w:p>
      <w:pPr>
        <w:pStyle w:val="Heading6"/>
      </w:pPr>
      <w:r>
        <w:t xml:space="preserve">主教授职——圣秩圣事的圆满</w:t>
      </w:r>
    </w:p>
    <w:p>
      <w:pPr>
        <w:pStyle w:val="FirstParagraph"/>
      </w:pPr>
      <w:r>
        <w:t xml:space="preserve">「在教会从最早期就行使的各种职务中，根据传统的见证，主要地位属于那些通过被任命为主教的尊严和责任，并因此凭借从起初就不间断的继承，被视为使徒传承传递者的人的职能。」</w:t>
      </w:r>
      <w:r>
        <w:rPr>
          <w:rStyle w:val="FootnoteReference"/>
        </w:rPr>
        <w:footnoteReference w:id="2644"/>
      </w:r>
    </w:p>
    <w:p>
      <w:pPr>
        <w:pStyle w:val="BodyText"/>
      </w:pPr>
      <w:r>
        <w:t xml:space="preserve">为了完成他们崇高的使命，「使徒们被基督赋予圣灵特殊的倾注，圣灵降临在他们身上，他们通过按手将圣灵的恩赐传给他们的助手，这恩赐通过主教祝圣一直传到我们今天。」</w:t>
      </w:r>
      <w:r>
        <w:rPr>
          <w:rStyle w:val="FootnoteReference"/>
        </w:rPr>
        <w:footnoteReference w:id="2645"/>
      </w:r>
    </w:p>
    <w:p>
      <w:pPr>
        <w:pStyle w:val="BodyText"/>
      </w:pPr>
      <w:r>
        <w:t xml:space="preserve">梵蒂冈第二届大公会议「教导……</w:t>
      </w:r>
      <w:r>
        <w:rPr>
          <w:i/>
          <w:iCs/>
        </w:rPr>
        <w:t xml:space="preserve">圣秩圣事的圆满</w:t>
      </w:r>
      <w:r>
        <w:t xml:space="preserve">是通过主教祝圣授予的，这圆满在教会的礼仪传统和教父们的语言中，被称为大祭司职，神圣职务的顶峰（</w:t>
      </w:r>
      <w:r>
        <w:rPr>
          <w:i/>
          <w:iCs/>
        </w:rPr>
        <w:t xml:space="preserve">summa</w:t>
      </w:r>
      <w:r>
        <w:t xml:space="preserve">）。」</w:t>
      </w:r>
      <w:r>
        <w:rPr>
          <w:rStyle w:val="FootnoteReference"/>
        </w:rPr>
        <w:footnoteReference w:id="2646"/>
      </w:r>
    </w:p>
    <w:p>
      <w:pPr>
        <w:pStyle w:val="BodyText"/>
      </w:pPr>
      <w:r>
        <w:t xml:space="preserve">「主教祝圣连同圣化职务，也授予教导和治理的职务……事实上……通过按手和祝圣的话语，赐予圣灵的恩典，并印上神圣印记，使主教们以卓越和可见的方式，代替基督自己——导师、牧人和祭司，并以他的代表身份行事（</w:t>
      </w:r>
      <w:r>
        <w:rPr>
          <w:i/>
          <w:iCs/>
        </w:rPr>
        <w:t xml:space="preserve">in Eius persona agant</w:t>
      </w:r>
      <w:r>
        <w:t xml:space="preserve">）。」</w:t>
      </w:r>
      <w:r>
        <w:rPr>
          <w:rStyle w:val="FootnoteReference"/>
        </w:rPr>
        <w:footnoteReference w:id="2647"/>
      </w:r>
      <w:r>
        <w:t xml:space="preserve">「因此，凭借赐给他们的圣灵，主教们被立为信仰的真正和真实的导师，并被立为教宗和牧者。」</w:t>
      </w:r>
      <w:r>
        <w:rPr>
          <w:rStyle w:val="FootnoteReference"/>
        </w:rPr>
        <w:footnoteReference w:id="2648"/>
      </w:r>
    </w:p>
    <w:p>
      <w:pPr>
        <w:pStyle w:val="BodyText"/>
      </w:pPr>
      <w:r>
        <w:t xml:space="preserve">「一个人凭借圣事祝圣和与团体的元首及成员的圣统共融，成为主教团的成员。」</w:t>
      </w:r>
      <w:r>
        <w:rPr>
          <w:rStyle w:val="FootnoteReference"/>
        </w:rPr>
        <w:footnoteReference w:id="2649"/>
      </w:r>
      <w:r>
        <w:t xml:space="preserve">主教职的特征和</w:t>
      </w:r>
      <w:r>
        <w:rPr>
          <w:i/>
          <w:iCs/>
        </w:rPr>
        <w:t xml:space="preserve">团体性质</w:t>
      </w:r>
      <w:r>
        <w:t xml:space="preserve">，在教会的古老实践中得到证明，这实践要求几位主教参与新主教的祝圣。</w:t>
      </w:r>
      <w:r>
        <w:rPr>
          <w:rStyle w:val="FootnoteReference"/>
        </w:rPr>
        <w:footnoteReference w:id="2650"/>
      </w:r>
      <w:r>
        <w:t xml:space="preserve">在我们的时代，合法的主教授职需要罗马主教的特别干预，因为他是地方教会在独一教会中共融的最高可见纽带，也是它们自由的保证者。</w:t>
      </w:r>
    </w:p>
    <w:p>
      <w:pPr>
        <w:pStyle w:val="BodyText"/>
      </w:pPr>
      <w:r>
        <w:t xml:space="preserve">作为基督的代表，每位主教对托付给他的地方教会负有牧养责任，但同时他与所有主教弟兄一起，团体性地承担</w:t>
      </w:r>
      <w:r>
        <w:rPr>
          <w:i/>
          <w:iCs/>
        </w:rPr>
        <w:t xml:space="preserve">对所有教会的关怀</w:t>
      </w:r>
      <w:r>
        <w:t xml:space="preserve">：「虽然每位主教只是托付给他照管的那部分羊群的合法牧者，但作为使徒的合法继承人，他按照神的制定和命令，与其他主教一起对教会的使徒使命负责。」</w:t>
      </w:r>
      <w:r>
        <w:rPr>
          <w:rStyle w:val="FootnoteReference"/>
        </w:rPr>
        <w:footnoteReference w:id="2651"/>
      </w:r>
    </w:p>
    <w:p>
      <w:pPr>
        <w:pStyle w:val="BodyText"/>
      </w:pPr>
      <w:r>
        <w:t xml:space="preserve">上述考虑解释了为什么主教主持的圣餐具有特殊的意义，作为教会聚集在祭台周围的表达，由代表基督——善牧和他教会元首的人主持。</w:t>
      </w:r>
      <w:r>
        <w:rPr>
          <w:rStyle w:val="FootnoteReference"/>
        </w:rPr>
        <w:footnoteReference w:id="2652"/>
      </w:r>
    </w:p>
    <w:bookmarkEnd w:id="2653"/>
    <w:bookmarkStart w:id="2664" w:name="祭司授职主教的合作者"/>
    <w:p>
      <w:pPr>
        <w:pStyle w:val="Heading6"/>
      </w:pPr>
      <w:r>
        <w:t xml:space="preserve">祭司授职——主教的合作者</w:t>
      </w:r>
    </w:p>
    <w:p>
      <w:pPr>
        <w:pStyle w:val="FirstParagraph"/>
      </w:pPr>
      <w:r>
        <w:t xml:space="preserve">「基督，父所圣化并派遣到世界上来的，通过他的使徒，使他们的继承人，即主教们，分享他的祝圣和使命；而主教们又按不同程度，将他们职务的职责适当地委托给教会的不同成员。」</w:t>
      </w:r>
      <w:r>
        <w:rPr>
          <w:rStyle w:val="FootnoteReference"/>
        </w:rPr>
        <w:footnoteReference w:id="2654"/>
      </w:r>
      <w:r>
        <w:t xml:space="preserve">「主教职务的功能以从属的程度传给祭司们，使他们被任命在祭司职的等级中，成为</w:t>
      </w:r>
      <w:r>
        <w:rPr>
          <w:i/>
          <w:iCs/>
        </w:rPr>
        <w:t xml:space="preserve">主教团的合作者</w:t>
      </w:r>
      <w:r>
        <w:t xml:space="preserve">，以适当地完成基督托付给它的使徒使命。」</w:t>
      </w:r>
      <w:r>
        <w:rPr>
          <w:rStyle w:val="FootnoteReference"/>
        </w:rPr>
        <w:footnoteReference w:id="2655"/>
      </w:r>
    </w:p>
    <w:p>
      <w:pPr>
        <w:pStyle w:val="BodyText"/>
      </w:pPr>
      <w:r>
        <w:t xml:space="preserve">「因为祭司职与主教职相连，祭司的职务分享基督自己建立、圣化和治理他身体的权柄。因此，祭司的祭司职虽然以入门圣事为前提，却是通过其特有的圣事授予的。通过那圣事，祭司们因圣灵的傅油而印上特殊印记，并如此肖似基督祭司，使他们能够以基督元首的身份行事。」</w:t>
      </w:r>
      <w:r>
        <w:rPr>
          <w:rStyle w:val="FootnoteReference"/>
        </w:rPr>
        <w:footnoteReference w:id="2656"/>
      </w:r>
    </w:p>
    <w:p>
      <w:pPr>
        <w:pStyle w:val="BodyText"/>
      </w:pPr>
      <w:r>
        <w:t xml:space="preserve">「虽然他们没有教宗职务的最高等级，尽管他们在行使自己固有权力时依赖主教，但祭司们因其祭司尊严而与主教们联合；凭借圣秩圣事，按照基督——至高永恒祭司的形像，他们被祝圣为宣讲福音、牧养信徒以及举行神圣敬拜的</w:t>
      </w:r>
      <w:r>
        <w:rPr>
          <w:i/>
          <w:iCs/>
        </w:rPr>
        <w:t xml:space="preserve">新约的真正祭司</w:t>
      </w:r>
      <w:r>
        <w:t xml:space="preserve">。」</w:t>
      </w:r>
      <w:r>
        <w:rPr>
          <w:rStyle w:val="FootnoteReference"/>
        </w:rPr>
        <w:footnoteReference w:id="2657"/>
      </w:r>
    </w:p>
    <w:p>
      <w:pPr>
        <w:pStyle w:val="BodyText"/>
      </w:pPr>
      <w:r>
        <w:t xml:space="preserve">通过圣秩圣事，祭司们分享基督托付给使徒的使命的普世幅度。他们在授职时所领受的属灵恩赐，不是为了有限和受限的使命，「而是为了最充分的，事实上是普世的救恩使命，『直到地极』」，</w:t>
      </w:r>
      <w:r>
        <w:rPr>
          <w:rStyle w:val="FootnoteReference"/>
        </w:rPr>
        <w:footnoteReference w:id="2658"/>
      </w:r>
      <w:r>
        <w:t xml:space="preserve">「在精神上准备好到处宣讲福音」。</w:t>
      </w:r>
      <w:r>
        <w:rPr>
          <w:rStyle w:val="FootnoteReference"/>
        </w:rPr>
        <w:footnoteReference w:id="2659"/>
      </w:r>
    </w:p>
    <w:p>
      <w:pPr>
        <w:pStyle w:val="BodyText"/>
      </w:pPr>
      <w:r>
        <w:t xml:space="preserve">「他们在圣餐敬拜或信徒的</w:t>
      </w:r>
      <w:r>
        <w:rPr>
          <w:i/>
          <w:iCs/>
        </w:rPr>
        <w:t xml:space="preserve">圣餐聚会</w:t>
      </w:r>
      <w:r>
        <w:t xml:space="preserve">（</w:t>
      </w:r>
      <w:r>
        <w:rPr>
          <w:i/>
          <w:iCs/>
        </w:rPr>
        <w:t xml:space="preserve">synaxis</w:t>
      </w:r>
      <w:r>
        <w:t xml:space="preserve">）中，以最高程度行使他们的神圣职务；在那里，以基督的身份行事并宣告他的奥秘，他们将信徒的祈愿奉献与他们元首基督的祭献结合，并在弥撒祭献中，使新约的独一祭献——即基督一次而永远将自己作为无瑕祭品献给父的祭献——再次临在并应用，直到主的来临。」</w:t>
      </w:r>
      <w:r>
        <w:rPr>
          <w:rStyle w:val="FootnoteReference"/>
        </w:rPr>
        <w:footnoteReference w:id="2660"/>
      </w:r>
      <w:r>
        <w:t xml:space="preserve">他们整个祭司职务的力量都来自这独一的祭献。</w:t>
      </w:r>
      <w:r>
        <w:rPr>
          <w:rStyle w:val="FootnoteReference"/>
        </w:rPr>
        <w:footnoteReference w:id="2661"/>
      </w:r>
    </w:p>
    <w:p>
      <w:pPr>
        <w:pStyle w:val="BodyText"/>
      </w:pPr>
      <w:r>
        <w:t xml:space="preserve">「祭司们，作为主教团的明智合作者及其支持和工具，蒙召服务神的子民，与他们的主教一起构成独一的祭司团（</w:t>
      </w:r>
      <w:r>
        <w:rPr>
          <w:i/>
          <w:iCs/>
        </w:rPr>
        <w:t xml:space="preserve">presbyterium</w:t>
      </w:r>
      <w:r>
        <w:t xml:space="preserve">），虽然致力于各种不同的职务。在每个地方信徒聚会中，他们在某种意义上代表主教，与主教以完全的信任和慷慨联合；他们部分地承担主教的职责和关怀，并在日常工作中履行这些职责。」</w:t>
      </w:r>
      <w:r>
        <w:rPr>
          <w:rStyle w:val="FootnoteReference"/>
        </w:rPr>
        <w:footnoteReference w:id="2662"/>
      </w:r>
      <w:r>
        <w:t xml:space="preserve">祭司只能在依赖主教并与他共融的情况下行使他们的职务。他们在授职时向主教作出的顺服承诺，以及授职礼仪结束时主教给予的平安之吻，意味着主教视他们为他的合作者、他的儿子、他的兄弟和他的朋友，而他们相应地欠他爱和顺服。</w:t>
      </w:r>
    </w:p>
    <w:p>
      <w:pPr>
        <w:pStyle w:val="BodyText"/>
      </w:pPr>
      <w:r>
        <w:t xml:space="preserve">「所有通过圣秩圣事被立在祭司职内的祭司，都因亲密的圣事兄弟情谊而联合在一起，但他们以特殊的方式在他们所属的教区内，在他们自己的主教领导下，形成一个祭司团体……」</w:t>
      </w:r>
      <w:r>
        <w:rPr>
          <w:rStyle w:val="FootnoteReference"/>
        </w:rPr>
        <w:footnoteReference w:id="2663"/>
      </w:r>
      <w:r>
        <w:t xml:space="preserve">祭司团的合一在授职礼仪中得到礼仪性的表达，即在主教按手后，祭司们也按手的习俗。</w:t>
      </w:r>
    </w:p>
    <w:bookmarkEnd w:id="2664"/>
    <w:bookmarkStart w:id="2672" w:name="执事授职为了服务"/>
    <w:p>
      <w:pPr>
        <w:pStyle w:val="Heading6"/>
      </w:pPr>
      <w:r>
        <w:t xml:space="preserve">执事授职——「为了服务」</w:t>
      </w:r>
    </w:p>
    <w:p>
      <w:pPr>
        <w:pStyle w:val="FirstParagraph"/>
      </w:pPr>
      <w:r>
        <w:t xml:space="preserve">「在圣统的较低等级上是执事，他们接受按手『不是为了祭司职，而是为了服务』。」</w:t>
      </w:r>
      <w:r>
        <w:rPr>
          <w:rStyle w:val="FootnoteReference"/>
        </w:rPr>
        <w:footnoteReference w:id="2665"/>
      </w:r>
      <w:r>
        <w:t xml:space="preserve">在执事授职时，只有主教为候选人按手，这表明执事在他的「服务」任务中与主教的特殊联系。</w:t>
      </w:r>
      <w:r>
        <w:rPr>
          <w:rStyle w:val="FootnoteReference"/>
        </w:rPr>
        <w:footnoteReference w:id="2666"/>
      </w:r>
    </w:p>
    <w:p>
      <w:pPr>
        <w:pStyle w:val="BodyText"/>
      </w:pPr>
      <w:r>
        <w:t xml:space="preserve">执事以特殊的方式分享基督的使命和恩典。</w:t>
      </w:r>
      <w:r>
        <w:rPr>
          <w:rStyle w:val="FootnoteReference"/>
        </w:rPr>
        <w:footnoteReference w:id="2667"/>
      </w:r>
      <w:r>
        <w:t xml:space="preserve">圣秩圣事在他们身上印下一个不能消除的</w:t>
      </w:r>
      <w:r>
        <w:rPr>
          <w:i/>
          <w:iCs/>
        </w:rPr>
        <w:t xml:space="preserve">印记</w:t>
      </w:r>
      <w:r>
        <w:t xml:space="preserve">（「灵印」），使他们肖似基督，他使自己成为众人的「执事」或仆人。</w:t>
      </w:r>
      <w:r>
        <w:rPr>
          <w:rStyle w:val="FootnoteReference"/>
        </w:rPr>
        <w:footnoteReference w:id="2668"/>
      </w:r>
      <w:r>
        <w:t xml:space="preserve">在其他任务中，执事的任务是协助主教和祭司举行神圣奥秘，尤其是圣餐，分送圣餐，协助和祝福婚姻，宣讲福音和讲道，主持葬礼，并献身于各种仁爱服务。</w:t>
      </w:r>
      <w:r>
        <w:rPr>
          <w:rStyle w:val="FootnoteReference"/>
        </w:rPr>
        <w:footnoteReference w:id="2669"/>
      </w:r>
    </w:p>
    <w:p>
      <w:pPr>
        <w:pStyle w:val="BodyText"/>
      </w:pPr>
      <w:r>
        <w:t xml:space="preserve">自梵蒂冈第二届大公会议以来，拉丁教会恢复了执事职「作为圣统中固有和永久的等级」，</w:t>
      </w:r>
      <w:r>
        <w:rPr>
          <w:rStyle w:val="FootnoteReference"/>
        </w:rPr>
        <w:footnoteReference w:id="2670"/>
      </w:r>
      <w:r>
        <w:t xml:space="preserve">而东方教会一直保持着它。这种可以授予已婚男子的终身执事职，构成了教会使命的重要充实。确实，那些在教会中履行真正执事职务的人，无论是在礼仪和牧灵生活中，还是在社会和慈善工作中，「通过从使徒传下来的按手礼得到坚固」是适当和有益的。他们将更紧密地与祭台联系，他们的职务将通过执事的圣事恩典变得更有成果。」</w:t>
      </w:r>
      <w:r>
        <w:rPr>
          <w:rStyle w:val="FootnoteReference"/>
        </w:rPr>
        <w:footnoteReference w:id="2671"/>
      </w:r>
    </w:p>
    <w:bookmarkEnd w:id="2672"/>
    <w:bookmarkEnd w:id="2673"/>
    <w:bookmarkStart w:id="2675" w:name="四此圣事的举行"/>
    <w:p>
      <w:pPr>
        <w:pStyle w:val="Heading5"/>
      </w:pPr>
      <w:r>
        <w:t xml:space="preserve">四、此圣事的举行</w:t>
      </w:r>
    </w:p>
    <w:p>
      <w:pPr>
        <w:pStyle w:val="FirstParagraph"/>
      </w:pPr>
      <w:r>
        <w:t xml:space="preserve">鉴于主教、祭司或执事的授职对地方教会生活的重要性，其举行需要尽可能多的信徒参加。它最好在主日，在主教座堂举行，以适合场合的隆重方式进行。主教、祭司和执事的三种授职都遵循同样的程序。它们的适当位置是在圣餐礼仪中。</w:t>
      </w:r>
    </w:p>
    <w:p>
      <w:pPr>
        <w:pStyle w:val="BodyText"/>
      </w:pPr>
      <w:r>
        <w:t xml:space="preserve">圣秩圣事所有三个品级的</w:t>
      </w:r>
      <w:r>
        <w:rPr>
          <w:i/>
          <w:iCs/>
        </w:rPr>
        <w:t xml:space="preserve">核心礼仪</w:t>
      </w:r>
      <w:r>
        <w:t xml:space="preserve">，在于主教对受秩者头部的按手礼，以及主教特定的祝圣祷文——祈求神倾注圣灵及其恩赐，以适合受秩者即将担任的职务。</w:t>
      </w:r>
      <w:r>
        <w:rPr>
          <w:rStyle w:val="FootnoteReference"/>
        </w:rPr>
        <w:footnoteReference w:id="2674"/>
      </w:r>
    </w:p>
    <w:p>
      <w:pPr>
        <w:pStyle w:val="BodyText"/>
      </w:pPr>
      <w:r>
        <w:t xml:space="preserve">如同所有圣事一样，附加的礼仪环绕着庆典。这些礼仪在不同的礼仪传统中差异很大，但它们的共同点是表达圣事恩典的多重层面。因此在拉丁礼中，最初的礼仪——介绍和选举受职者、主教的训示、对候选人的审查、诸圣祷文——证明候选人的选择是按照教会的实践进行的，并为隆重的祝圣行为做准备，之后几个礼仪象征性地表达和完成所成就的奥秘：对主教和祭司，以圣油傅油，这是圣灵特殊傅油的标记，使他们的职务结出果实；将福音书、戒指、主教冠和牧杖授予主教，作为他宣讲神的道的使徒使命、他对教会——基督新娘的忠诚，以及他作为主的羊群牧人职务的标记；向祭司呈献圣盘和圣爵，即他被呼召向神呈献的「圣洁子民的奉献」；将福音书授予刚刚接受宣讲基督福音使命的执事。</w:t>
      </w:r>
    </w:p>
    <w:bookmarkEnd w:id="2675"/>
    <w:bookmarkStart w:id="2681" w:name="五谁能授予此圣事"/>
    <w:p>
      <w:pPr>
        <w:pStyle w:val="Heading5"/>
      </w:pPr>
      <w:r>
        <w:t xml:space="preserve">五、谁能授予此圣事？</w:t>
      </w:r>
    </w:p>
    <w:p>
      <w:pPr>
        <w:pStyle w:val="FirstParagraph"/>
      </w:pPr>
      <w:r>
        <w:t xml:space="preserve">基督亲自拣选了使徒，并让他们分享他的使命和权柄。被提升到父的右边，他没有离弃他的羊群，而是通过使徒们不断保护它，并通过这些今天继续他工作的同样牧者引导它。</w:t>
      </w:r>
      <w:r>
        <w:rPr>
          <w:rStyle w:val="FootnoteReference"/>
        </w:rPr>
        <w:footnoteReference w:id="2676"/>
      </w:r>
      <w:r>
        <w:t xml:space="preserve">因此，是基督的恩赐使一些人成为使徒，另一些人成为牧者。他继续通过主教们行动。</w:t>
      </w:r>
      <w:r>
        <w:rPr>
          <w:rStyle w:val="FootnoteReference"/>
        </w:rPr>
        <w:footnoteReference w:id="2677"/>
      </w:r>
    </w:p>
    <w:p>
      <w:pPr>
        <w:pStyle w:val="BodyText"/>
      </w:pPr>
      <w:r>
        <w:t xml:space="preserve">既然圣秩圣事是使徒职务的圣事，那么作为使徒继承者的主教们就有责任传递「圣灵的恩赐」</w:t>
      </w:r>
      <w:r>
        <w:rPr>
          <w:rStyle w:val="FootnoteReference"/>
        </w:rPr>
        <w:footnoteReference w:id="2678"/>
      </w:r>
      <w:r>
        <w:t xml:space="preserve">和「使徒统绪」</w:t>
      </w:r>
      <w:r>
        <w:rPr>
          <w:rStyle w:val="FootnoteReference"/>
        </w:rPr>
        <w:footnoteReference w:id="2679"/>
      </w:r>
      <w:r>
        <w:t xml:space="preserve">。有效受秩的主教（即那些处于使徒继承序列中的主教）能有效授予圣秩圣事的三个品级。</w:t>
      </w:r>
      <w:r>
        <w:rPr>
          <w:rStyle w:val="FootnoteReference"/>
        </w:rPr>
        <w:footnoteReference w:id="2680"/>
      </w:r>
    </w:p>
    <w:bookmarkEnd w:id="2681"/>
    <w:bookmarkStart w:id="2690" w:name="六谁能领受此圣事"/>
    <w:p>
      <w:pPr>
        <w:pStyle w:val="Heading5"/>
      </w:pPr>
      <w:r>
        <w:t xml:space="preserve">六、谁能领受此圣事？</w:t>
      </w:r>
    </w:p>
    <w:p>
      <w:pPr>
        <w:pStyle w:val="FirstParagraph"/>
      </w:pPr>
      <w:r>
        <w:t xml:space="preserve">「只有受过洗的男性（</w:t>
      </w:r>
      <w:r>
        <w:rPr>
          <w:i/>
          <w:iCs/>
        </w:rPr>
        <w:t xml:space="preserve">vir</w:t>
      </w:r>
      <w:r>
        <w:t xml:space="preserve">）才能有效地领受圣秩。」</w:t>
      </w:r>
      <w:r>
        <w:rPr>
          <w:rStyle w:val="FootnoteReference"/>
        </w:rPr>
        <w:footnoteReference w:id="2682"/>
      </w:r>
      <w:r>
        <w:t xml:space="preserve">主耶稣拣选男人（</w:t>
      </w:r>
      <w:r>
        <w:rPr>
          <w:i/>
          <w:iCs/>
        </w:rPr>
        <w:t xml:space="preserve">viri</w:t>
      </w:r>
      <w:r>
        <w:t xml:space="preserve">）组成十二使徒团，使徒们在选择继承他们职务的合作者时也这样做。</w:t>
      </w:r>
      <w:r>
        <w:rPr>
          <w:rStyle w:val="FootnoteReference"/>
        </w:rPr>
        <w:footnoteReference w:id="2683"/>
      </w:r>
      <w:r>
        <w:t xml:space="preserve">主教团与祭司们在祭司职中联合，使十二人团成为一个永远存在和永远活跃的现实，直到基督再来。教会认识到自己受主自己所作选择的约束。因此，授予女性圣职是不可能的。</w:t>
      </w:r>
      <w:r>
        <w:rPr>
          <w:rStyle w:val="FootnoteReference"/>
        </w:rPr>
        <w:footnoteReference w:id="2684"/>
      </w:r>
    </w:p>
    <w:p>
      <w:pPr>
        <w:pStyle w:val="BodyText"/>
      </w:pPr>
      <w:r>
        <w:t xml:space="preserve">没有人有</w:t>
      </w:r>
      <w:r>
        <w:rPr>
          <w:i/>
          <w:iCs/>
        </w:rPr>
        <w:t xml:space="preserve">权利</w:t>
      </w:r>
      <w:r>
        <w:t xml:space="preserve">领受圣秩圣事。确实，没有人为自己要求这职务；他是被神呼召的。</w:t>
      </w:r>
      <w:r>
        <w:rPr>
          <w:rStyle w:val="FootnoteReference"/>
        </w:rPr>
        <w:footnoteReference w:id="2685"/>
      </w:r>
      <w:r>
        <w:t xml:space="preserve">任何认为自己认出神呼召他担任圣职标记的人，必须谦卑地将他的愿望提交给教会的权威，教会有责任和权利呼召某人领受圣秩。像每一个恩典一样，这圣事只能作为不配得的恩赐而</w:t>
      </w:r>
      <w:r>
        <w:rPr>
          <w:i/>
          <w:iCs/>
        </w:rPr>
        <w:t xml:space="preserve">领受</w:t>
      </w:r>
      <w:r>
        <w:t xml:space="preserve">。</w:t>
      </w:r>
    </w:p>
    <w:p>
      <w:pPr>
        <w:pStyle w:val="BodyText"/>
      </w:pPr>
      <w:r>
        <w:t xml:space="preserve">拉丁教会所有的圣职人员，除终身执事外，通常从有信仰的男子中选出，他们过独身生活，并打算「为天国的缘故」保持</w:t>
      </w:r>
      <w:r>
        <w:rPr>
          <w:i/>
          <w:iCs/>
        </w:rPr>
        <w:t xml:space="preserve">独身</w:t>
      </w:r>
      <w:r>
        <w:t xml:space="preserve">。</w:t>
      </w:r>
      <w:r>
        <w:rPr>
          <w:rStyle w:val="FootnoteReference"/>
        </w:rPr>
        <w:footnoteReference w:id="2686"/>
      </w:r>
      <w:r>
        <w:t xml:space="preserve">被呼召以专一的心献身于主和「主的事」，</w:t>
      </w:r>
      <w:r>
        <w:rPr>
          <w:rStyle w:val="FootnoteReference"/>
        </w:rPr>
        <w:footnoteReference w:id="2687"/>
      </w:r>
      <w:r>
        <w:t xml:space="preserve">他们完全奉献给神和人。独身是这种新生活的标记，教会的职事人员为此而被祝圣；以喜乐的心接受独身，光辉地宣告神的国度。</w:t>
      </w:r>
      <w:r>
        <w:rPr>
          <w:rStyle w:val="FootnoteReference"/>
        </w:rPr>
        <w:footnoteReference w:id="2688"/>
      </w:r>
    </w:p>
    <w:p>
      <w:pPr>
        <w:pStyle w:val="BodyText"/>
      </w:pPr>
      <w:r>
        <w:t xml:space="preserve">在东方教会，许多世纪以来一直实行不同的纪律：虽然主教只从独身者中选出，但已婚男子可以被授予执事和祭司圣职。这种做法长期以来被认为是合法的；这些祭司在他们的团体中履行富有成果的职务。</w:t>
      </w:r>
      <w:r>
        <w:rPr>
          <w:rStyle w:val="FootnoteReference"/>
        </w:rPr>
        <w:footnoteReference w:id="2689"/>
      </w:r>
      <w:r>
        <w:t xml:space="preserve">此外，祭司独身在东方教会中备受尊崇，许多祭司为了神的国自由选择了它。在东方如在西方，已经领受圣秩圣事的人不能再结婚。</w:t>
      </w:r>
    </w:p>
    <w:bookmarkEnd w:id="2690"/>
    <w:bookmarkStart w:id="2703" w:name="七圣秩圣事的效果"/>
    <w:p>
      <w:pPr>
        <w:pStyle w:val="Heading5"/>
      </w:pPr>
      <w:r>
        <w:t xml:space="preserve">七、圣秩圣事的效果</w:t>
      </w:r>
    </w:p>
    <w:bookmarkStart w:id="2695" w:name="不可磨灭的灵印"/>
    <w:p>
      <w:pPr>
        <w:pStyle w:val="Heading6"/>
      </w:pPr>
      <w:r>
        <w:t xml:space="preserve">不可磨灭的灵印</w:t>
      </w:r>
    </w:p>
    <w:p>
      <w:pPr>
        <w:pStyle w:val="FirstParagraph"/>
      </w:pPr>
      <w:r>
        <w:t xml:space="preserve">这圣事通过圣灵的特殊恩典使领受者肖似基督，使他能够作为基督的工具为他的教会服务。通过授职，人被赋能作为基督——教会元首的代表，在他祭司、先知和君王的三重职务中行事。</w:t>
      </w:r>
    </w:p>
    <w:p>
      <w:pPr>
        <w:pStyle w:val="BodyText"/>
      </w:pPr>
      <w:r>
        <w:t xml:space="preserve">如同洗礼和坚振的情况一样，这种分享基督职务是一次而永远授予的。圣秩圣事，像其他两件圣事一样，赋予</w:t>
      </w:r>
      <w:r>
        <w:rPr>
          <w:i/>
          <w:iCs/>
        </w:rPr>
        <w:t xml:space="preserve">不可磨灭的属灵灵印</w:t>
      </w:r>
      <w:r>
        <w:t xml:space="preserve">，不能重复或暂时授予。</w:t>
      </w:r>
      <w:r>
        <w:rPr>
          <w:rStyle w:val="FootnoteReference"/>
        </w:rPr>
        <w:footnoteReference w:id="2691"/>
      </w:r>
    </w:p>
    <w:p>
      <w:pPr>
        <w:pStyle w:val="BodyText"/>
      </w:pPr>
      <w:r>
        <w:t xml:space="preserve">确实，有效被授圣职的人可以因重大理由被免除与授职相关的义务和职能，或被禁止行使它们；但他不能再次成为严格意义上的平信徒，</w:t>
      </w:r>
      <w:r>
        <w:rPr>
          <w:rStyle w:val="FootnoteReference"/>
        </w:rPr>
        <w:footnoteReference w:id="2692"/>
      </w:r>
      <w:r>
        <w:t xml:space="preserve">因为授职所印的灵印是永远的。他在授职之日所领受的圣召和使命永久地标记着他。</w:t>
      </w:r>
    </w:p>
    <w:p>
      <w:pPr>
        <w:pStyle w:val="BodyText"/>
      </w:pPr>
      <w:r>
        <w:t xml:space="preserve">由于最终是基督通过被授职的职事人员行动并实现救恩，后者的不配不会阻止基督行动。</w:t>
      </w:r>
      <w:r>
        <w:rPr>
          <w:rStyle w:val="FootnoteReference"/>
        </w:rPr>
        <w:footnoteReference w:id="2693"/>
      </w:r>
      <w:r>
        <w:t xml:space="preserve">圣奥古斯丁有力地陈述了这一点：</w:t>
      </w:r>
    </w:p>
    <w:p>
      <w:pPr>
        <w:pStyle w:val="BlockText"/>
      </w:pPr>
      <w:r>
        <w:t xml:space="preserve">至于骄傲的职事人员，他应被列为与魔鬼同类。基督的恩赐并不因此被亵渎：流经他的保持其纯洁，经过他的仍然清澈并到达肥沃的土地……圣事的属灵能力确实可比作光：那些要被照亮的人以其纯洁接受它，即使它经过污秽的人，它本身也不被玷污。</w:t>
      </w:r>
      <w:r>
        <w:rPr>
          <w:rStyle w:val="FootnoteReference"/>
        </w:rPr>
        <w:footnoteReference w:id="2694"/>
      </w:r>
    </w:p>
    <w:bookmarkEnd w:id="2695"/>
    <w:bookmarkStart w:id="2702" w:name="圣灵的恩典"/>
    <w:p>
      <w:pPr>
        <w:pStyle w:val="Heading6"/>
      </w:pPr>
      <w:r>
        <w:t xml:space="preserve">圣灵的恩典</w:t>
      </w:r>
    </w:p>
    <w:p>
      <w:pPr>
        <w:pStyle w:val="FirstParagraph"/>
      </w:pPr>
      <w:r>
        <w:t xml:space="preserve">这圣事特有的圣灵恩典是肖似基督作为祭司、导师和牧者，被授职者成为他的职事人员。</w:t>
      </w:r>
    </w:p>
    <w:p>
      <w:pPr>
        <w:pStyle w:val="BodyText"/>
      </w:pPr>
      <w:r>
        <w:t xml:space="preserve">对主教而言，这首先是力量的恩典（「治理之灵」：拉丁礼主教祝圣祷文）：</w:t>
      </w:r>
      <w:r>
        <w:rPr>
          <w:rStyle w:val="FootnoteReference"/>
        </w:rPr>
        <w:footnoteReference w:id="2696"/>
      </w:r>
      <w:r>
        <w:t xml:space="preserve">以力量和明智引导和保卫他的教会的恩典，如同父亲和牧者，对所有人怀有无偿的爱，对穷人、病人和有需要者怀有优先的爱。这恩典推动他向所有人宣讲福音，成为他羊群的榜样，在成圣的道路上走在前面，在圣餐中与基督祭司和祭品认同，不惧为他的羊舍命：</w:t>
      </w:r>
    </w:p>
    <w:p>
      <w:pPr>
        <w:pStyle w:val="BlockText"/>
      </w:pPr>
      <w:r>
        <w:t xml:space="preserve">父啊，你鉴察人心。</w:t>
      </w:r>
      <w:r>
        <w:t xml:space="preserve"> </w:t>
      </w:r>
      <w:r>
        <w:t xml:space="preserve">你拣选了你的仆人担任主教的职分。</w:t>
      </w:r>
      <w:r>
        <w:t xml:space="preserve"> </w:t>
      </w:r>
      <w:r>
        <w:t xml:space="preserve">愿他成为你圣群的牧人，</w:t>
      </w:r>
      <w:r>
        <w:t xml:space="preserve"> </w:t>
      </w:r>
      <w:r>
        <w:t xml:space="preserve">在你面前作无可指摘的大祭司，</w:t>
      </w:r>
      <w:r>
        <w:t xml:space="preserve"> </w:t>
      </w:r>
      <w:r>
        <w:t xml:space="preserve">昼夜事奉于你；</w:t>
      </w:r>
      <w:r>
        <w:t xml:space="preserve"> </w:t>
      </w:r>
      <w:r>
        <w:t xml:space="preserve">愿他常蒙你恩典的赐福，</w:t>
      </w:r>
      <w:r>
        <w:t xml:space="preserve"> </w:t>
      </w:r>
      <w:r>
        <w:t xml:space="preserve">并奉献你圣教会的祭品。</w:t>
      </w:r>
      <w:r>
        <w:t xml:space="preserve"> </w:t>
      </w:r>
      <w:r>
        <w:t xml:space="preserve">藉赐予大祭司恩典的圣灵，</w:t>
      </w:r>
      <w:r>
        <w:t xml:space="preserve"> </w:t>
      </w:r>
      <w:r>
        <w:t xml:space="preserve">赐他权柄，</w:t>
      </w:r>
      <w:r>
        <w:t xml:space="preserve"> </w:t>
      </w:r>
      <w:r>
        <w:t xml:space="preserve">按你的命令赦免罪孽，</w:t>
      </w:r>
      <w:r>
        <w:t xml:space="preserve"> </w:t>
      </w:r>
      <w:r>
        <w:t xml:space="preserve">按你的旨意分派职事，</w:t>
      </w:r>
      <w:r>
        <w:t xml:space="preserve"> </w:t>
      </w:r>
      <w:r>
        <w:t xml:space="preserve">并凭你赐给使徒的权柄，解除一切捆绑。</w:t>
      </w:r>
      <w:r>
        <w:t xml:space="preserve"> </w:t>
      </w:r>
      <w:r>
        <w:t xml:space="preserve">愿他以温良与清洁的心蒙你悦纳，</w:t>
      </w:r>
      <w:r>
        <w:t xml:space="preserve"> </w:t>
      </w:r>
      <w:r>
        <w:t xml:space="preserve">向你献上馨香的祭，</w:t>
      </w:r>
      <w:r>
        <w:t xml:space="preserve"> </w:t>
      </w:r>
      <w:r>
        <w:t xml:space="preserve">藉着你的儿子耶稣基督……</w:t>
      </w:r>
      <w:r>
        <w:rPr>
          <w:rStyle w:val="FootnoteReference"/>
        </w:rPr>
        <w:footnoteReference w:id="2697"/>
      </w:r>
    </w:p>
    <w:p>
      <w:pPr>
        <w:pStyle w:val="FirstParagraph"/>
      </w:pPr>
      <w:r>
        <w:t xml:space="preserve">祭司授职所赋予的属灵恩赐，由拜占庭礼的这个祷文表达。主教按手时，除其他内容外，说：</w:t>
      </w:r>
    </w:p>
    <w:p>
      <w:pPr>
        <w:pStyle w:val="BlockText"/>
      </w:pPr>
      <w:r>
        <w:t xml:space="preserve">主啊，求你以圣灵的恩赐充满</w:t>
      </w:r>
      <w:r>
        <w:t xml:space="preserve"> </w:t>
      </w:r>
      <w:r>
        <w:t xml:space="preserve">你所屈尊提升到祭司等级的他，</w:t>
      </w:r>
      <w:r>
        <w:t xml:space="preserve"> </w:t>
      </w:r>
      <w:r>
        <w:t xml:space="preserve">使他配得无可指责地站在你的祭台前，</w:t>
      </w:r>
      <w:r>
        <w:t xml:space="preserve"> </w:t>
      </w:r>
      <w:r>
        <w:t xml:space="preserve">宣讲你国度的福音，</w:t>
      </w:r>
      <w:r>
        <w:t xml:space="preserve"> </w:t>
      </w:r>
      <w:r>
        <w:t xml:space="preserve">履行你真理之道的职务，</w:t>
      </w:r>
      <w:r>
        <w:t xml:space="preserve"> </w:t>
      </w:r>
      <w:r>
        <w:t xml:space="preserve">向你献上属灵的礼物和祭献，</w:t>
      </w:r>
      <w:r>
        <w:t xml:space="preserve"> </w:t>
      </w:r>
      <w:r>
        <w:t xml:space="preserve">以重生的洗礼更新你的子民；</w:t>
      </w:r>
      <w:r>
        <w:t xml:space="preserve"> </w:t>
      </w:r>
      <w:r>
        <w:t xml:space="preserve">使他能够在他第二次来临的日子，</w:t>
      </w:r>
      <w:r>
        <w:t xml:space="preserve"> </w:t>
      </w:r>
      <w:r>
        <w:t xml:space="preserve">迎接我们伟大的神和救主耶稣基督，你的独生子，</w:t>
      </w:r>
      <w:r>
        <w:t xml:space="preserve"> </w:t>
      </w:r>
      <w:r>
        <w:t xml:space="preserve">并从你无限的美善中</w:t>
      </w:r>
      <w:r>
        <w:t xml:space="preserve"> </w:t>
      </w:r>
      <w:r>
        <w:t xml:space="preserve">获得忠信管理他职务的赏报。</w:t>
      </w:r>
      <w:r>
        <w:rPr>
          <w:rStyle w:val="FootnoteReference"/>
        </w:rPr>
        <w:footnoteReference w:id="2698"/>
      </w:r>
    </w:p>
    <w:p>
      <w:pPr>
        <w:pStyle w:val="FirstParagraph"/>
      </w:pPr>
      <w:r>
        <w:t xml:space="preserve">关于执事，「他们因圣事恩典而得到坚固，与主教及其祭司团结合，在礼仪、福音和仁爱工作的服务（</w:t>
      </w:r>
      <w:r>
        <w:rPr>
          <w:i/>
          <w:iCs/>
        </w:rPr>
        <w:t xml:space="preserve">diakonia</w:t>
      </w:r>
      <w:r>
        <w:t xml:space="preserve">）中，献身于神的子民。」</w:t>
      </w:r>
      <w:r>
        <w:rPr>
          <w:rStyle w:val="FootnoteReference"/>
        </w:rPr>
        <w:footnoteReference w:id="2699"/>
      </w:r>
    </w:p>
    <w:p>
      <w:pPr>
        <w:pStyle w:val="BodyText"/>
      </w:pPr>
      <w:r>
        <w:t xml:space="preserve">面对祭司恩典和职务的伟大，圣师们感到迫切需要皈依，以使他们的整个生活符合那位使他们成为职事人员的圣事。因此，纳齐安的圣额我略作为一位非常年轻的祭司，惊呼道：</w:t>
      </w:r>
    </w:p>
    <w:p>
      <w:pPr>
        <w:pStyle w:val="BlockText"/>
      </w:pPr>
      <w:r>
        <w:t xml:space="preserve">我们必须先洁净自己，然后才能洁净他人；我们必须先受教导，才能教导人，成为光才能照亮人，亲近神才能使他亲近他人，成圣才能使人成圣，牵手引导并明智地劝告。我知道我们是谁的职事人员，我们身在何处，我们奋斗的目标。我知道神的伟大和人的软弱，但也知道他的潜力。［那么祭司是谁？他是］真理的捍卫者，与天使一同站立，与天使长一同归荣耀，使祭献升到天上的祭台，分享基督的祭司职，重塑受造物，在神的形像中恢复它，为天上的世界再造它，更伟大的是，被神化并使人神化。</w:t>
      </w:r>
      <w:r>
        <w:rPr>
          <w:rStyle w:val="FootnoteReference"/>
        </w:rPr>
        <w:footnoteReference w:id="2700"/>
      </w:r>
      <w:r>
        <w:t xml:space="preserve">亚尔斯的圣本堂神父说：「祭司在地上继续救赎的工作……如果我们真正理解地上的祭司，我们会死于爱而非恐惧……祭司职是耶稣圣心的爱。」</w:t>
      </w:r>
      <w:r>
        <w:rPr>
          <w:rStyle w:val="FootnoteReference"/>
        </w:rPr>
        <w:footnoteReference w:id="2701"/>
      </w:r>
    </w:p>
    <w:bookmarkEnd w:id="2702"/>
    <w:bookmarkEnd w:id="2703"/>
    <w:bookmarkStart w:id="2704" w:name="综述-39"/>
    <w:p>
      <w:pPr>
        <w:pStyle w:val="Heading5"/>
      </w:pPr>
      <w:r>
        <w:t xml:space="preserve">综述</w:t>
      </w:r>
    </w:p>
    <w:p>
      <w:pPr>
        <w:pStyle w:val="FirstParagraph"/>
      </w:pPr>
      <w:r>
        <w:t xml:space="preserve">圣保罗对他的门徒提摩太说：「为此我提醒你，使你将神藉我按手所给你的恩赐再如火挑旺起来」（提后1:6），又说「人若想要得监督的职分，就是羡慕善工」（提前3:1）。</w:t>
      </w:r>
    </w:p>
    <w:p>
      <w:pPr>
        <w:pStyle w:val="BodyText"/>
      </w:pPr>
      <w:r>
        <w:t xml:space="preserve">他对提多说：「我从前留你在克里特，是要你将那没有办完的事都办整齐了，又照我所吩咐你的，在各城设立长老」（多1:5）。</w:t>
      </w:r>
    </w:p>
    <w:p>
      <w:pPr>
        <w:pStyle w:val="BodyText"/>
      </w:pPr>
      <w:r>
        <w:t xml:space="preserve">整个教会是一个祭司的子民。通过洗礼，所有信徒都分享基督的祭司职。这种参与被称为「信徒的共同祭司职」。基于这共同祭司职并为其服务，存在着另一种参与基督使命的方式：由圣秩圣事授予的职务，其任务是以基督元首的名义和身份在团体中服务。</w:t>
      </w:r>
    </w:p>
    <w:p>
      <w:pPr>
        <w:pStyle w:val="BodyText"/>
      </w:pPr>
      <w:r>
        <w:t xml:space="preserve">职务祭司职在本质上不同于信徒的共同祭司职，因为它赋予为信徒服务的神圣权力。被授圣职的职事人员通过教导（</w:t>
      </w:r>
      <w:r>
        <w:rPr>
          <w:i/>
          <w:iCs/>
        </w:rPr>
        <w:t xml:space="preserve">munus docendi</w:t>
      </w:r>
      <w:r>
        <w:t xml:space="preserve">）、神圣敬拜（</w:t>
      </w:r>
      <w:r>
        <w:rPr>
          <w:i/>
          <w:iCs/>
        </w:rPr>
        <w:t xml:space="preserve">munus liturgicum</w:t>
      </w:r>
      <w:r>
        <w:t xml:space="preserve">）和牧灵治理（</w:t>
      </w:r>
      <w:r>
        <w:rPr>
          <w:i/>
          <w:iCs/>
        </w:rPr>
        <w:t xml:space="preserve">munus regendi</w:t>
      </w:r>
      <w:r>
        <w:t xml:space="preserve">）为神的子民服务。</w:t>
      </w:r>
    </w:p>
    <w:p>
      <w:pPr>
        <w:pStyle w:val="BodyText"/>
      </w:pPr>
      <w:r>
        <w:t xml:space="preserve">自起初，受秩职务就分为三个品级授予和行使：主教、祭司和执事。这些通过圣秩授予的职务对于教会的有机结构是不可替代的：没有主教、祭司和执事，就不能称之为教会（参圣依纳爵·安提阿《致特拉利亚人书》3,1）。</w:t>
      </w:r>
    </w:p>
    <w:p>
      <w:pPr>
        <w:pStyle w:val="BodyText"/>
      </w:pPr>
      <w:r>
        <w:t xml:space="preserve">主教领受圣秩圣事的圆满，这使他加入主教团，并使他成为托付给他的地方教会的可见元首。作为使徒的继承人和团体的成员，主教们在教宗——圣彼得的继承人的权威下，分享整个教会的使徒责任和使命。</w:t>
      </w:r>
    </w:p>
    <w:p>
      <w:pPr>
        <w:pStyle w:val="BodyText"/>
      </w:pPr>
      <w:r>
        <w:t xml:space="preserve">祭司们在祭司尊严上与主教联合，同时在行使他们的牧灵职能时依赖主教；他们被呼召成为主教们明智的合作者。他们围绕着他们的主教形成祭司团，与主教一起对地方教会负责。他们从主教那里接受堂区团体或特定教会职务的委托。</w:t>
      </w:r>
    </w:p>
    <w:p>
      <w:pPr>
        <w:pStyle w:val="BodyText"/>
      </w:pPr>
      <w:r>
        <w:t xml:space="preserve">执事是为教会服务任务而被授圣职的职事人员；他们不领受职务祭司职，但授职赋予他们在圣道职务、神圣敬拜、牧灵治理和仁爱服务中的重要职能，他们必须在主教的牧灵权威下履行这些任务。</w:t>
      </w:r>
    </w:p>
    <w:p>
      <w:pPr>
        <w:pStyle w:val="BodyText"/>
      </w:pPr>
      <w:r>
        <w:t xml:space="preserve">圣秩圣事通过按手礼授予，随后是隆重的祝圣祷文，祈求神赐予受职者履行其职务所需的圣灵恩典。授职印下不可磨灭的圣事灵印。</w:t>
      </w:r>
    </w:p>
    <w:p>
      <w:pPr>
        <w:pStyle w:val="BodyText"/>
      </w:pPr>
      <w:r>
        <w:t xml:space="preserve">教会只向受过洗的男性（</w:t>
      </w:r>
      <w:r>
        <w:rPr>
          <w:i/>
          <w:iCs/>
        </w:rPr>
        <w:t xml:space="preserve">viri</w:t>
      </w:r>
      <w:r>
        <w:t xml:space="preserve">）授予圣秩圣事，他们履行职务的适合性已得到适当认可。只有教会权威有责任和权利呼召某人领受圣秩圣事。</w:t>
      </w:r>
    </w:p>
    <w:p>
      <w:pPr>
        <w:pStyle w:val="BodyText"/>
      </w:pPr>
      <w:r>
        <w:t xml:space="preserve">在拉丁教会，祭司职的圣秩圣事通常只授予那些准备自由接受独身，并公开表明为了神的国和服务人而保持独身意向的候选人。</w:t>
      </w:r>
    </w:p>
    <w:p>
      <w:r>
        <w:br w:type="page"/>
      </w:r>
    </w:p>
    <w:bookmarkEnd w:id="2704"/>
    <w:bookmarkEnd w:id="2705"/>
    <w:bookmarkStart w:id="2813" w:name="第七条婚姻圣事"/>
    <w:p>
      <w:pPr>
        <w:pStyle w:val="Heading4"/>
      </w:pPr>
      <w:r>
        <w:t xml:space="preserve">第七条：婚姻圣事</w:t>
      </w:r>
    </w:p>
    <w:p>
      <w:pPr>
        <w:pStyle w:val="FirstParagraph"/>
      </w:pPr>
      <w:r>
        <w:t xml:space="preserve">「婚姻盟约，即男女双方建立终身伴侣关系的约定，按其本性是为了夫妻的益处以及子女的生育和教育；受洗者之间的这一盟约已被主基督提升为圣事的尊严。」</w:t>
      </w:r>
      <w:r>
        <w:rPr>
          <w:rStyle w:val="FootnoteReference"/>
        </w:rPr>
        <w:footnoteReference w:id="2706"/>
      </w:r>
    </w:p>
    <w:bookmarkStart w:id="2747" w:name="一神计划中的婚姻"/>
    <w:p>
      <w:pPr>
        <w:pStyle w:val="Heading5"/>
      </w:pPr>
      <w:r>
        <w:t xml:space="preserve">一、神计划中的婚姻</w:t>
      </w:r>
    </w:p>
    <w:p>
      <w:pPr>
        <w:pStyle w:val="FirstParagraph"/>
      </w:pPr>
      <w:r>
        <w:t xml:space="preserve">圣经以按神的形象和样式受造的男女开始，以「羔羊的婚筵」的异象结束。</w:t>
      </w:r>
      <w:r>
        <w:rPr>
          <w:rStyle w:val="FootnoteReference"/>
        </w:rPr>
        <w:footnoteReference w:id="2707"/>
      </w:r>
      <w:r>
        <w:t xml:space="preserve">圣经自始至终都谈论婚姻及其「奥秘」，它的设立和神赋予它的意义，它的起源和终向，它在救恩史中的各种实现，因罪而产生的困难，以及它在基督与教会的新约中「在主里」的更新。</w:t>
      </w:r>
      <w:r>
        <w:rPr>
          <w:rStyle w:val="FootnoteReference"/>
        </w:rPr>
        <w:footnoteReference w:id="2708"/>
      </w:r>
    </w:p>
    <w:bookmarkStart w:id="2718" w:name="创造秩序中的婚姻"/>
    <w:p>
      <w:pPr>
        <w:pStyle w:val="Heading6"/>
      </w:pPr>
      <w:r>
        <w:t xml:space="preserve">创造秩序中的婚姻</w:t>
      </w:r>
    </w:p>
    <w:p>
      <w:pPr>
        <w:pStyle w:val="FirstParagraph"/>
      </w:pPr>
      <w:r>
        <w:t xml:space="preserve">「构成婚姻状态的生命与爱情的亲密共融体，是由造物主建立的，并由他赋予其固有的律法……神自己是婚姻的创立者。」</w:t>
      </w:r>
      <w:r>
        <w:rPr>
          <w:rStyle w:val="FootnoteReference"/>
        </w:rPr>
        <w:footnoteReference w:id="2709"/>
      </w:r>
      <w:r>
        <w:t xml:space="preserve">婚姻的呼召写在男女的本性中，正如他们从造物主手中出来时一样。婚姻不是纯粹的人类制度，尽管它在不同文化、社会结构和精神态度中经历了许多世纪的各种变化。这些差异不应使我们忘记其共同和恒久的特征。虽然这一制度的尊严并非在各处都同样清晰地显现，</w:t>
      </w:r>
      <w:r>
        <w:rPr>
          <w:rStyle w:val="FootnoteReference"/>
        </w:rPr>
        <w:footnoteReference w:id="2710"/>
      </w:r>
      <w:r>
        <w:t xml:space="preserve">但在所有文化中都存在对婚姻结合伟大性的某种认识。「个人以及人类和基督徒社会的福祉，都与夫妻和家庭生活的健康状态密切相关。」</w:t>
      </w:r>
      <w:r>
        <w:rPr>
          <w:rStyle w:val="FootnoteReference"/>
        </w:rPr>
        <w:footnoteReference w:id="2711"/>
      </w:r>
    </w:p>
    <w:p>
      <w:pPr>
        <w:pStyle w:val="BodyText"/>
      </w:pPr>
      <w:r>
        <w:t xml:space="preserve">出于爱而造人的神也呼召人去爱——这是每个人的基本和内在呼召。因为人是按神的形象和样式受造的，而神本身就是爱。</w:t>
      </w:r>
      <w:r>
        <w:rPr>
          <w:rStyle w:val="FootnoteReference"/>
        </w:rPr>
        <w:footnoteReference w:id="2712"/>
      </w:r>
      <w:r>
        <w:t xml:space="preserve">既然神造他们有男有女，他们彼此的爱就成为神以绝对和不变的爱爱人的形象。在造物主眼中，这是好的，甚至是很好的。神所祝福的这爱是要结果子的，要在共同看守创造的工作中实现：「神就赐福给他们，又对他们说：『要生养众多，遍满地面，治理这地。』」</w:t>
      </w:r>
      <w:r>
        <w:rPr>
          <w:rStyle w:val="FootnoteReference"/>
        </w:rPr>
        <w:footnoteReference w:id="2713"/>
      </w:r>
    </w:p>
    <w:p>
      <w:pPr>
        <w:pStyle w:val="BodyText"/>
      </w:pPr>
      <w:r>
        <w:t xml:space="preserve">圣经申明男女是为彼此而创造的：「那人独居不好。」</w:t>
      </w:r>
      <w:r>
        <w:rPr>
          <w:rStyle w:val="FootnoteReference"/>
        </w:rPr>
        <w:footnoteReference w:id="2714"/>
      </w:r>
      <w:r>
        <w:t xml:space="preserve">女人是「他骨中的骨，肉中的肉」，是他的同等，在一切事上最接近他，是神赐给他的「帮助者」；因此她代表神，我们的帮助从神而来。</w:t>
      </w:r>
      <w:r>
        <w:rPr>
          <w:rStyle w:val="FootnoteReference"/>
        </w:rPr>
        <w:footnoteReference w:id="2715"/>
      </w:r>
      <w:r>
        <w:t xml:space="preserve">「因此，人要离开父母，与妻子连合，二人成为一体。」</w:t>
      </w:r>
      <w:r>
        <w:rPr>
          <w:rStyle w:val="FootnoteReference"/>
        </w:rPr>
        <w:footnoteReference w:id="2716"/>
      </w:r>
      <w:r>
        <w:t xml:space="preserve">主自己借着追溯创造者「起初」的计划，表明这意味着他们两个生命不可分割的结合：「既然如此，夫妻不再是两个人，乃是一体的了。」</w:t>
      </w:r>
      <w:r>
        <w:rPr>
          <w:rStyle w:val="FootnoteReference"/>
        </w:rPr>
        <w:footnoteReference w:id="2717"/>
      </w:r>
    </w:p>
    <w:bookmarkEnd w:id="2718"/>
    <w:bookmarkStart w:id="2723" w:name="罪统治下的婚姻"/>
    <w:p>
      <w:pPr>
        <w:pStyle w:val="Heading6"/>
      </w:pPr>
      <w:r>
        <w:t xml:space="preserve">罪统治下的婚姻</w:t>
      </w:r>
    </w:p>
    <w:p>
      <w:pPr>
        <w:pStyle w:val="FirstParagraph"/>
      </w:pPr>
      <w:r>
        <w:t xml:space="preserve">每个人都经历着外在和内在的罪。这种体验体现在男女关系中。他们的结合始终受到纷争、支配欲、不忠、嫉妒和冲突的威胁，这些冲突可能升级为仇恨与分离。这种混乱或轻或重地显现，并可能因文化、时代和个人的不同而被不同程度地克服，但它似乎确实具有普遍性。</w:t>
      </w:r>
    </w:p>
    <w:p>
      <w:pPr>
        <w:pStyle w:val="BodyText"/>
      </w:pPr>
      <w:r>
        <w:t xml:space="preserve">根据信仰，我们如此痛苦地注意到的失调并非源于男女的</w:t>
      </w:r>
      <w:r>
        <w:rPr>
          <w:i/>
          <w:iCs/>
        </w:rPr>
        <w:t xml:space="preserve">本性</w:t>
      </w:r>
      <w:r>
        <w:t xml:space="preserve">，也非源于他们关系的本质，而是源于罪。作为与神的决裂，原罪的首要后果就是男女之间原初共融的破裂。他们的关系被相互指责所扭曲；</w:t>
      </w:r>
      <w:r>
        <w:rPr>
          <w:rStyle w:val="FootnoteReference"/>
        </w:rPr>
        <w:footnoteReference w:id="2719"/>
      </w:r>
      <w:r>
        <w:t xml:space="preserve">他们相互的吸引，造物主自己的恩赐，变成了一种支配和情欲的关系；</w:t>
      </w:r>
      <w:r>
        <w:rPr>
          <w:rStyle w:val="FootnoteReference"/>
        </w:rPr>
        <w:footnoteReference w:id="2720"/>
      </w:r>
      <w:r>
        <w:t xml:space="preserve">男女要生养众多，治理大地的美好呼召，被分娩之痛和劳作之苦所困扰。</w:t>
      </w:r>
      <w:r>
        <w:rPr>
          <w:rStyle w:val="FootnoteReference"/>
        </w:rPr>
        <w:footnoteReference w:id="2721"/>
      </w:r>
    </w:p>
    <w:p>
      <w:pPr>
        <w:pStyle w:val="BodyText"/>
      </w:pPr>
      <w:r>
        <w:t xml:space="preserve">然而，创造的秩序仍然存在，尽管受到严重干扰。为了医治罪的创伤，男女需要神恩典的帮助，神在他无限的慈悲中从不拒绝给予他们。</w:t>
      </w:r>
      <w:r>
        <w:rPr>
          <w:rStyle w:val="FootnoteReference"/>
        </w:rPr>
        <w:footnoteReference w:id="2722"/>
      </w:r>
      <w:r>
        <w:t xml:space="preserve">没有他的帮助，男女无法实现神「起初」为他们所造的生命结合。</w:t>
      </w:r>
    </w:p>
    <w:bookmarkEnd w:id="2723"/>
    <w:bookmarkStart w:id="2728" w:name="律法教导下的婚姻"/>
    <w:p>
      <w:pPr>
        <w:pStyle w:val="Heading6"/>
      </w:pPr>
      <w:r>
        <w:t xml:space="preserve">律法教导下的婚姻</w:t>
      </w:r>
    </w:p>
    <w:p>
      <w:pPr>
        <w:pStyle w:val="FirstParagraph"/>
      </w:pPr>
      <w:r>
        <w:t xml:space="preserve">神在他的慈悲中没有离弃有罪的人。罪恶带来的惩罚，「怀胎的苦楚」和「汗流满面才得糊口」，</w:t>
      </w:r>
      <w:r>
        <w:rPr>
          <w:rStyle w:val="FootnoteReference"/>
        </w:rPr>
        <w:footnoteReference w:id="2724"/>
      </w:r>
      <w:r>
        <w:t xml:space="preserve">也蕴含着限制罪恶破坏性影响的补救措施。堕落之后，婚姻有助于克服自我沉溺、利己主义、追求自己的快乐，并使人向他人开放，走向互助和自我奉献。</w:t>
      </w:r>
    </w:p>
    <w:p>
      <w:pPr>
        <w:pStyle w:val="BodyText"/>
      </w:pPr>
      <w:r>
        <w:t xml:space="preserve">关于婚姻合一和不可解除性的道德观念，是在旧律法的教导下发展起来的。旧约中，族长和君王的多妻制尚未被明确拒绝。然而，摩西所颁布的律法旨在保护妻子免受丈夫的任意支配，尽管根据主的话，它仍然带有人的「心硬」的痕迹，这正是摩西允许男人休妻的原因。</w:t>
      </w:r>
      <w:r>
        <w:rPr>
          <w:rStyle w:val="FootnoteReference"/>
        </w:rPr>
        <w:footnoteReference w:id="2725"/>
      </w:r>
    </w:p>
    <w:p>
      <w:pPr>
        <w:pStyle w:val="BodyText"/>
      </w:pPr>
      <w:r>
        <w:t xml:space="preserve">先知们将神与以色列的盟约视为专属而忠贞的夫妻之爱的形象，从而为选民的良心作好准备，使其更深入地理解婚姻的合一性和不可解除性。</w:t>
      </w:r>
      <w:r>
        <w:rPr>
          <w:rStyle w:val="FootnoteReference"/>
        </w:rPr>
        <w:footnoteReference w:id="2726"/>
      </w:r>
      <w:r>
        <w:t xml:space="preserve">《路得记》和《多俾亚传》动人地见证了婚姻的崇高意义以及配偶的忠贞和温柔。圣传一直视《雅歌》为人类爱情的独特表达，因为它反映了神的爱——一种「爱情如死之坚强」，「大水不能淹没」的爱。</w:t>
      </w:r>
      <w:r>
        <w:rPr>
          <w:rStyle w:val="FootnoteReference"/>
        </w:rPr>
        <w:footnoteReference w:id="2727"/>
      </w:r>
    </w:p>
    <w:bookmarkEnd w:id="2728"/>
    <w:bookmarkStart w:id="2738" w:name="在主里的婚姻"/>
    <w:p>
      <w:pPr>
        <w:pStyle w:val="Heading6"/>
      </w:pPr>
      <w:r>
        <w:t xml:space="preserve">在主里的婚姻</w:t>
      </w:r>
    </w:p>
    <w:p>
      <w:pPr>
        <w:pStyle w:val="FirstParagraph"/>
      </w:pPr>
      <w:r>
        <w:t xml:space="preserve">神与他的子民以色列之间的婚约为新而永恒的约预备了道路，在这约中，神的儿子通过成为肉身并舍弃生命，以某种方式将所有被他拯救的人类与自己结合，从而为「羔羊的婚筵」作准备。</w:t>
      </w:r>
      <w:r>
        <w:rPr>
          <w:rStyle w:val="FootnoteReference"/>
        </w:rPr>
        <w:footnoteReference w:id="2729"/>
      </w:r>
    </w:p>
    <w:p>
      <w:pPr>
        <w:pStyle w:val="BodyText"/>
      </w:pPr>
      <w:r>
        <w:t xml:space="preserve">在他公开生活的开始，耶稣应他母亲的请求，在一个婚筵上行了他的第一个神迹。</w:t>
      </w:r>
      <w:r>
        <w:rPr>
          <w:rStyle w:val="FootnoteReference"/>
        </w:rPr>
        <w:footnoteReference w:id="2730"/>
      </w:r>
      <w:r>
        <w:t xml:space="preserve">教会非常重视耶稣在迦拿婚筵上的临在。她在其中看到对婚姻美善的确认，以及从此以后婚姻将成为基督临在的有效记号的宣告。</w:t>
      </w:r>
    </w:p>
    <w:p>
      <w:pPr>
        <w:pStyle w:val="BodyText"/>
      </w:pPr>
      <w:r>
        <w:t xml:space="preserve">在他的宣讲中，耶稣明确地教导了男女结合的原初意义，正如造物主从起初所愿的：摩西允许休妻是对心硬的让步。</w:t>
      </w:r>
      <w:r>
        <w:rPr>
          <w:rStyle w:val="FootnoteReference"/>
        </w:rPr>
        <w:footnoteReference w:id="2731"/>
      </w:r>
      <w:r>
        <w:t xml:space="preserve">男女的婚姻结合是不可解散的：神自己决定了这一点，「所以神配合的，人不可分开。」</w:t>
      </w:r>
      <w:r>
        <w:rPr>
          <w:rStyle w:val="FootnoteReference"/>
        </w:rPr>
        <w:footnoteReference w:id="2732"/>
      </w:r>
    </w:p>
    <w:p>
      <w:pPr>
        <w:pStyle w:val="BodyText"/>
      </w:pPr>
      <w:r>
        <w:t xml:space="preserve">这种对婚姻纽带不可解散性的明确坚持可能使一些人困惑，似乎是一个不可能实现的要求。然而，耶稣并没有给夫妻加上不可承受的重担，或过于沉重的负担——比摩西的律法更重。</w:t>
      </w:r>
      <w:r>
        <w:rPr>
          <w:rStyle w:val="FootnoteReference"/>
        </w:rPr>
        <w:footnoteReference w:id="2733"/>
      </w:r>
      <w:r>
        <w:t xml:space="preserve">通过来恢复被罪扰乱的原初创造秩序，他自己赐予力量和恩典，使人能在神国的新层面中生活婚姻。正是通过跟随基督、舍己、背起十字架，夫妻才能「领受」婚姻的原初意义，并在基督的帮助下活出来。</w:t>
      </w:r>
      <w:r>
        <w:rPr>
          <w:rStyle w:val="FootnoteReference"/>
        </w:rPr>
        <w:footnoteReference w:id="2734"/>
      </w:r>
      <w:r>
        <w:t xml:space="preserve">基督徒婚姻的这恩典是基督十字架的果实，是所有基督徒生活的源泉。</w:t>
      </w:r>
    </w:p>
    <w:p>
      <w:pPr>
        <w:pStyle w:val="BodyText"/>
      </w:pPr>
      <w:r>
        <w:t xml:space="preserve">这正是使徒保罗所阐明的，他说：「你们作丈夫的，要爱你们的妻子，正如基督爱教会，为教会舍己，好使她成为圣洁。」他随即补充说：「『为这个缘故，人要离开父母，与妻子连合，二人成为一体。』这是极大的奥秘，但我是指着基督和教会说的。」</w:t>
      </w:r>
      <w:r>
        <w:rPr>
          <w:rStyle w:val="FootnoteReference"/>
        </w:rPr>
        <w:footnoteReference w:id="2735"/>
      </w:r>
    </w:p>
    <w:p>
      <w:pPr>
        <w:pStyle w:val="BodyText"/>
      </w:pPr>
      <w:r>
        <w:t xml:space="preserve">整个基督徒生活都带有基督与教会夫妻之爱的印记。洗礼——进入神子民的入门礼——本身已是婚姻奥秘，可以说是婚宴（圣餐）之前的婚配沐浴礼。</w:t>
      </w:r>
      <w:r>
        <w:rPr>
          <w:rStyle w:val="FootnoteReference"/>
        </w:rPr>
        <w:footnoteReference w:id="2736"/>
      </w:r>
      <w:r>
        <w:t xml:space="preserve">基督徒婚姻则成为基督与教会盟约的有效标记，即圣事。既然它象征并传递恩典，受洗者之间的婚姻就是新约的真正圣事。</w:t>
      </w:r>
      <w:r>
        <w:rPr>
          <w:rStyle w:val="FootnoteReference"/>
        </w:rPr>
        <w:footnoteReference w:id="2737"/>
      </w:r>
    </w:p>
    <w:bookmarkEnd w:id="2738"/>
    <w:bookmarkStart w:id="2746" w:name="为天国的童贞"/>
    <w:p>
      <w:pPr>
        <w:pStyle w:val="Heading6"/>
      </w:pPr>
      <w:r>
        <w:t xml:space="preserve">为天国的童贞</w:t>
      </w:r>
    </w:p>
    <w:p>
      <w:pPr>
        <w:pStyle w:val="FirstParagraph"/>
      </w:pPr>
      <w:r>
        <w:t xml:space="preserve">基督是一切基督徒生活的中心。与他的联系优先于所有其他的联系，无论是家庭的还是社会的。</w:t>
      </w:r>
      <w:r>
        <w:rPr>
          <w:rStyle w:val="FootnoteReference"/>
        </w:rPr>
        <w:footnoteReference w:id="2739"/>
      </w:r>
      <w:r>
        <w:t xml:space="preserve">从教会的最初期开始，就有男女为了无论羔羊往哪里去都跟随他，专心于主的事，寻求讨他的喜悦，并出去迎接那将要来的新郎，而放弃了婚姻这一大善。</w:t>
      </w:r>
      <w:r>
        <w:rPr>
          <w:rStyle w:val="FootnoteReference"/>
        </w:rPr>
        <w:footnoteReference w:id="2740"/>
      </w:r>
      <w:r>
        <w:t xml:space="preserve">基督亲自邀请某些人以这种生活方式跟随他，而他自己仍是这种生活的典范：</w:t>
      </w:r>
    </w:p>
    <w:p>
      <w:pPr>
        <w:pStyle w:val="BlockText"/>
      </w:pPr>
      <w:r>
        <w:t xml:space="preserve">「因为有生来是阉人，也有被人阉的，并有为天国的缘故自阉的。这话谁能领受，就可以领受。」</w:t>
      </w:r>
      <w:r>
        <w:rPr>
          <w:rStyle w:val="FootnoteReference"/>
        </w:rPr>
        <w:footnoteReference w:id="2741"/>
      </w:r>
    </w:p>
    <w:p>
      <w:pPr>
        <w:pStyle w:val="FirstParagraph"/>
      </w:pPr>
      <w:r>
        <w:t xml:space="preserve">为天国的童贞是洗礼恩典的展开，是与基督联系至上性的有力记号，是对他再来的热切期待，也是提醒婚姻是这个正在过去的现世的现实的记号。</w:t>
      </w:r>
      <w:r>
        <w:rPr>
          <w:rStyle w:val="FootnoteReference"/>
        </w:rPr>
        <w:footnoteReference w:id="2742"/>
      </w:r>
    </w:p>
    <w:p>
      <w:pPr>
        <w:pStyle w:val="BodyText"/>
      </w:pPr>
      <w:r>
        <w:t xml:space="preserve">婚姻圣事和为天国守贞，都来自主亲自的恩赐。他赋予它们意义，并赐予不可或缺的恩典，使人们能按照他的旨意生活。</w:t>
      </w:r>
      <w:r>
        <w:rPr>
          <w:rStyle w:val="FootnoteReference"/>
        </w:rPr>
        <w:footnoteReference w:id="2743"/>
      </w:r>
      <w:r>
        <w:t xml:space="preserve"> </w:t>
      </w:r>
      <w:r>
        <w:t xml:space="preserve">为天国的缘故而尊崇贞洁</w:t>
      </w:r>
      <w:r>
        <w:rPr>
          <w:rStyle w:val="FootnoteReference"/>
        </w:rPr>
        <w:footnoteReference w:id="2744"/>
      </w:r>
      <w:r>
        <w:t xml:space="preserve">与基督徒的婚姻观密不可分，两者相辅相成：</w:t>
      </w:r>
    </w:p>
    <w:p>
      <w:pPr>
        <w:pStyle w:val="BlockText"/>
      </w:pPr>
      <w:r>
        <w:t xml:space="preserve">凡贬低婚姻的人也减少了童贞的荣耀。凡赞美婚姻的人使童贞更加令人钦佩和光辉。只有与邪恶相比才显得好的东西不会是真正的好。最优秀的善是比公认为好的东西更好的东西。</w:t>
      </w:r>
      <w:r>
        <w:rPr>
          <w:rStyle w:val="FootnoteReference"/>
        </w:rPr>
        <w:footnoteReference w:id="2745"/>
      </w:r>
    </w:p>
    <w:bookmarkEnd w:id="2746"/>
    <w:bookmarkEnd w:id="2747"/>
    <w:bookmarkStart w:id="2755" w:name="二婚姻的庆典"/>
    <w:p>
      <w:pPr>
        <w:pStyle w:val="Heading5"/>
      </w:pPr>
      <w:r>
        <w:t xml:space="preserve">二、婚姻的庆典</w:t>
      </w:r>
    </w:p>
    <w:p>
      <w:pPr>
        <w:pStyle w:val="FirstParagraph"/>
      </w:pPr>
      <w:r>
        <w:t xml:space="preserve">在拉丁礼中，两位公教信徒之间的婚配通常在弥撒圣祭中举行，因为所有圣事都与基督的逾越奥秘有关。</w:t>
      </w:r>
      <w:r>
        <w:rPr>
          <w:rStyle w:val="FootnoteReference"/>
        </w:rPr>
        <w:footnoteReference w:id="2748"/>
      </w:r>
      <w:r>
        <w:t xml:space="preserve">在感恩祭中，新约的纪念得以实现，基督在这新约中永远与教会结合，他为自己所爱的新娘献上了自己。</w:t>
      </w:r>
      <w:r>
        <w:rPr>
          <w:rStyle w:val="FootnoteReference"/>
        </w:rPr>
        <w:footnoteReference w:id="2749"/>
      </w:r>
      <w:r>
        <w:t xml:space="preserve">因此，新郎新娘宜通过奉献自己的生命来印证他们彼此交付的誓言，将之与基督为他的教会所作的奉献结合——这奉献在感恩祭中临在；并领受圣餐，好使他们在分享同一个基督的身体和血时，能在基督里成为「一个身体」。</w:t>
      </w:r>
      <w:r>
        <w:rPr>
          <w:rStyle w:val="FootnoteReference"/>
        </w:rPr>
        <w:footnoteReference w:id="2750"/>
      </w:r>
    </w:p>
    <w:p>
      <w:pPr>
        <w:pStyle w:val="BodyText"/>
      </w:pPr>
      <w:r>
        <w:t xml:space="preserve">「既然婚姻是成圣的圣事行动，婚姻的礼仪庆典……本身必须是有效的、相称的和富有成果的。」</w:t>
      </w:r>
      <w:r>
        <w:rPr>
          <w:rStyle w:val="FootnoteReference"/>
        </w:rPr>
        <w:footnoteReference w:id="2751"/>
      </w:r>
      <w:r>
        <w:t xml:space="preserve">因此，新郎新娘通过领受告解圣事来为他们婚姻的庆典作准备是合适的。</w:t>
      </w:r>
    </w:p>
    <w:p>
      <w:pPr>
        <w:pStyle w:val="BodyText"/>
      </w:pPr>
      <w:r>
        <w:t xml:space="preserve">按照拉丁传统，夫妻作为基督恩典的职事人员，通过在教会面前表达他们的同意，相互授予婚姻圣事。在东方教会的传统中，祭司（主教或祭司）是夫妻相互同意的见证人，</w:t>
      </w:r>
      <w:r>
        <w:rPr>
          <w:rStyle w:val="FootnoteReference"/>
        </w:rPr>
        <w:footnoteReference w:id="2752"/>
      </w:r>
      <w:r>
        <w:t xml:space="preserve">但为了圣事的有效性，他们的祝福也是必要的。</w:t>
      </w:r>
      <w:r>
        <w:rPr>
          <w:rStyle w:val="FootnoteReference"/>
        </w:rPr>
        <w:footnoteReference w:id="2753"/>
      </w:r>
    </w:p>
    <w:p>
      <w:pPr>
        <w:pStyle w:val="BodyText"/>
      </w:pPr>
      <w:r>
        <w:t xml:space="preserve">各种礼仪都有丰富的祝福祷文和祈求祷文，求神的恩典和祝福临到新夫妇，特别是新娘。在这圣事的祈求祷文中，夫妻领受圣灵作为基督与教会爱的共融。</w:t>
      </w:r>
      <w:r>
        <w:rPr>
          <w:rStyle w:val="FootnoteReference"/>
        </w:rPr>
        <w:footnoteReference w:id="2754"/>
      </w:r>
      <w:r>
        <w:t xml:space="preserve">圣灵是他们盟约的印记，是他们爱情的永远可得的源泉和更新他们忠诚的力量。</w:t>
      </w:r>
    </w:p>
    <w:bookmarkEnd w:id="2755"/>
    <w:bookmarkStart w:id="2772" w:name="三婚姻同意"/>
    <w:p>
      <w:pPr>
        <w:pStyle w:val="Heading5"/>
      </w:pPr>
      <w:r>
        <w:t xml:space="preserve">三、婚姻同意</w:t>
      </w:r>
    </w:p>
    <w:p>
      <w:pPr>
        <w:pStyle w:val="FirstParagraph"/>
      </w:pPr>
      <w:r>
        <w:t xml:space="preserve">婚姻盟约的当事人是受洗的男女，自由地缔结婚姻，自由地表达他们的同意；「自由」意味着：</w:t>
      </w:r>
    </w:p>
    <w:p>
      <w:pPr>
        <w:pStyle w:val="Compact"/>
        <w:numPr>
          <w:ilvl w:val="0"/>
          <w:numId w:val="1018"/>
        </w:numPr>
      </w:pPr>
      <w:r>
        <w:t xml:space="preserve">不受强制；</w:t>
      </w:r>
    </w:p>
    <w:p>
      <w:pPr>
        <w:pStyle w:val="Compact"/>
        <w:numPr>
          <w:ilvl w:val="0"/>
          <w:numId w:val="1018"/>
        </w:numPr>
      </w:pPr>
      <w:r>
        <w:t xml:space="preserve">不受任何自然法或教会法的阻碍。 { }</w:t>
      </w:r>
    </w:p>
    <w:p>
      <w:pPr>
        <w:pStyle w:val="FirstParagraph"/>
      </w:pPr>
      <w:r>
        <w:t xml:space="preserve">教会认为夫妻之间同意的交换是「成就婚姻」不可缺少的要素。</w:t>
      </w:r>
      <w:r>
        <w:rPr>
          <w:rStyle w:val="FootnoteReference"/>
        </w:rPr>
        <w:footnoteReference w:id="2756"/>
      </w:r>
      <w:r>
        <w:t xml:space="preserve">如果缺乏同意就没有婚姻。</w:t>
      </w:r>
    </w:p>
    <w:p>
      <w:pPr>
        <w:pStyle w:val="BodyText"/>
      </w:pPr>
      <w:r>
        <w:t xml:space="preserve">同意在于「双方相互交付自己的人性行为」：「我娶你为妻」——「我嫁你为夫」。</w:t>
      </w:r>
      <w:r>
        <w:rPr>
          <w:rStyle w:val="FootnoteReference"/>
        </w:rPr>
        <w:footnoteReference w:id="2757"/>
      </w:r>
      <w:r>
        <w:t xml:space="preserve">这种将夫妻彼此联系的同意在两人「成为一体」中得到圆满。</w:t>
      </w:r>
      <w:r>
        <w:rPr>
          <w:rStyle w:val="FootnoteReference"/>
        </w:rPr>
        <w:footnoteReference w:id="2758"/>
      </w:r>
    </w:p>
    <w:p>
      <w:pPr>
        <w:pStyle w:val="BodyText"/>
      </w:pPr>
      <w:r>
        <w:t xml:space="preserve">同意必须是缔约双方各自意志的行为，不受强制或严重外在恐惧的影响。</w:t>
      </w:r>
      <w:r>
        <w:rPr>
          <w:rStyle w:val="FootnoteReference"/>
        </w:rPr>
        <w:footnoteReference w:id="2759"/>
      </w:r>
      <w:r>
        <w:t xml:space="preserve">任何人的力量都不能代替这种同意。</w:t>
      </w:r>
      <w:r>
        <w:rPr>
          <w:rStyle w:val="FootnoteReference"/>
        </w:rPr>
        <w:footnoteReference w:id="2760"/>
      </w:r>
      <w:r>
        <w:t xml:space="preserve">如果缺乏这种自由，婚姻就是无效的。</w:t>
      </w:r>
    </w:p>
    <w:p>
      <w:pPr>
        <w:pStyle w:val="BodyText"/>
      </w:pPr>
      <w:r>
        <w:t xml:space="preserve">由于这个原因（或其他使婚姻无效的原因），教会在由有权限的教会法庭审查情况后，可以宣告婚姻无效，即婚姻从未存在过。</w:t>
      </w:r>
      <w:r>
        <w:rPr>
          <w:rStyle w:val="FootnoteReference"/>
        </w:rPr>
        <w:footnoteReference w:id="2761"/>
      </w:r>
      <w:r>
        <w:t xml:space="preserve">在这种情况下，缔约双方可以自由结婚，只要履行了先前结合的自然义务。</w:t>
      </w:r>
      <w:r>
        <w:rPr>
          <w:rStyle w:val="FootnoteReference"/>
        </w:rPr>
        <w:footnoteReference w:id="2762"/>
      </w:r>
    </w:p>
    <w:p>
      <w:pPr>
        <w:pStyle w:val="BodyText"/>
      </w:pPr>
      <w:r>
        <w:t xml:space="preserve">协助婚姻庆典的祭司（或执事）代表教会接受夫妻的同意并给予教会的祝福。教会职事人员（以及见证人）的临在有形地表达了婚姻是教会现实这一事实。</w:t>
      </w:r>
    </w:p>
    <w:p>
      <w:pPr>
        <w:pStyle w:val="BodyText"/>
      </w:pPr>
      <w:r>
        <w:t xml:space="preserve">这就是教会通常要求信徒按照教会形式缔结婚姻的原因。几个原因汇聚来解释这一要求：</w:t>
      </w:r>
      <w:r>
        <w:rPr>
          <w:rStyle w:val="FootnoteReference"/>
        </w:rPr>
        <w:footnoteReference w:id="2763"/>
      </w:r>
    </w:p>
    <w:p>
      <w:pPr>
        <w:pStyle w:val="Compact"/>
        <w:numPr>
          <w:ilvl w:val="0"/>
          <w:numId w:val="1019"/>
        </w:numPr>
      </w:pPr>
      <w:r>
        <w:t xml:space="preserve">圣事婚姻是礼仪行为。因此它应当在教会的公共礼仪中庆祝是合适的；</w:t>
      </w:r>
    </w:p>
    <w:p>
      <w:pPr>
        <w:pStyle w:val="Compact"/>
        <w:numPr>
          <w:ilvl w:val="0"/>
          <w:numId w:val="1019"/>
        </w:numPr>
      </w:pPr>
      <w:r>
        <w:t xml:space="preserve">婚姻使人进入教会秩序，并在教会中为夫妻之间以及对他们子女创造权利和义务；</w:t>
      </w:r>
    </w:p>
    <w:p>
      <w:pPr>
        <w:pStyle w:val="Compact"/>
        <w:numPr>
          <w:ilvl w:val="0"/>
          <w:numId w:val="1019"/>
        </w:numPr>
      </w:pPr>
      <w:r>
        <w:t xml:space="preserve">既然婚姻是教会中的生活状态，对它的确定性是必要的（因此有见证人的义务）；</w:t>
      </w:r>
    </w:p>
    <w:p>
      <w:pPr>
        <w:pStyle w:val="Compact"/>
        <w:numPr>
          <w:ilvl w:val="0"/>
          <w:numId w:val="1019"/>
        </w:numPr>
      </w:pPr>
      <w:r>
        <w:t xml:space="preserve">同意的公共性质保护一旦给出的「我愿意」，并帮助夫妻对此保持忠诚。 { }</w:t>
      </w:r>
    </w:p>
    <w:p>
      <w:pPr>
        <w:pStyle w:val="FirstParagraph"/>
      </w:pPr>
      <w:r>
        <w:t xml:space="preserve">为了使夫妻的「我愿意」成为自由和负责任的行为，为了使婚姻盟约有坚实持久的人性和基督徒基础，婚姻准备是至关重要的。</w:t>
      </w:r>
    </w:p>
    <w:p>
      <w:pPr>
        <w:pStyle w:val="BodyText"/>
      </w:pPr>
      <w:r>
        <w:t xml:space="preserve">父母和家庭所树立的榜样与教导始终是这种预备的最重要形式。</w:t>
      </w:r>
    </w:p>
    <w:p>
      <w:pPr>
        <w:pStyle w:val="BodyText"/>
      </w:pPr>
      <w:r>
        <w:t xml:space="preserve">牧者和作为「神的家庭」的基督徒团体的作用对于传递婚姻和家庭的人性和基督徒价值观是不可缺少的，</w:t>
      </w:r>
      <w:r>
        <w:rPr>
          <w:rStyle w:val="FootnoteReference"/>
        </w:rPr>
        <w:footnoteReference w:id="2764"/>
      </w:r>
      <w:r>
        <w:t xml:space="preserve">在我们这个许多年轻人经历破碎家庭、不再充分保证这种启蒙的时代更是如此：</w:t>
      </w:r>
    </w:p>
    <w:p>
      <w:pPr>
        <w:pStyle w:val="BlockText"/>
      </w:pPr>
      <w:r>
        <w:t xml:space="preserve">必须给年轻人，首先在他们自己家庭的核心，关于婚姻之爱的尊严、其作用和实践给予合适和及时的指导，使他们学会了贞洁的价值后，能够在合适的年龄进行光荣的求爱并缔结自己的婚姻。</w:t>
      </w:r>
      <w:r>
        <w:rPr>
          <w:rStyle w:val="FootnoteReference"/>
        </w:rPr>
        <w:footnoteReference w:id="2765"/>
      </w:r>
    </w:p>
    <w:bookmarkStart w:id="2771" w:name="混合婚姻和宗教差异"/>
    <w:p>
      <w:pPr>
        <w:pStyle w:val="Heading6"/>
      </w:pPr>
      <w:r>
        <w:t xml:space="preserve">混合婚姻和宗教差异</w:t>
      </w:r>
    </w:p>
    <w:p>
      <w:pPr>
        <w:pStyle w:val="FirstParagraph"/>
      </w:pPr>
      <w:r>
        <w:t xml:space="preserve">在许多国家，</w:t>
      </w:r>
      <w:r>
        <w:rPr>
          <w:i/>
          <w:iCs/>
        </w:rPr>
        <w:t xml:space="preserve">混合婚姻</w:t>
      </w:r>
      <w:r>
        <w:t xml:space="preserve">（公教徒与受洗的非公教徒之间的婚姻）的情况经常出现。这需要夫妇和他们的牧者特别关注。</w:t>
      </w:r>
      <w:r>
        <w:rPr>
          <w:i/>
          <w:iCs/>
        </w:rPr>
        <w:t xml:space="preserve">宗教差异</w:t>
      </w:r>
      <w:r>
        <w:t xml:space="preserve">的婚姻情况（公教徒与未受洗者之间）需要更大的谨慎。</w:t>
      </w:r>
    </w:p>
    <w:p>
      <w:pPr>
        <w:pStyle w:val="BodyText"/>
      </w:pPr>
      <w:r>
        <w:t xml:space="preserve">当他们成功地将从各自团体所领受的共同分享，并相互学习各自如何忠实于基督地生活时，夫妻之间的信条差异并不构成婚姻的不可克服的障碍。但是混合婚姻的困难不能被低估。它们源于基督徒的分离尚未被克服这一事实。夫妻有在自己家庭核心中经历基督徒不合一悲剧的风险。宗教差异可能进一步加剧这些困难。关于信仰和婚姻概念本身的差异，以及不同的宗教心态，可能成为婚姻中紧张关系的源泉，特别是在子女教育方面。宗教冷漠的诱惑可能随之产生。</w:t>
      </w:r>
    </w:p>
    <w:p>
      <w:pPr>
        <w:pStyle w:val="BodyText"/>
      </w:pPr>
      <w:r>
        <w:t xml:space="preserve">根据拉丁教会现行法律，混合婚姻为了合法性（liceity）需要教会当局的</w:t>
      </w:r>
      <w:r>
        <w:rPr>
          <w:i/>
          <w:iCs/>
        </w:rPr>
        <w:t xml:space="preserve">明确许可</w:t>
      </w:r>
      <w:r>
        <w:t xml:space="preserve">。</w:t>
      </w:r>
      <w:r>
        <w:rPr>
          <w:rStyle w:val="FootnoteReference"/>
        </w:rPr>
        <w:footnoteReference w:id="2766"/>
      </w:r>
      <w:r>
        <w:t xml:space="preserve">在宗教差异的情况下，为了婚姻的有效性（validity），需要对这一阻碍的</w:t>
      </w:r>
      <w:r>
        <w:rPr>
          <w:i/>
          <w:iCs/>
        </w:rPr>
        <w:t xml:space="preserve">明确豁免</w:t>
      </w:r>
      <w:r>
        <w:t xml:space="preserve">。</w:t>
      </w:r>
      <w:r>
        <w:rPr>
          <w:rStyle w:val="FootnoteReference"/>
        </w:rPr>
        <w:footnoteReference w:id="2767"/>
      </w:r>
      <w:r>
        <w:t xml:space="preserve">这种许可或豁免预设双方都知道并不排除婚姻的基本目的和特性；此外，公教徒一方确认已向非公教徒一方告知的义务，即保持自己的信仰并确保子女在公教会中受洗和接受教育。</w:t>
      </w:r>
      <w:r>
        <w:rPr>
          <w:rStyle w:val="FootnoteReference"/>
        </w:rPr>
        <w:footnoteReference w:id="2768"/>
      </w:r>
    </w:p>
    <w:p>
      <w:pPr>
        <w:pStyle w:val="BodyText"/>
      </w:pPr>
      <w:r>
        <w:t xml:space="preserve">通过普世对话，许多地区的基督徒团体已经能够实施</w:t>
      </w:r>
      <w:r>
        <w:rPr>
          <w:i/>
          <w:iCs/>
        </w:rPr>
        <w:t xml:space="preserve">混合婚姻的共同牧养实践</w:t>
      </w:r>
      <w:r>
        <w:t xml:space="preserve">。其任务是帮助这样的夫妇在信仰的光照下活出他们的特殊处境，克服夫妇彼此义务与对各自教会团体义务之间的紧张关系，并鼓励他们在信仰中共同之处的开花结果，尊重分离他们的地方。</w:t>
      </w:r>
    </w:p>
    <w:p>
      <w:pPr>
        <w:pStyle w:val="BodyText"/>
      </w:pPr>
      <w:r>
        <w:t xml:space="preserve">在宗教差异的婚姻中，公教徒配偶有特殊的任务：「因为不信的丈夫就因着妻子成了圣洁，并且不信的妻子就因着丈夫成了圣洁。」</w:t>
      </w:r>
      <w:r>
        <w:rPr>
          <w:rStyle w:val="FootnoteReference"/>
        </w:rPr>
        <w:footnoteReference w:id="2769"/>
      </w:r>
      <w:r>
        <w:t xml:space="preserve">如果这种「成圣」能导致另一方配偶自由地归信基督信仰，这对基督徒配偶和教会来说是极大的喜乐。</w:t>
      </w:r>
      <w:r>
        <w:rPr>
          <w:rStyle w:val="FootnoteReference"/>
        </w:rPr>
        <w:footnoteReference w:id="2770"/>
      </w:r>
      <w:r>
        <w:t xml:space="preserve">真诚的婚姻之爱、谦卑耐心地实践家庭美德，以及在祷告中的坚持，能够为不信的配偶接受归信的恩典作准备。</w:t>
      </w:r>
    </w:p>
    <w:bookmarkEnd w:id="2771"/>
    <w:bookmarkEnd w:id="2772"/>
    <w:bookmarkStart w:id="2785" w:name="四婚姻圣事的效果"/>
    <w:p>
      <w:pPr>
        <w:pStyle w:val="Heading5"/>
      </w:pPr>
      <w:r>
        <w:t xml:space="preserve">四、婚姻圣事的效果</w:t>
      </w:r>
    </w:p>
    <w:p>
      <w:pPr>
        <w:pStyle w:val="FirstParagraph"/>
      </w:pPr>
      <w:r>
        <w:t xml:space="preserve">「从有效的婚姻中产生夫妻之间的</w:t>
      </w:r>
      <w:r>
        <w:rPr>
          <w:i/>
          <w:iCs/>
        </w:rPr>
        <w:t xml:space="preserve">纽带</w:t>
      </w:r>
      <w:r>
        <w:t xml:space="preserve">，这纽带按其本性是永久的和排他的；此外，在基督徒婚姻中，夫妻</w:t>
      </w:r>
      <w:r>
        <w:rPr>
          <w:i/>
          <w:iCs/>
        </w:rPr>
        <w:t xml:space="preserve">因特殊圣事</w:t>
      </w:r>
      <w:r>
        <w:t xml:space="preserve">而得到坚强，并为他们身份的义务和尊严而被祝圣。」</w:t>
      </w:r>
      <w:r>
        <w:rPr>
          <w:rStyle w:val="FootnoteReference"/>
        </w:rPr>
        <w:footnoteReference w:id="2773"/>
      </w:r>
    </w:p>
    <w:bookmarkStart w:id="2778" w:name="婚姻纽带"/>
    <w:p>
      <w:pPr>
        <w:pStyle w:val="Heading6"/>
      </w:pPr>
      <w:r>
        <w:t xml:space="preserve">婚姻纽带</w:t>
      </w:r>
    </w:p>
    <w:p>
      <w:pPr>
        <w:pStyle w:val="FirstParagraph"/>
      </w:pPr>
      <w:r>
        <w:t xml:space="preserve">夫妻相互给予和接受彼此的同意由神自己印证。</w:t>
      </w:r>
      <w:r>
        <w:rPr>
          <w:rStyle w:val="FootnoteReference"/>
        </w:rPr>
        <w:footnoteReference w:id="2774"/>
      </w:r>
      <w:r>
        <w:t xml:space="preserve">从他们的盟约中产生「一个由神的律法确认的制度……甚至在社会眼中也是如此。」</w:t>
      </w:r>
      <w:r>
        <w:rPr>
          <w:rStyle w:val="FootnoteReference"/>
        </w:rPr>
        <w:footnoteReference w:id="2775"/>
      </w:r>
      <w:r>
        <w:t xml:space="preserve">夫妻之间的盟约融入了神与人的盟约：「真正的婚姻之爱被纳入神的爱中。」</w:t>
      </w:r>
      <w:r>
        <w:rPr>
          <w:rStyle w:val="FootnoteReference"/>
        </w:rPr>
        <w:footnoteReference w:id="2776"/>
      </w:r>
    </w:p>
    <w:p>
      <w:pPr>
        <w:pStyle w:val="BodyText"/>
      </w:pPr>
      <w:r>
        <w:t xml:space="preserve">因此，</w:t>
      </w:r>
      <w:r>
        <w:rPr>
          <w:i/>
          <w:iCs/>
        </w:rPr>
        <w:t xml:space="preserve">婚姻纽带</w:t>
      </w:r>
      <w:r>
        <w:t xml:space="preserve">已由神自己建立，使得受洗者之间缔结并圆房的婚姻永远不能解散。这纽带源于夫妻的自由人性行为和他们对婚姻的圆房，是一个从此不可撤销的现实，并产生由神的忠诚所保证的盟约。教会没有权力违背神智慧的这一安排。</w:t>
      </w:r>
      <w:r>
        <w:rPr>
          <w:rStyle w:val="FootnoteReference"/>
        </w:rPr>
        <w:footnoteReference w:id="2777"/>
      </w:r>
    </w:p>
    <w:bookmarkEnd w:id="2778"/>
    <w:bookmarkStart w:id="2784" w:name="婚姻圣事的恩典"/>
    <w:p>
      <w:pPr>
        <w:pStyle w:val="Heading6"/>
      </w:pPr>
      <w:r>
        <w:t xml:space="preserve">婚姻圣事的恩典</w:t>
      </w:r>
    </w:p>
    <w:p>
      <w:pPr>
        <w:pStyle w:val="FirstParagraph"/>
      </w:pPr>
      <w:r>
        <w:t xml:space="preserve">「由于他们的生活状态和等级，［基督徒夫妻］在神的子民中有他们自己的特殊恩赐。」</w:t>
      </w:r>
      <w:r>
        <w:rPr>
          <w:rStyle w:val="FootnoteReference"/>
        </w:rPr>
        <w:footnoteReference w:id="2779"/>
      </w:r>
      <w:r>
        <w:t xml:space="preserve">婚姻圣事固有的这恩典旨在完善夫妇的爱情并加强他们不可解散的合一。借着这恩典，他们「在婚姻生活中以及在接纳和教育子女中互相帮助达到圣德。」</w:t>
      </w:r>
      <w:r>
        <w:rPr>
          <w:rStyle w:val="FootnoteReference"/>
        </w:rPr>
        <w:footnoteReference w:id="2780"/>
      </w:r>
    </w:p>
    <w:p>
      <w:pPr>
        <w:pStyle w:val="BodyText"/>
      </w:pPr>
      <w:r>
        <w:rPr>
          <w:i/>
          <w:iCs/>
        </w:rPr>
        <w:t xml:space="preserve">基督是这恩典的源泉</w:t>
      </w:r>
      <w:r>
        <w:t xml:space="preserve">。「正如古时神以爱与忠诚的盟约遇见他的子民，照样我们的救主，教会的新郎，现在通过婚姻圣事遇见基督徒夫妻。」</w:t>
      </w:r>
      <w:r>
        <w:rPr>
          <w:rStyle w:val="FootnoteReference"/>
        </w:rPr>
        <w:footnoteReference w:id="2781"/>
      </w:r>
      <w:r>
        <w:t xml:space="preserve">基督与他们同住，赐给他们力量背起十字架跟随他，在跌倒后重新站起，彼此饶恕，互相担当重担，「存敬畏基督的心，彼此顺服」，</w:t>
      </w:r>
      <w:r>
        <w:rPr>
          <w:rStyle w:val="FootnoteReference"/>
        </w:rPr>
        <w:footnoteReference w:id="2782"/>
      </w:r>
      <w:r>
        <w:t xml:space="preserve">并以超自然的、温柔的、富有成果的爱彼此相爱。在他们爱情和家庭生活的喜乐中，他在地上给他们羔羊婚筵的预尝：</w:t>
      </w:r>
    </w:p>
    <w:p>
      <w:pPr>
        <w:pStyle w:val="BlockText"/>
      </w:pPr>
      <w:r>
        <w:t xml:space="preserve">我如何能表达由教会结合、由奉献坚固、由祝福印证、由天使宣告、由天父认可的婚姻的幸福呢？……两个信徒之间的联系多么奇妙，现在在盼望中合一，在渴望中合一，在纪律中合一，在同样的事奉中合一！他们都是同一位父的儿女和同一位主的仆人，在灵里和肉体上不分离，真正是二人成为一体。肉体在哪里合一，灵也在那里合一。</w:t>
      </w:r>
      <w:r>
        <w:rPr>
          <w:rStyle w:val="FootnoteReference"/>
        </w:rPr>
        <w:footnoteReference w:id="2783"/>
      </w:r>
    </w:p>
    <w:bookmarkEnd w:id="2784"/>
    <w:bookmarkEnd w:id="2785"/>
    <w:bookmarkStart w:id="2803" w:name="五夫妻之爱的美善和要求"/>
    <w:p>
      <w:pPr>
        <w:pStyle w:val="Heading5"/>
      </w:pPr>
      <w:r>
        <w:t xml:space="preserve">五、夫妻之爱的美善和要求</w:t>
      </w:r>
    </w:p>
    <w:p>
      <w:pPr>
        <w:pStyle w:val="FirstParagraph"/>
      </w:pPr>
      <w:r>
        <w:t xml:space="preserve">「夫妻之爱涉及整体性，人的所有要素都进入其中——身体和本能的吸引、感情和情感的力量、精神和意志的渴望。它旨在深度的位格合一，这种合一超越肉体的结合，导致形成一心一意；它要求在决定性的相互给予中的</w:t>
      </w:r>
      <w:r>
        <w:rPr>
          <w:i/>
          <w:iCs/>
        </w:rPr>
        <w:t xml:space="preserve">不可解散性</w:t>
      </w:r>
      <w:r>
        <w:t xml:space="preserve">和</w:t>
      </w:r>
      <w:r>
        <w:rPr>
          <w:i/>
          <w:iCs/>
        </w:rPr>
        <w:t xml:space="preserve">忠诚</w:t>
      </w:r>
      <w:r>
        <w:t xml:space="preserve">；并且它向</w:t>
      </w:r>
      <w:r>
        <w:rPr>
          <w:i/>
          <w:iCs/>
        </w:rPr>
        <w:t xml:space="preserve">生育</w:t>
      </w:r>
      <w:r>
        <w:t xml:space="preserve">开放。简言之，这是所有自然夫妻之爱的正常特征问题，但具有新的意义，这意义不仅净化和加强它们，而且提升它们，使它们成为特别基督徒价值观的表达。」</w:t>
      </w:r>
      <w:r>
        <w:rPr>
          <w:rStyle w:val="FootnoteReference"/>
        </w:rPr>
        <w:footnoteReference w:id="2786"/>
      </w:r>
    </w:p>
    <w:bookmarkStart w:id="2791" w:name="婚姻的合一性和不可解散性"/>
    <w:p>
      <w:pPr>
        <w:pStyle w:val="Heading6"/>
      </w:pPr>
      <w:r>
        <w:t xml:space="preserve">婚姻的合一性和不可解散性</w:t>
      </w:r>
    </w:p>
    <w:p>
      <w:pPr>
        <w:pStyle w:val="FirstParagraph"/>
      </w:pPr>
      <w:r>
        <w:t xml:space="preserve">夫妻的爱按其本性要求夫妻位格共同体的合一性和不可解散性，这共同体包含他们的整个生命：「既然如此，夫妻不再是两个人，乃是一体的了。」</w:t>
      </w:r>
      <w:r>
        <w:rPr>
          <w:rStyle w:val="FootnoteReference"/>
        </w:rPr>
        <w:footnoteReference w:id="2787"/>
      </w:r>
      <w:r>
        <w:t xml:space="preserve">他们「蒙召通过对完全相互自我给予的婚姻承诺的日常忠诚，在他们的共融中不断成长。」</w:t>
      </w:r>
      <w:r>
        <w:rPr>
          <w:rStyle w:val="FootnoteReference"/>
        </w:rPr>
        <w:footnoteReference w:id="2788"/>
      </w:r>
      <w:r>
        <w:t xml:space="preserve">这人性共融通过婚姻圣事所赐予的在耶稣基督里的共融得到确认、净化和完成。它通过共同信仰的生活和一起领受的圣餐得到深化。</w:t>
      </w:r>
    </w:p>
    <w:p>
      <w:pPr>
        <w:pStyle w:val="BodyText"/>
      </w:pPr>
      <w:r>
        <w:t xml:space="preserve">「我们的主明确承认的婚姻合一性，在必须给予男女在相互和无保留的情感中的平等位格尊严中得到阐明。」</w:t>
      </w:r>
      <w:r>
        <w:rPr>
          <w:rStyle w:val="FootnoteReference"/>
        </w:rPr>
        <w:footnoteReference w:id="2789"/>
      </w:r>
      <w:r>
        <w:rPr>
          <w:i/>
          <w:iCs/>
        </w:rPr>
        <w:t xml:space="preserve">多妻制</w:t>
      </w:r>
      <w:r>
        <w:t xml:space="preserve">违背了不可分割和排他的夫妻之爱。</w:t>
      </w:r>
      <w:r>
        <w:rPr>
          <w:rStyle w:val="FootnoteReference"/>
        </w:rPr>
        <w:footnoteReference w:id="2790"/>
      </w:r>
    </w:p>
    <w:bookmarkEnd w:id="2791"/>
    <w:bookmarkStart w:id="2797" w:name="夫妻之爱的忠诚"/>
    <w:p>
      <w:pPr>
        <w:pStyle w:val="Heading6"/>
      </w:pPr>
      <w:r>
        <w:t xml:space="preserve">夫妻之爱的忠诚</w:t>
      </w:r>
    </w:p>
    <w:p>
      <w:pPr>
        <w:pStyle w:val="FirstParagraph"/>
      </w:pPr>
      <w:r>
        <w:t xml:space="preserve">夫妻之爱按其本性要求夫妻不可侵犯的忠诚。这是他们彼此给予自己的恩赐的结果。爱寻求确定性；它不能是「另行通知前」的安排。「婚姻的亲密结合，作为两个人的相互给予，以及子女的益处，要求夫妻完全忠诚，并要求他们之间不可破坏的结合。」</w:t>
      </w:r>
      <w:r>
        <w:rPr>
          <w:rStyle w:val="FootnoteReference"/>
        </w:rPr>
        <w:footnoteReference w:id="2792"/>
      </w:r>
    </w:p>
    <w:p>
      <w:pPr>
        <w:pStyle w:val="BodyText"/>
      </w:pPr>
      <w:r>
        <w:t xml:space="preserve">最深层的原因在于神对他盟约的忠诚，在于基督对他教会的忠诚。通过婚姻圣事，夫妻能够代表这忠诚并为此作见证。通过圣事，婚姻的不可解散性获得新的和更深的意义。</w:t>
      </w:r>
    </w:p>
    <w:p>
      <w:pPr>
        <w:pStyle w:val="BodyText"/>
      </w:pPr>
      <w:r>
        <w:t xml:space="preserve">将自己终生与另一个人结合似乎困难，甚至不可能。这使得宣告好消息更加重要：神以确定和不可撤销的爱爱我们，已婚夫妇分享这爱，它支持和维持他们，通过他们自己的忠诚，他们能够成为神忠诚之爱的见证人。那些靠神的恩典作出这见证的夫妻，常常在非常困难的条件下，值得教会团体的感谢和支持。</w:t>
      </w:r>
      <w:r>
        <w:rPr>
          <w:rStyle w:val="FootnoteReference"/>
        </w:rPr>
        <w:footnoteReference w:id="2793"/>
      </w:r>
    </w:p>
    <w:p>
      <w:pPr>
        <w:pStyle w:val="BodyText"/>
      </w:pPr>
      <w:r>
        <w:t xml:space="preserve">然而，有些情况下，由于各种原因，共同生活实际上变得不可能。在这种情况下，教会允许夫妇身体上的</w:t>
      </w:r>
      <w:r>
        <w:rPr>
          <w:i/>
          <w:iCs/>
        </w:rPr>
        <w:t xml:space="preserve">分居</w:t>
      </w:r>
      <w:r>
        <w:t xml:space="preserve">和分开生活。夫妻在神面前不停止是夫妻，因此不能自由地缔结新的结合。在这困难的情况下，如果可能的话，最好的解决方案是和解。基督徒团体蒙召帮助这些人以基督徒的方式活出他们的处境，忠于他们仍然不可解散的婚姻纽带。</w:t>
      </w:r>
      <w:r>
        <w:rPr>
          <w:rStyle w:val="FootnoteReference"/>
        </w:rPr>
        <w:footnoteReference w:id="2794"/>
      </w:r>
    </w:p>
    <w:p>
      <w:pPr>
        <w:pStyle w:val="BodyText"/>
      </w:pPr>
      <w:r>
        <w:t xml:space="preserve">今天，在许多国家有大量公教徒诉诸民事</w:t>
      </w:r>
      <w:r>
        <w:rPr>
          <w:i/>
          <w:iCs/>
        </w:rPr>
        <w:t xml:space="preserve">离婚</w:t>
      </w:r>
      <w:r>
        <w:t xml:space="preserve">，并缔结新的民事结合。忠于耶稣基督的话——「人若休妻另娶就是犯奸淫，辜负了妻子；妻子若离弃丈夫另嫁，也是犯奸淫了」</w:t>
      </w:r>
      <w:r>
        <w:rPr>
          <w:rStyle w:val="FootnoteReference"/>
        </w:rPr>
        <w:footnoteReference w:id="2795"/>
      </w:r>
      <w:r>
        <w:t xml:space="preserve">——教会坚持若第一次婚姻是有效的，新结合就无法被认定为有效。如果离婚者在民事上再婚，他们就处于一个在客观上违反神律的状态中。因此，只要这种状况持续，他们就不能领受圣餐圣事。基于同样的理由，他们也不能承担某些教会事务的责任。唯有那些为自己违背盟约，以及对基督忠诚的标记而真心悔改，并承诺过完全节欲生活的人，才能借着忏悔圣事得以与神和好。</w:t>
      </w:r>
    </w:p>
    <w:p>
      <w:pPr>
        <w:pStyle w:val="BodyText"/>
      </w:pPr>
      <w:r>
        <w:t xml:space="preserve">对于生活在这种处境中的基督徒，他们常常保持信仰并渴望以基督徒的方式抚养子女，祭司和整个团体必须表现出细心的关怀，使他们不认为自己与教会分离，作为受洗者，他们能够并必须参与教会的生活：</w:t>
      </w:r>
    </w:p>
    <w:p>
      <w:pPr>
        <w:pStyle w:val="BlockText"/>
      </w:pPr>
      <w:r>
        <w:t xml:space="preserve">应当鼓励他们聆听神的道，参与弥撒圣祭，坚持祷告，为慈善工作和为正义的团体努力作贡献，在基督徒信仰中抚养子女，培养补赎的精神和实践，从而日复一日地恳求神的恩典。</w:t>
      </w:r>
      <w:r>
        <w:rPr>
          <w:rStyle w:val="FootnoteReference"/>
        </w:rPr>
        <w:footnoteReference w:id="2796"/>
      </w:r>
    </w:p>
    <w:bookmarkEnd w:id="2797"/>
    <w:bookmarkStart w:id="2802" w:name="对生育的开放"/>
    <w:p>
      <w:pPr>
        <w:pStyle w:val="Heading6"/>
      </w:pPr>
      <w:r>
        <w:t xml:space="preserve">对生育的开放</w:t>
      </w:r>
    </w:p>
    <w:p>
      <w:pPr>
        <w:pStyle w:val="FirstParagraph"/>
      </w:pPr>
      <w:r>
        <w:t xml:space="preserve">「婚姻制度和婚姻之爱按其本性是为了生育和教育后代，并在其中找到它的至高荣耀。」</w:t>
      </w:r>
      <w:r>
        <w:rPr>
          <w:rStyle w:val="FootnoteReference"/>
        </w:rPr>
        <w:footnoteReference w:id="2798"/>
      </w:r>
    </w:p>
    <w:p>
      <w:pPr>
        <w:pStyle w:val="BlockText"/>
      </w:pPr>
      <w:r>
        <w:t xml:space="preserve">子女是婚姻的至高恩赐，对父母自身的益处贡献很大。神自己说：「那人独居不好」，并且「从起初［他］造他们有男有女」；愿意以特殊方式让他们参与他自己的创造工作，神用这话祝福男女：「要生养众多。」因此，真正的婚姻之爱和由此产生的整个家庭生活结构，在不减少婚姻其他目的的情况下，都指向使夫妻勇敢地与造物主和救主的爱合作，他将通过他们日复一日地增加和丰富他的家庭。</w:t>
      </w:r>
      <w:r>
        <w:rPr>
          <w:rStyle w:val="FootnoteReference"/>
        </w:rPr>
        <w:footnoteReference w:id="2799"/>
      </w:r>
    </w:p>
    <w:p>
      <w:pPr>
        <w:pStyle w:val="FirstParagraph"/>
      </w:pPr>
      <w:r>
        <w:t xml:space="preserve">夫妻之爱的果实延伸到父母通过教育传给子女的道德、精神和超自然生活的果实。父母是子女的主要和首要教育者。</w:t>
      </w:r>
      <w:r>
        <w:rPr>
          <w:rStyle w:val="FootnoteReference"/>
        </w:rPr>
        <w:footnoteReference w:id="2800"/>
      </w:r>
      <w:r>
        <w:t xml:space="preserve">在这个意义上，婚姻和家庭的基本任务是为生命服务。</w:t>
      </w:r>
      <w:r>
        <w:rPr>
          <w:rStyle w:val="FootnoteReference"/>
        </w:rPr>
        <w:footnoteReference w:id="2801"/>
      </w:r>
    </w:p>
    <w:p>
      <w:pPr>
        <w:pStyle w:val="BodyText"/>
      </w:pPr>
      <w:r>
        <w:t xml:space="preserve">神没有赐予子女的夫妻仍然可以拥有在人性和基督徒意义上都充满意义的夫妻生活。他们的婚姻可以散发仁爱、好客和牺牲的果实。</w:t>
      </w:r>
    </w:p>
    <w:bookmarkEnd w:id="2802"/>
    <w:bookmarkEnd w:id="2803"/>
    <w:bookmarkStart w:id="2811" w:name="六家庭教会"/>
    <w:p>
      <w:pPr>
        <w:pStyle w:val="Heading5"/>
      </w:pPr>
      <w:r>
        <w:t xml:space="preserve">六、家庭教会</w:t>
      </w:r>
    </w:p>
    <w:p>
      <w:pPr>
        <w:pStyle w:val="FirstParagraph"/>
      </w:pPr>
      <w:r>
        <w:t xml:space="preserve">基督选择在约瑟和马利亚的圣家怀抱中出生和成长。教会无非是「神的家庭」。从开始，教会的核心常常由那些「和全家」一起成为信徒的人构成。</w:t>
      </w:r>
      <w:r>
        <w:rPr>
          <w:rStyle w:val="FootnoteReference"/>
        </w:rPr>
        <w:footnoteReference w:id="2804"/>
      </w:r>
      <w:r>
        <w:t xml:space="preserve">当他们归信时，他们渴望「全家」也得救。</w:t>
      </w:r>
      <w:r>
        <w:rPr>
          <w:rStyle w:val="FootnoteReference"/>
        </w:rPr>
        <w:footnoteReference w:id="2805"/>
      </w:r>
      <w:r>
        <w:t xml:space="preserve">这些成为信徒的家庭是不信世界中基督徒生活的岛屿。</w:t>
      </w:r>
    </w:p>
    <w:p>
      <w:pPr>
        <w:pStyle w:val="BodyText"/>
      </w:pPr>
      <w:r>
        <w:t xml:space="preserve">在我们的时代，在一个常常疏远甚至敌视信仰的世界中，信徒家庭作为活泼、光辉信仰的中心具有首要重要性。因此，梵蒂冈第二届大公会议使用一个古老的表达，称家庭为</w:t>
      </w:r>
      <w:r>
        <w:rPr>
          <w:i/>
          <w:iCs/>
        </w:rPr>
        <w:t xml:space="preserve">家庭教会</w:t>
      </w:r>
      <w:r>
        <w:t xml:space="preserve">。</w:t>
      </w:r>
      <w:r>
        <w:rPr>
          <w:rStyle w:val="FootnoteReference"/>
        </w:rPr>
        <w:footnoteReference w:id="2806"/>
      </w:r>
      <w:r>
        <w:t xml:space="preserve">正是在家庭的怀抱中，父母「以言以行……是对子女信仰的首要传报者。他们应当鼓励每个孩子固有的圣召，特别关心培养任何宗教圣召。」</w:t>
      </w:r>
      <w:r>
        <w:rPr>
          <w:rStyle w:val="FootnoteReference"/>
        </w:rPr>
        <w:footnoteReference w:id="2807"/>
      </w:r>
    </w:p>
    <w:p>
      <w:pPr>
        <w:pStyle w:val="BodyText"/>
      </w:pPr>
      <w:r>
        <w:t xml:space="preserve">正是在这里，一家之父、母亲、子女和家庭所有成员以特殊方式行使</w:t>
      </w:r>
      <w:r>
        <w:rPr>
          <w:i/>
          <w:iCs/>
        </w:rPr>
        <w:t xml:space="preserve">受洗者的祭司职</w:t>
      </w:r>
      <w:r>
        <w:t xml:space="preserve">，「通过领受圣事、祷告和感恩、圣洁生活的见证、克己和积极的仁爱。」</w:t>
      </w:r>
      <w:r>
        <w:rPr>
          <w:rStyle w:val="FootnoteReference"/>
        </w:rPr>
        <w:footnoteReference w:id="2808"/>
      </w:r>
      <w:r>
        <w:t xml:space="preserve">因此，家庭是基督徒生活的第一所学校和「人性丰富的学校」。</w:t>
      </w:r>
      <w:r>
        <w:rPr>
          <w:rStyle w:val="FootnoteReference"/>
        </w:rPr>
        <w:footnoteReference w:id="2809"/>
      </w:r>
      <w:r>
        <w:t xml:space="preserve">在这里人学习忍耐和工作的喜乐、兄弟之爱、慷慨——甚至反复的——饶恕，以及最重要的在祷告和奉献生命中对神的敬拜。</w:t>
      </w:r>
    </w:p>
    <w:p>
      <w:pPr>
        <w:pStyle w:val="BodyText"/>
      </w:pPr>
      <w:r>
        <w:t xml:space="preserve">我们也必须记住大量的</w:t>
      </w:r>
      <w:r>
        <w:rPr>
          <w:i/>
          <w:iCs/>
        </w:rPr>
        <w:t xml:space="preserve">单身者</w:t>
      </w:r>
      <w:r>
        <w:t xml:space="preserve">，他们由于必须生活的特殊环境——常常不是他们的选择——特别接近耶稣的心，因此值得教会，特别是牧者的特别关爱和积极关怀。许多人由于贫困条件而</w:t>
      </w:r>
      <w:r>
        <w:rPr>
          <w:i/>
          <w:iCs/>
        </w:rPr>
        <w:t xml:space="preserve">没有人类家庭</w:t>
      </w:r>
      <w:r>
        <w:t xml:space="preserve">。有些人以真福的精神生活他们的处境，以模范的方式事奉神和邻舍。家庭，即「家庭教会」，以及作为大家庭的教会的门必须向他们所有人开放。「在这世界上没有人没有家庭：教会是每个人的家和家庭，特别是那些『劳苦担重担的』人。」</w:t>
      </w:r>
      <w:r>
        <w:rPr>
          <w:rStyle w:val="FootnoteReference"/>
        </w:rPr>
        <w:footnoteReference w:id="2810"/>
      </w:r>
    </w:p>
    <w:bookmarkEnd w:id="2811"/>
    <w:bookmarkStart w:id="2812" w:name="综述-40"/>
    <w:p>
      <w:pPr>
        <w:pStyle w:val="Heading5"/>
      </w:pPr>
      <w:r>
        <w:t xml:space="preserve">综述</w:t>
      </w:r>
    </w:p>
    <w:p>
      <w:pPr>
        <w:pStyle w:val="FirstParagraph"/>
      </w:pPr>
      <w:r>
        <w:t xml:space="preserve">圣保罗说：「你们作丈夫的，要爱你们的妻子，正如基督爱教会……这是极大的奥秘，但我是指着基督和教会说的」（弗 5:25, 32）。</w:t>
      </w:r>
    </w:p>
    <w:p>
      <w:pPr>
        <w:pStyle w:val="BodyText"/>
      </w:pPr>
      <w:r>
        <w:t xml:space="preserve">婚姻盟约，男女借此彼此形成生命与爱的亲密共融，已由造物主建立并赋予其特有的律法。按其本性，它为了夫妇的益处，以及子女的生育和教育。主基督将受洗者之间的婚姻提升为圣事的尊严（参《教会法典》，法条 1055 § 1；参《牧职宪章》48 § 1）。</w:t>
      </w:r>
    </w:p>
    <w:p>
      <w:pPr>
        <w:pStyle w:val="BodyText"/>
      </w:pPr>
      <w:r>
        <w:t xml:space="preserve">婚姻圣事表示基督与教会的结合。它赐给夫妻恩典，使他们以基督爱教会的爱彼此相爱；圣事的恩典因此完善夫妻的人性之爱，加强他们不可解散的合一，并在通往永生的道路上圣化他们（参特利腾大公会议：DS 1799）。</w:t>
      </w:r>
    </w:p>
    <w:p>
      <w:pPr>
        <w:pStyle w:val="BodyText"/>
      </w:pPr>
      <w:r>
        <w:t xml:space="preserve">婚姻基于缔约双方的同意，即基于他们相互和决定性地将自己给予对方的意志，为了生活忠诚和富有成果的爱的盟约。</w:t>
      </w:r>
    </w:p>
    <w:p>
      <w:pPr>
        <w:pStyle w:val="BodyText"/>
      </w:pPr>
      <w:r>
        <w:t xml:space="preserve">既然婚姻在教会中建立夫妇的公共生活状态，其庆典在礼仪庆典的框架内，在祭司（或教会授权的见证人）、见证人和信徒会众面前公开举行是合适的。</w:t>
      </w:r>
    </w:p>
    <w:p>
      <w:pPr>
        <w:pStyle w:val="BodyText"/>
      </w:pPr>
      <w:r>
        <w:t xml:space="preserve">合一性、不可解散性和对生育的开放是婚姻的基本要素。多妻制与婚姻的合一性不相容；离婚分开神所配合的；拒绝生育使婚姻生活偏离其「至高恩赐」，即子女（《牧职宪章》50 § 1）。</w:t>
      </w:r>
    </w:p>
    <w:p>
      <w:pPr>
        <w:pStyle w:val="BodyText"/>
      </w:pPr>
      <w:r>
        <w:t xml:space="preserve">与在世合法配偶离婚者的再婚违背基督所教导的神的计划和律法。他们没有与教会分离，但不能领受圣餐。他们应过基督徒生活，特别是在信仰中教育子女。</w:t>
      </w:r>
    </w:p>
    <w:p>
      <w:pPr>
        <w:pStyle w:val="BodyText"/>
      </w:pPr>
      <w:r>
        <w:t xml:space="preserve">基督徒家庭是子女接受信仰首次宣告的地方。因此，家庭正确地被称为「家庭教会」，一个恩典和祷告的团体，人性美德和基督徒仁爱的学校。</w:t>
      </w:r>
    </w:p>
    <w:p>
      <w:r>
        <w:br w:type="page"/>
      </w:r>
    </w:p>
    <w:bookmarkEnd w:id="2812"/>
    <w:bookmarkEnd w:id="2813"/>
    <w:bookmarkEnd w:id="2814"/>
    <w:bookmarkEnd w:id="2815"/>
    <w:bookmarkEnd w:id="2816"/>
    <w:bookmarkStart w:id="3767" w:name="卷三在基督里的生活"/>
    <w:p>
      <w:pPr>
        <w:pStyle w:val="Heading1"/>
      </w:pPr>
      <w:r>
        <w:t xml:space="preserve">卷三：在基督里的生活</w:t>
      </w:r>
    </w:p>
    <w:p>
      <w:pPr>
        <w:pStyle w:val="FirstParagraph"/>
      </w:pPr>
      <w:r>
        <w:t xml:space="preserve">「基督徒啊，要认清你的尊严；既然你已经分享神自己的性情，就不要再靠犯罪回到你从前那卑贱的处境。记得你的元首是谁，也记得你是他身体上的哪一部分。永远不要忘记，你已经从黑暗的权势下被拯救出来，被带进神的国度的光中。」</w:t>
      </w:r>
      <w:r>
        <w:rPr>
          <w:rStyle w:val="FootnoteReference"/>
        </w:rPr>
        <w:footnoteReference w:id="2817"/>
      </w:r>
    </w:p>
    <w:p>
      <w:pPr>
        <w:pStyle w:val="BodyText"/>
      </w:pPr>
      <w:r>
        <w:t xml:space="preserve">信经宣认了神在创造的工程中赐给人的恩赐之伟大，更加宣认他在救赎与成圣中的恩赐之伟大。信心所宣认的，圣事就传达：借着重生的圣事，基督徒已经成为「神的儿女」，</w:t>
      </w:r>
      <w:r>
        <w:rPr>
          <w:rStyle w:val="FootnoteReference"/>
        </w:rPr>
        <w:footnoteReference w:id="2818"/>
      </w:r>
      <w:r>
        <w:t xml:space="preserve">并且「得与神的性情有分」。</w:t>
      </w:r>
      <w:r>
        <w:rPr>
          <w:rStyle w:val="FootnoteReference"/>
        </w:rPr>
        <w:footnoteReference w:id="2819"/>
      </w:r>
      <w:r>
        <w:t xml:space="preserve">基督徒既在信仰中看见自己新的尊严，就蒙召从此过一种「行事为人与基督的福音相称」的生活。</w:t>
      </w:r>
      <w:r>
        <w:rPr>
          <w:rStyle w:val="FootnoteReference"/>
        </w:rPr>
        <w:footnoteReference w:id="2820"/>
      </w:r>
      <w:r>
        <w:t xml:space="preserve">他们之所以能这样做，是因为他们领受了基督的恩典和他圣灵的恩赐；这些都是他们通过圣事和祈祷所领受的。</w:t>
      </w:r>
    </w:p>
    <w:p>
      <w:pPr>
        <w:pStyle w:val="BodyText"/>
      </w:pPr>
      <w:r>
        <w:t xml:space="preserve">基督耶稣总是作</w:t>
      </w:r>
      <w:r>
        <w:rPr>
          <w:i/>
          <w:iCs/>
        </w:rPr>
        <w:t xml:space="preserve">父</w:t>
      </w:r>
      <w:r>
        <w:t xml:space="preserve">所喜悦的事，</w:t>
      </w:r>
      <w:r>
        <w:rPr>
          <w:rStyle w:val="FootnoteReference"/>
        </w:rPr>
        <w:footnoteReference w:id="2821"/>
      </w:r>
      <w:r>
        <w:t xml:space="preserve">并且始终与他保持完全的共融。同样，基督的门徒也被邀请活在「你父在暗中察看」的父面前，</w:t>
      </w:r>
      <w:r>
        <w:rPr>
          <w:rStyle w:val="FootnoteReference"/>
        </w:rPr>
        <w:footnoteReference w:id="2822"/>
      </w:r>
      <w:r>
        <w:t xml:space="preserve">好成为「完全，像你们的天父完全一样。」的人。</w:t>
      </w:r>
      <w:r>
        <w:rPr>
          <w:rStyle w:val="FootnoteReference"/>
        </w:rPr>
        <w:footnoteReference w:id="2823"/>
      </w:r>
    </w:p>
    <w:p>
      <w:pPr>
        <w:pStyle w:val="BodyText"/>
      </w:pPr>
      <w:r>
        <w:t xml:space="preserve">基督徒借着洗礼被纳入基督，便「向罪看自己是死的；向神在基督耶稣里，却看自己是活的」，因此参与复活之主的生命。</w:t>
      </w:r>
      <w:r>
        <w:rPr>
          <w:rStyle w:val="FootnoteReference"/>
        </w:rPr>
        <w:footnoteReference w:id="2824"/>
      </w:r>
      <w:r>
        <w:t xml:space="preserve">跟随基督并与他联合，</w:t>
      </w:r>
      <w:r>
        <w:rPr>
          <w:rStyle w:val="FootnoteReference"/>
        </w:rPr>
        <w:footnoteReference w:id="2825"/>
      </w:r>
      <w:r>
        <w:t xml:space="preserve">基督徒就能努力「效法神，好像蒙慈爱的儿女一样。也要凭爱心行事，正如基督爱我们，为我们舍了自己，当作馨香的供物和祭物献与神。」</w:t>
      </w:r>
      <w:r>
        <w:rPr>
          <w:rStyle w:val="FootnoteReference"/>
        </w:rPr>
        <w:footnoteReference w:id="2826"/>
      </w:r>
      <w:r>
        <w:t xml:space="preserve">使自己的思想、言语和行动与「你们当以基督耶稣的心为心。」相一致，</w:t>
      </w:r>
      <w:r>
        <w:rPr>
          <w:rStyle w:val="FootnoteReference"/>
        </w:rPr>
        <w:footnoteReference w:id="2827"/>
      </w:r>
      <w:r>
        <w:t xml:space="preserve">并且效法他的榜样。</w:t>
      </w:r>
      <w:r>
        <w:rPr>
          <w:rStyle w:val="FootnoteReference"/>
        </w:rPr>
        <w:footnoteReference w:id="2828"/>
      </w:r>
    </w:p>
    <w:p>
      <w:pPr>
        <w:pStyle w:val="BodyText"/>
      </w:pPr>
      <w:r>
        <w:t xml:space="preserve">「但如今你们奉主耶稣基督的名，并借着我们神的灵，已经洗净、成圣、称义了」，</w:t>
      </w:r>
      <w:r>
        <w:rPr>
          <w:rStyle w:val="FootnoteReference"/>
        </w:rPr>
        <w:footnoteReference w:id="2829"/>
      </w:r>
      <w:r>
        <w:t xml:space="preserve">又「在基督耶稣里成圣、蒙召作圣徒的」，</w:t>
      </w:r>
      <w:r>
        <w:rPr>
          <w:rStyle w:val="FootnoteReference"/>
        </w:rPr>
        <w:footnoteReference w:id="2830"/>
      </w:r>
      <w:r>
        <w:t xml:space="preserve">基督徒已经成为</w:t>
      </w:r>
      <w:r>
        <w:rPr>
          <w:i/>
          <w:iCs/>
        </w:rPr>
        <w:t xml:space="preserve">圣灵</w:t>
      </w:r>
      <w:r>
        <w:t xml:space="preserve">的殿。</w:t>
      </w:r>
      <w:r>
        <w:rPr>
          <w:rStyle w:val="FootnoteReference"/>
        </w:rPr>
        <w:footnoteReference w:id="2831"/>
      </w:r>
      <w:r>
        <w:t xml:space="preserve">这「他儿子的灵」教导他们向父祷告，</w:t>
      </w:r>
      <w:r>
        <w:rPr>
          <w:rStyle w:val="FootnoteReference"/>
        </w:rPr>
        <w:footnoteReference w:id="2832"/>
      </w:r>
      <w:r>
        <w:t xml:space="preserve">并且既然他已成为他们的生命，就催促他们借着实行仁爱而结出「圣灵所结的果子」。</w:t>
      </w:r>
      <w:r>
        <w:rPr>
          <w:rStyle w:val="FootnoteReference"/>
        </w:rPr>
        <w:footnoteReference w:id="2833"/>
      </w:r>
      <w:r>
        <w:t xml:space="preserve">圣灵医治罪的创伤，并借着属灵的转化在我们内里更新我们。</w:t>
      </w:r>
      <w:r>
        <w:rPr>
          <w:rStyle w:val="FootnoteReference"/>
        </w:rPr>
        <w:footnoteReference w:id="2834"/>
      </w:r>
      <w:r>
        <w:t xml:space="preserve">他光照并坚固我们，使我们借着「一切良善、公义、诚实」而活得像「光明的子女」。</w:t>
      </w:r>
      <w:r>
        <w:rPr>
          <w:rStyle w:val="FootnoteReference"/>
        </w:rPr>
        <w:footnoteReference w:id="2835"/>
      </w:r>
    </w:p>
    <w:p>
      <w:pPr>
        <w:pStyle w:val="BodyText"/>
      </w:pPr>
      <w:r>
        <w:t xml:space="preserve">基督的道路「引到永生」；相反的道路「引到灭亡」。</w:t>
      </w:r>
      <w:r>
        <w:rPr>
          <w:rStyle w:val="FootnoteReference"/>
        </w:rPr>
        <w:footnoteReference w:id="2836"/>
      </w:r>
      <w:r>
        <w:t xml:space="preserve">福音中关于两条路的比喻，在教会的教理讲授中一直都很突出；它显示，道德抉择对我们的得救有多么重要：「有</w:t>
      </w:r>
      <w:r>
        <w:rPr>
          <w:i/>
          <w:iCs/>
        </w:rPr>
        <w:t xml:space="preserve">两条路</w:t>
      </w:r>
      <w:r>
        <w:t xml:space="preserve">，一条是生命之路，一条是死亡之路；但这两条路之间有很大的差别。」</w:t>
      </w:r>
      <w:r>
        <w:rPr>
          <w:rStyle w:val="FootnoteReference"/>
        </w:rPr>
        <w:footnoteReference w:id="2837"/>
      </w:r>
    </w:p>
    <w:p>
      <w:pPr>
        <w:pStyle w:val="BodyText"/>
      </w:pPr>
      <w:r>
        <w:rPr>
          <w:i/>
          <w:iCs/>
        </w:rPr>
        <w:t xml:space="preserve">教理讲授</w:t>
      </w:r>
      <w:r>
        <w:t xml:space="preserve">必须非常清楚地揭示基督道路的喜乐和要求。</w:t>
      </w:r>
      <w:r>
        <w:rPr>
          <w:rStyle w:val="FootnoteReference"/>
        </w:rPr>
        <w:footnoteReference w:id="2838"/>
      </w:r>
      <w:r>
        <w:t xml:space="preserve">在他里面关于「新生的样式」的教理讲授</w:t>
      </w:r>
      <w:r>
        <w:rPr>
          <w:rStyle w:val="FootnoteReference"/>
        </w:rPr>
        <w:footnoteReference w:id="2839"/>
      </w:r>
      <w:r>
        <w:t xml:space="preserve">应该是：</w:t>
      </w:r>
    </w:p>
    <w:p>
      <w:pPr>
        <w:pStyle w:val="Compact"/>
        <w:numPr>
          <w:ilvl w:val="0"/>
          <w:numId w:val="1020"/>
        </w:numPr>
      </w:pPr>
      <w:r>
        <w:t xml:space="preserve">一种关于圣灵的教理讲授：圣灵是按照基督而活的生命在内里的导师，是温柔的住客和朋友；他启发、引导、纠正并坚固这生命；</w:t>
      </w:r>
    </w:p>
    <w:p>
      <w:pPr>
        <w:pStyle w:val="Compact"/>
        <w:numPr>
          <w:ilvl w:val="0"/>
          <w:numId w:val="1020"/>
        </w:numPr>
      </w:pPr>
      <w:r>
        <w:t xml:space="preserve">一种关于恩典的教理讲授：因为我们得救是靠恩典，我们的行为之所以能结出永生的果子也同样是靠恩典；</w:t>
      </w:r>
    </w:p>
    <w:p>
      <w:pPr>
        <w:pStyle w:val="Compact"/>
        <w:numPr>
          <w:ilvl w:val="0"/>
          <w:numId w:val="1020"/>
        </w:numPr>
      </w:pPr>
      <w:r>
        <w:t xml:space="preserve">一种关于八福的教理讲授：因为基督的道路在八福中被总结出来；八福是通向永恒福乐的唯一道路，而人心正渴望那永恒的福乐；</w:t>
      </w:r>
    </w:p>
    <w:p>
      <w:pPr>
        <w:pStyle w:val="Compact"/>
        <w:numPr>
          <w:ilvl w:val="0"/>
          <w:numId w:val="1020"/>
        </w:numPr>
      </w:pPr>
      <w:r>
        <w:t xml:space="preserve">一种关于罪与赦免的教理讲授：因为人若不承认自己是罪人，就不能认识关于自己的真相，而这是真正行事所必需的条件；若没有赦免的邀请，他也无法承受这真相；</w:t>
      </w:r>
    </w:p>
    <w:p>
      <w:pPr>
        <w:pStyle w:val="Compact"/>
        <w:numPr>
          <w:ilvl w:val="0"/>
          <w:numId w:val="1020"/>
        </w:numPr>
      </w:pPr>
      <w:r>
        <w:t xml:space="preserve">一种关于人的德行的教理讲授，使人领会对善的正确倾向的美与吸引力；</w:t>
      </w:r>
    </w:p>
    <w:p>
      <w:pPr>
        <w:pStyle w:val="Compact"/>
        <w:numPr>
          <w:ilvl w:val="0"/>
          <w:numId w:val="1020"/>
        </w:numPr>
      </w:pPr>
      <w:r>
        <w:t xml:space="preserve">一种关于基督徒的德行——信心、盼望、仁爱——的教理讲授，并从圣人们的榜样中慷慨得到激励；</w:t>
      </w:r>
    </w:p>
    <w:p>
      <w:pPr>
        <w:pStyle w:val="Compact"/>
        <w:numPr>
          <w:ilvl w:val="0"/>
          <w:numId w:val="1020"/>
        </w:numPr>
      </w:pPr>
      <w:r>
        <w:t xml:space="preserve">一种关于十诫中所提出的双重仁爱诫命的教理讲授；</w:t>
      </w:r>
    </w:p>
    <w:p>
      <w:pPr>
        <w:pStyle w:val="Compact"/>
        <w:numPr>
          <w:ilvl w:val="0"/>
          <w:numId w:val="1020"/>
        </w:numPr>
      </w:pPr>
      <w:r>
        <w:t xml:space="preserve">一种教会性的教理讲授：因为基督徒的生命能在「圣徒相通」里对「属灵的恩惠」进行多样的交流，从而成长、发展，并传递给他人。</w:t>
      </w:r>
    </w:p>
    <w:p>
      <w:pPr>
        <w:pStyle w:val="FirstParagraph"/>
      </w:pPr>
      <w:r>
        <w:t xml:space="preserve">这教理讲授的最初和最后的参照点始终是耶稣基督自己，因为他是「道路、真理、生命」。</w:t>
      </w:r>
      <w:r>
        <w:rPr>
          <w:rStyle w:val="FootnoteReference"/>
        </w:rPr>
        <w:footnoteReference w:id="2840"/>
      </w:r>
      <w:r>
        <w:t xml:space="preserve">基督的信徒借着信心仰望他，就能盼望他亲自在他们里面成就他的应许；并且借着用他爱他们的同样之爱去爱他，他们可以行出与自己尊严相称的工作：</w:t>
      </w:r>
    </w:p>
    <w:p>
      <w:pPr>
        <w:pStyle w:val="BlockText"/>
      </w:pPr>
      <w:r>
        <w:t xml:space="preserve">我请你想一想：我们的主耶稣基督是你真正的元首，而你是他的一位肢体。他属于你，就像头属于肢体一样；他所有的一切都是你的：他的灵、他的心、他的身体和灵魂，以及他的一切能力。你必须把这一切当作你自己的来使用，为的是事奉、赞美、爱并荣耀神。你属于他，就像肢体属于头一样。因此，他渴望你把你里面的一切都当作是他的，为着父的事奉和荣耀来使用。</w:t>
      </w:r>
      <w:r>
        <w:rPr>
          <w:rStyle w:val="FootnoteReference"/>
        </w:rPr>
        <w:footnoteReference w:id="2841"/>
      </w:r>
    </w:p>
    <w:p>
      <w:pPr>
        <w:pStyle w:val="BlockText"/>
      </w:pPr>
      <w:r>
        <w:t xml:space="preserve">因我活着就是基督。</w:t>
      </w:r>
      <w:r>
        <w:rPr>
          <w:rStyle w:val="FootnoteReference"/>
        </w:rPr>
        <w:footnoteReference w:id="2842"/>
      </w:r>
    </w:p>
    <w:bookmarkStart w:id="3191" w:name="第一部分人的圣召在圣灵里的生活"/>
    <w:p>
      <w:pPr>
        <w:pStyle w:val="Heading2"/>
      </w:pPr>
      <w:r>
        <w:t xml:space="preserve">第一部分：人的圣召——在圣灵里的生活</w:t>
      </w:r>
    </w:p>
    <w:p>
      <w:pPr>
        <w:pStyle w:val="FirstParagraph"/>
      </w:pPr>
      <w:r>
        <w:t xml:space="preserve">在圣灵里的生活成全人的圣召（</w:t>
      </w:r>
      <w:r>
        <w:rPr>
          <w:i/>
          <w:iCs/>
        </w:rPr>
        <w:t xml:space="preserve">第一章</w:t>
      </w:r>
      <w:r>
        <w:t xml:space="preserve">）。这种生活由神的仁爱和人的团结所构成（</w:t>
      </w:r>
      <w:r>
        <w:rPr>
          <w:i/>
          <w:iCs/>
        </w:rPr>
        <w:t xml:space="preserve">第二章</w:t>
      </w:r>
      <w:r>
        <w:t xml:space="preserve">）。它作为救恩，白白赐下（</w:t>
      </w:r>
      <w:r>
        <w:rPr>
          <w:i/>
          <w:iCs/>
        </w:rPr>
        <w:t xml:space="preserve">第三章</w:t>
      </w:r>
      <w:r>
        <w:t xml:space="preserve">）。</w:t>
      </w:r>
    </w:p>
    <w:bookmarkStart w:id="3023" w:name="第一章人的尊严"/>
    <w:p>
      <w:pPr>
        <w:pStyle w:val="Heading3"/>
      </w:pPr>
      <w:r>
        <w:t xml:space="preserve">第一章：人的尊严</w:t>
      </w:r>
    </w:p>
    <w:p>
      <w:pPr>
        <w:pStyle w:val="FirstParagraph"/>
      </w:pPr>
      <w:r>
        <w:t xml:space="preserve">人的尊严根植于他按神的形象和样式受造（</w:t>
      </w:r>
      <w:r>
        <w:rPr>
          <w:i/>
          <w:iCs/>
        </w:rPr>
        <w:t xml:space="preserve">第一条</w:t>
      </w:r>
      <w:r>
        <w:t xml:space="preserve">）；并在他受召进入神所赐的福乐时得以圆满（</w:t>
      </w:r>
      <w:r>
        <w:rPr>
          <w:i/>
          <w:iCs/>
        </w:rPr>
        <w:t xml:space="preserve">第二条</w:t>
      </w:r>
      <w:r>
        <w:t xml:space="preserve">）。一个人必须自由地把自己导向这圆满（</w:t>
      </w:r>
      <w:r>
        <w:rPr>
          <w:i/>
          <w:iCs/>
        </w:rPr>
        <w:t xml:space="preserve">第三条</w:t>
      </w:r>
      <w:r>
        <w:t xml:space="preserve">）。借着他有意识选择的行为（</w:t>
      </w:r>
      <w:r>
        <w:rPr>
          <w:i/>
          <w:iCs/>
        </w:rPr>
        <w:t xml:space="preserve">第四条</w:t>
      </w:r>
      <w:r>
        <w:t xml:space="preserve">），人会或不会符合神所应许的善，并且这善由道德良心作证（</w:t>
      </w:r>
      <w:r>
        <w:rPr>
          <w:i/>
          <w:iCs/>
        </w:rPr>
        <w:t xml:space="preserve">第五条</w:t>
      </w:r>
      <w:r>
        <w:t xml:space="preserve">）。人也为自己的内在成长作出贡献；他们把自己全部的感性生活和灵性生活都变成这种成长的工具（</w:t>
      </w:r>
      <w:r>
        <w:rPr>
          <w:i/>
          <w:iCs/>
        </w:rPr>
        <w:t xml:space="preserve">第六条</w:t>
      </w:r>
      <w:r>
        <w:t xml:space="preserve">）。在恩典的帮助下，他们在德行上成长（</w:t>
      </w:r>
      <w:r>
        <w:rPr>
          <w:i/>
          <w:iCs/>
        </w:rPr>
        <w:t xml:space="preserve">第七条</w:t>
      </w:r>
      <w:r>
        <w:t xml:space="preserve">），躲避罪；若他们犯罪，就像浪子那样把自己托付给我们天父的怜悯（</w:t>
      </w:r>
      <w:r>
        <w:rPr>
          <w:i/>
          <w:iCs/>
        </w:rPr>
        <w:t xml:space="preserve">第八条</w:t>
      </w:r>
      <w:r>
        <w:t xml:space="preserve">）。这样，他们就达到仁爱的圆满。</w:t>
      </w:r>
      <w:r>
        <w:rPr>
          <w:rStyle w:val="FootnoteReference"/>
        </w:rPr>
        <w:footnoteReference w:id="2843"/>
      </w:r>
    </w:p>
    <w:bookmarkStart w:id="2855" w:name="第一条人神的形象"/>
    <w:p>
      <w:pPr>
        <w:pStyle w:val="Heading4"/>
      </w:pPr>
      <w:r>
        <w:t xml:space="preserve">第一条：人——神的形象</w:t>
      </w:r>
    </w:p>
    <w:p>
      <w:pPr>
        <w:pStyle w:val="FirstParagraph"/>
      </w:pPr>
      <w:r>
        <w:t xml:space="preserve">「基督……在启示父及其爱的奥秘本身时，使人完全认识自己，并照亮他崇高的圣召。」</w:t>
      </w:r>
      <w:r>
        <w:rPr>
          <w:rStyle w:val="FootnoteReference"/>
        </w:rPr>
        <w:footnoteReference w:id="2844"/>
      </w:r>
      <w:r>
        <w:t xml:space="preserve">人是在基督——「那不能看见之神的像」</w:t>
      </w:r>
      <w:r>
        <w:rPr>
          <w:rStyle w:val="FootnoteReference"/>
        </w:rPr>
        <w:footnoteReference w:id="2845"/>
      </w:r>
      <w:r>
        <w:t xml:space="preserve">——里，按造物主的「形像和样式」受造的。人也是在基督这位救赎者和救主里，那因最初的罪在他身上被扭曲的神的形象，被恢复到原本的美丽，并因神的恩典而被提升。</w:t>
      </w:r>
      <w:r>
        <w:rPr>
          <w:rStyle w:val="FootnoteReference"/>
        </w:rPr>
        <w:footnoteReference w:id="2846"/>
      </w:r>
    </w:p>
    <w:p>
      <w:pPr>
        <w:pStyle w:val="BodyText"/>
      </w:pPr>
      <w:r>
        <w:t xml:space="preserve">神的形象临在于每个人身上。它在人格的共融中发光，如同三位一体的位格彼此之间的合一（参</w:t>
      </w:r>
      <w:r>
        <w:t xml:space="preserve"> </w:t>
      </w:r>
      <w:r>
        <w:rPr>
          <w:i/>
          <w:iCs/>
        </w:rPr>
        <w:t xml:space="preserve">第二章</w:t>
      </w:r>
      <w:r>
        <w:t xml:space="preserve">）。</w:t>
      </w:r>
    </w:p>
    <w:p>
      <w:pPr>
        <w:pStyle w:val="BodyText"/>
      </w:pPr>
      <w:r>
        <w:t xml:space="preserve">人具有「属灵而不朽」的灵魂，</w:t>
      </w:r>
      <w:r>
        <w:rPr>
          <w:rStyle w:val="FootnoteReference"/>
        </w:rPr>
        <w:footnoteReference w:id="2847"/>
      </w:r>
      <w:r>
        <w:t xml:space="preserve">并且是「地上唯一神为其本身而愿意创造的受造物」。</w:t>
      </w:r>
      <w:r>
        <w:rPr>
          <w:rStyle w:val="FootnoteReference"/>
        </w:rPr>
        <w:footnoteReference w:id="2848"/>
      </w:r>
      <w:r>
        <w:t xml:space="preserve">从他受孕开始，他就注定要得享永恒的福乐。</w:t>
      </w:r>
    </w:p>
    <w:p>
      <w:pPr>
        <w:pStyle w:val="BodyText"/>
      </w:pPr>
      <w:r>
        <w:t xml:space="preserve">人分享神之圣灵的光和能力。凭着理性，他能理解造物主所建立的万物秩序。凭着自由意志，他能把自己导向真善。他的圆满在于「寻求并爱慕真实与良善」。</w:t>
      </w:r>
      <w:r>
        <w:rPr>
          <w:rStyle w:val="FootnoteReference"/>
        </w:rPr>
        <w:footnoteReference w:id="2849"/>
      </w:r>
    </w:p>
    <w:p>
      <w:pPr>
        <w:pStyle w:val="BodyText"/>
      </w:pPr>
      <w:r>
        <w:t xml:space="preserve">藉着他的灵魂，以及理智和意志这两种属灵能力，人被赋予自由，这是「神的形象的杰出彰显」。</w:t>
      </w:r>
      <w:r>
        <w:rPr>
          <w:rStyle w:val="FootnoteReference"/>
        </w:rPr>
        <w:footnoteReference w:id="2850"/>
      </w:r>
    </w:p>
    <w:p>
      <w:pPr>
        <w:pStyle w:val="BodyText"/>
      </w:pPr>
      <w:r>
        <w:t xml:space="preserve">凭着理性，人认出神的声音，这声音催促他「行善避恶」。</w:t>
      </w:r>
      <w:r>
        <w:rPr>
          <w:rStyle w:val="FootnoteReference"/>
        </w:rPr>
        <w:footnoteReference w:id="2851"/>
      </w:r>
      <w:r>
        <w:t xml:space="preserve">每个人都有义务遵守这律法；这律法在良知中被听见，并在爱神与爱邻人的爱中得以成全。过道德生活，为人的尊严作见证。</w:t>
      </w:r>
    </w:p>
    <w:p>
      <w:pPr>
        <w:pStyle w:val="BodyText"/>
      </w:pPr>
      <w:r>
        <w:t xml:space="preserve">「人受恶者引诱，在历史一开始就滥用了自己的自由。」</w:t>
      </w:r>
      <w:r>
        <w:rPr>
          <w:rStyle w:val="FootnoteReference"/>
        </w:rPr>
        <w:footnoteReference w:id="2852"/>
      </w:r>
      <w:r>
        <w:t xml:space="preserve">他屈服于诱惑，做了恶事。他仍然渴望善，但他的本性带着原罪的创伤。如今他倾向于作恶，也容易陷入错误：</w:t>
      </w:r>
    </w:p>
    <w:p>
      <w:pPr>
        <w:pStyle w:val="BlockText"/>
      </w:pPr>
      <w:r>
        <w:t xml:space="preserve">人在自己里面是分裂的。结果，人的整个生活，无论个人的还是社会的，都显得是一场斗争，而且是一场戏剧性的斗争：在善与恶之间，在光明与黑暗之间。</w:t>
      </w:r>
      <w:r>
        <w:rPr>
          <w:rStyle w:val="FootnoteReference"/>
        </w:rPr>
        <w:footnoteReference w:id="2853"/>
      </w:r>
    </w:p>
    <w:p>
      <w:pPr>
        <w:pStyle w:val="FirstParagraph"/>
      </w:pPr>
      <w:r>
        <w:t xml:space="preserve">基督借着他的苦难，把我们从撒但和罪中拯救出来。他为我们赢得了在圣灵里的新生命。他的恩典修复了罪在我们里面所毁坏的。</w:t>
      </w:r>
    </w:p>
    <w:p>
      <w:pPr>
        <w:pStyle w:val="BodyText"/>
      </w:pPr>
      <w:r>
        <w:t xml:space="preserve">信基督的人就成了神的儿子。这种儿子的收纳改变了他，使他有能力跟随基督的榜样，也使他能够正直行事并行善。门徒与救主结合，就达到作为圣洁的仁爱之德的圆满。当人于恩典中成熟，道德生活就会在天上荣耀里的永恒生命中开花结果。</w:t>
      </w:r>
    </w:p>
    <w:bookmarkStart w:id="2854" w:name="综述-41"/>
    <w:p>
      <w:pPr>
        <w:pStyle w:val="Heading5"/>
      </w:pPr>
      <w:r>
        <w:t xml:space="preserve">综述</w:t>
      </w:r>
    </w:p>
    <w:p>
      <w:pPr>
        <w:pStyle w:val="FirstParagraph"/>
      </w:pPr>
      <w:r>
        <w:t xml:space="preserve">「基督……使人完全认识自己，并照亮他崇高的圣召」（</w:t>
      </w:r>
      <w:r>
        <w:rPr>
          <w:i/>
          <w:iCs/>
        </w:rPr>
        <w:t xml:space="preserve">GS</w:t>
      </w:r>
      <w:r>
        <w:t xml:space="preserve"> </w:t>
      </w:r>
      <w:r>
        <w:t xml:space="preserve">22 § 1）。</w:t>
      </w:r>
    </w:p>
    <w:p>
      <w:pPr>
        <w:pStyle w:val="BodyText"/>
      </w:pPr>
      <w:r>
        <w:t xml:space="preserve">人具有属灵的灵魂，有理智，也有自由意志，从受孕之始就归向神，并注定得享永恒的福乐。他在「寻求并爱慕真实与良善」中追求自己的圆满（</w:t>
      </w:r>
      <w:r>
        <w:rPr>
          <w:i/>
          <w:iCs/>
        </w:rPr>
        <w:t xml:space="preserve">GS</w:t>
      </w:r>
      <w:r>
        <w:t xml:space="preserve"> </w:t>
      </w:r>
      <w:r>
        <w:t xml:space="preserve">15 § 2）。</w:t>
      </w:r>
    </w:p>
    <w:p>
      <w:pPr>
        <w:pStyle w:val="BodyText"/>
      </w:pPr>
      <w:r>
        <w:t xml:space="preserve">在人身上，真正的自由是「神的形象的杰出彰显」（</w:t>
      </w:r>
      <w:r>
        <w:rPr>
          <w:i/>
          <w:iCs/>
        </w:rPr>
        <w:t xml:space="preserve">GS</w:t>
      </w:r>
      <w:r>
        <w:t xml:space="preserve"> </w:t>
      </w:r>
      <w:r>
        <w:t xml:space="preserve">17）。</w:t>
      </w:r>
    </w:p>
    <w:p>
      <w:pPr>
        <w:pStyle w:val="BodyText"/>
      </w:pPr>
      <w:r>
        <w:t xml:space="preserve">人有义务遵循道德律法，这律法催促他「行善避恶」（参</w:t>
      </w:r>
      <w:r>
        <w:t xml:space="preserve"> </w:t>
      </w:r>
      <w:r>
        <w:rPr>
          <w:i/>
          <w:iCs/>
        </w:rPr>
        <w:t xml:space="preserve">GS</w:t>
      </w:r>
      <w:r>
        <w:t xml:space="preserve"> </w:t>
      </w:r>
      <w:r>
        <w:t xml:space="preserve">16）。这律法在人的良知中发声。</w:t>
      </w:r>
    </w:p>
    <w:p>
      <w:pPr>
        <w:pStyle w:val="BodyText"/>
      </w:pPr>
      <w:r>
        <w:t xml:space="preserve">人因原罪使本性受伤，在运用自由时容易陷入错误，也倾向于作恶。</w:t>
      </w:r>
    </w:p>
    <w:p>
      <w:pPr>
        <w:pStyle w:val="BodyText"/>
      </w:pPr>
      <w:r>
        <w:t xml:space="preserve">信基督的人在圣灵里拥有新生命。道德生活在恩典中增长并成熟，要在天上荣耀中达到圆满。</w:t>
      </w:r>
    </w:p>
    <w:p>
      <w:r>
        <w:br w:type="page"/>
      </w:r>
    </w:p>
    <w:bookmarkEnd w:id="2854"/>
    <w:bookmarkEnd w:id="2855"/>
    <w:bookmarkStart w:id="2874" w:name="第二条我们被召进入福乐"/>
    <w:p>
      <w:pPr>
        <w:pStyle w:val="Heading4"/>
      </w:pPr>
      <w:r>
        <w:t xml:space="preserve">第二条：我们被召进入福乐</w:t>
      </w:r>
    </w:p>
    <w:bookmarkStart w:id="2857" w:name="一八福"/>
    <w:p>
      <w:pPr>
        <w:pStyle w:val="Heading5"/>
      </w:pPr>
      <w:r>
        <w:t xml:space="preserve">一、八福</w:t>
      </w:r>
    </w:p>
    <w:p>
      <w:pPr>
        <w:pStyle w:val="FirstParagraph"/>
      </w:pPr>
      <w:r>
        <w:t xml:space="preserve">八福位于耶稣宣讲的核心。它们承接自亚伯拉罕以来对选民所作的应许。八福成全这些应许，因为它不再只是把应许指向对一片领土的占有，而是指向天国：</w:t>
      </w:r>
    </w:p>
    <w:p>
      <w:pPr>
        <w:pStyle w:val="BlockText"/>
      </w:pPr>
      <w:r>
        <w:t xml:space="preserve">虚心的人有福了！因为天国是他们的。</w:t>
      </w:r>
      <w:r>
        <w:br/>
      </w:r>
      <w:r>
        <w:t xml:space="preserve"> </w:t>
      </w:r>
      <w:r>
        <w:t xml:space="preserve">哀恸的人有福了！因为他们必得安慰。</w:t>
      </w:r>
      <w:r>
        <w:br/>
      </w:r>
      <w:r>
        <w:t xml:space="preserve"> </w:t>
      </w:r>
      <w:r>
        <w:t xml:space="preserve">温柔的人有福了！因为他们必承受地土。</w:t>
      </w:r>
      <w:r>
        <w:br/>
      </w:r>
      <w:r>
        <w:t xml:space="preserve"> </w:t>
      </w:r>
      <w:r>
        <w:t xml:space="preserve">饥渴慕义的人有福了！因为他们必得饱足。</w:t>
      </w:r>
      <w:r>
        <w:br/>
      </w:r>
      <w:r>
        <w:t xml:space="preserve"> </w:t>
      </w:r>
      <w:r>
        <w:t xml:space="preserve">怜恤人的人有福了！因为他们必蒙怜恤。</w:t>
      </w:r>
      <w:r>
        <w:br/>
      </w:r>
      <w:r>
        <w:t xml:space="preserve"> </w:t>
      </w:r>
      <w:r>
        <w:t xml:space="preserve">清心的人有福了！因为他们必得见神。</w:t>
      </w:r>
      <w:r>
        <w:br/>
      </w:r>
      <w:r>
        <w:t xml:space="preserve"> </w:t>
      </w:r>
      <w:r>
        <w:t xml:space="preserve">使人和睦的人有福了！因为他们必称为神的儿子。</w:t>
      </w:r>
      <w:r>
        <w:br/>
      </w:r>
      <w:r>
        <w:t xml:space="preserve"> </w:t>
      </w:r>
      <w:r>
        <w:t xml:space="preserve">为义受逼迫的人有福了！因为天国是他们的。</w:t>
      </w:r>
      <w:r>
        <w:br/>
      </w:r>
      <w:r>
        <w:t xml:space="preserve"> </w:t>
      </w:r>
      <w:r>
        <w:t xml:space="preserve">人若因我辱骂你们，逼迫你们，捏造各样坏话毁谤你们，你们就有福了！</w:t>
      </w:r>
      <w:r>
        <w:br/>
      </w:r>
      <w:r>
        <w:t xml:space="preserve"> </w:t>
      </w:r>
      <w:r>
        <w:t xml:space="preserve">应当欢喜快乐，因为你们在天上的赏赐是大的。在你们以前的先知，人也是这样逼迫他们。</w:t>
      </w:r>
      <w:r>
        <w:rPr>
          <w:rStyle w:val="FootnoteReference"/>
        </w:rPr>
        <w:footnoteReference w:id="2856"/>
      </w:r>
    </w:p>
    <w:p>
      <w:pPr>
        <w:pStyle w:val="FirstParagraph"/>
      </w:pPr>
      <w:r>
        <w:t xml:space="preserve">八福描绘了耶稣基督的面容，也描写了他的仁爱。它们表达了信徒的圣召，这圣召与他苦难和复活的荣耀相连；它们照亮基督徒生活所特有的行动与态度；它们是看似矛盾的应许，在患难之中扶持盼望；它们宣告基督门徒已经获得的祝福与赏赐，虽然目前仍然只是朦胧可见；它们已经在至圣童贞马利亚和诸圣的生活中开始实现。</w:t>
      </w:r>
    </w:p>
    <w:bookmarkEnd w:id="2857"/>
    <w:bookmarkStart w:id="2861" w:name="二对幸福的渴望"/>
    <w:p>
      <w:pPr>
        <w:pStyle w:val="Heading5"/>
      </w:pPr>
      <w:r>
        <w:t xml:space="preserve">二、对幸福的渴望</w:t>
      </w:r>
    </w:p>
    <w:p>
      <w:pPr>
        <w:pStyle w:val="FirstParagraph"/>
      </w:pPr>
      <w:r>
        <w:t xml:space="preserve">八福回应了人对幸福的自然渴望。这种渴望源于神：神将它放在人心深处，为了吸引人归向那位唯一能满足这渴望的主：</w:t>
      </w:r>
    </w:p>
    <w:p>
      <w:pPr>
        <w:pStyle w:val="BlockText"/>
      </w:pPr>
      <w:r>
        <w:t xml:space="preserve">我们都想生活得幸福；在整个人类中，甚至在这命题被完全表达出来之前，就没有人不赞同它。</w:t>
      </w:r>
      <w:r>
        <w:rPr>
          <w:rStyle w:val="FootnoteReference"/>
        </w:rPr>
        <w:footnoteReference w:id="2858"/>
      </w:r>
    </w:p>
    <w:p>
      <w:pPr>
        <w:pStyle w:val="BlockText"/>
      </w:pPr>
      <w:r>
        <w:t xml:space="preserve">主啊，那么我是怎样寻求你呢？既然在寻求你——我的神——时，我是在寻求幸福的生活，那就让我寻求你，好使我的灵魂得以存活，因为我的身体靠灵魂而活，而我的灵魂靠你而活。</w:t>
      </w:r>
      <w:r>
        <w:rPr>
          <w:rStyle w:val="FootnoteReference"/>
        </w:rPr>
        <w:footnoteReference w:id="2859"/>
      </w:r>
    </w:p>
    <w:p>
      <w:pPr>
        <w:pStyle w:val="BlockText"/>
      </w:pPr>
      <w:r>
        <w:t xml:space="preserve">唯有神能满足人。</w:t>
      </w:r>
      <w:r>
        <w:rPr>
          <w:rStyle w:val="FootnoteReference"/>
        </w:rPr>
        <w:footnoteReference w:id="2860"/>
      </w:r>
    </w:p>
    <w:p>
      <w:pPr>
        <w:pStyle w:val="FirstParagraph"/>
      </w:pPr>
      <w:r>
        <w:t xml:space="preserve">八福揭示了人类存在的目的，即人类行为的终极归宿：神呼召我们进入他自己的福乐。这呼召是个别地针对每个人的，也是针对作为整体的教会的，即由那些接受了应许并凭信心靠此生活的人所组成的新子民。</w:t>
      </w:r>
    </w:p>
    <w:bookmarkEnd w:id="2861"/>
    <w:bookmarkStart w:id="2872" w:name="三基督徒的福乐"/>
    <w:p>
      <w:pPr>
        <w:pStyle w:val="Heading5"/>
      </w:pPr>
      <w:r>
        <w:t xml:space="preserve">三、基督徒的福乐</w:t>
      </w:r>
    </w:p>
    <w:p>
      <w:pPr>
        <w:pStyle w:val="FirstParagraph"/>
      </w:pPr>
      <w:r>
        <w:t xml:space="preserve">新约使用了几种表达方式来描述神呼召人进入的福乐：</w:t>
      </w:r>
    </w:p>
    <w:p>
      <w:pPr>
        <w:pStyle w:val="Compact"/>
        <w:numPr>
          <w:ilvl w:val="0"/>
          <w:numId w:val="1021"/>
        </w:numPr>
      </w:pPr>
      <w:r>
        <w:t xml:space="preserve">神国的来临；</w:t>
      </w:r>
      <w:r>
        <w:rPr>
          <w:rStyle w:val="FootnoteReference"/>
        </w:rPr>
        <w:footnoteReference w:id="2862"/>
      </w:r>
    </w:p>
    <w:p>
      <w:pPr>
        <w:pStyle w:val="Compact"/>
        <w:numPr>
          <w:ilvl w:val="0"/>
          <w:numId w:val="1021"/>
        </w:numPr>
      </w:pPr>
      <w:r>
        <w:t xml:space="preserve">得见神：「清心的人有福了！因为他们必得见神」；</w:t>
      </w:r>
      <w:r>
        <w:rPr>
          <w:rStyle w:val="FootnoteReference"/>
        </w:rPr>
        <w:footnoteReference w:id="2863"/>
      </w:r>
    </w:p>
    <w:p>
      <w:pPr>
        <w:pStyle w:val="Compact"/>
        <w:numPr>
          <w:ilvl w:val="0"/>
          <w:numId w:val="1021"/>
        </w:numPr>
      </w:pPr>
      <w:r>
        <w:t xml:space="preserve">进入主的快乐；</w:t>
      </w:r>
      <w:r>
        <w:rPr>
          <w:rStyle w:val="FootnoteReference"/>
        </w:rPr>
        <w:footnoteReference w:id="2864"/>
      </w:r>
    </w:p>
    <w:p>
      <w:pPr>
        <w:pStyle w:val="Compact"/>
        <w:numPr>
          <w:ilvl w:val="0"/>
          <w:numId w:val="1021"/>
        </w:numPr>
      </w:pPr>
      <w:r>
        <w:t xml:space="preserve">进入神的安息：</w:t>
      </w:r>
      <w:r>
        <w:rPr>
          <w:rStyle w:val="FootnoteReference"/>
        </w:rPr>
        <w:footnoteReference w:id="2865"/>
      </w:r>
    </w:p>
    <w:p>
      <w:pPr>
        <w:pStyle w:val="BlockText"/>
      </w:pPr>
      <w:r>
        <w:t xml:space="preserve">在那里我们将安息并观看，我们将观看并爱慕，我们将爱慕并赞美。看哪，这就是那没有终结的终局。因为若不是为了抵达那无穷尽的国度，我们还有什么其他的终局呢？</w:t>
      </w:r>
      <w:r>
        <w:rPr>
          <w:rStyle w:val="FootnoteReference"/>
        </w:rPr>
        <w:footnoteReference w:id="2866"/>
      </w:r>
    </w:p>
    <w:p>
      <w:pPr>
        <w:pStyle w:val="FirstParagraph"/>
      </w:pPr>
      <w:r>
        <w:t xml:space="preserve">神把我们放在世上，是为了让我们认识他、爱他、事奉他，并以此进入天堂。福乐使我们「得与神的性情有分」并得享永生。</w:t>
      </w:r>
      <w:r>
        <w:rPr>
          <w:rStyle w:val="FootnoteReference"/>
        </w:rPr>
        <w:footnoteReference w:id="2867"/>
      </w:r>
      <w:r>
        <w:t xml:space="preserve">藉着福乐，人进入基督的荣耀</w:t>
      </w:r>
      <w:r>
        <w:rPr>
          <w:rStyle w:val="FootnoteReference"/>
        </w:rPr>
        <w:footnoteReference w:id="2868"/>
      </w:r>
      <w:r>
        <w:t xml:space="preserve">和三位一体生命的喜乐中。</w:t>
      </w:r>
    </w:p>
    <w:p>
      <w:pPr>
        <w:pStyle w:val="BodyText"/>
      </w:pPr>
      <w:r>
        <w:t xml:space="preserve">这种福乐超越了人的理解和能力。它源于神完全白白的恩赐；因此它被称为超自然的，正如那预备人进入神的喜乐的恩典一样。</w:t>
      </w:r>
    </w:p>
    <w:p>
      <w:pPr>
        <w:pStyle w:val="BlockText"/>
      </w:pPr>
      <w:r>
        <w:t xml:space="preserve">「清心的人有福了！因为他们必得见神。」这是真的，因为神的伟大和无法形容的荣耀，「人见我的面不能存活」，因为父是无法被参透的。但因着神对我们的爱和良善，也因为他凡事都能，他甚至赐给那些爱他的人得见他的特权……因为「在人所不能的事，在神却能。」</w:t>
      </w:r>
      <w:r>
        <w:rPr>
          <w:rStyle w:val="FootnoteReference"/>
        </w:rPr>
        <w:footnoteReference w:id="2869"/>
      </w:r>
    </w:p>
    <w:p>
      <w:pPr>
        <w:pStyle w:val="FirstParagraph"/>
      </w:pPr>
      <w:r>
        <w:t xml:space="preserve">我们被应许的福乐使我们面临决定性的道德抉择。它邀请我们洁净心中的邪恶本能，并寻求爱神胜过一切。它教导我们，真正的幸福不在于财富或安逸，不在于人的名声或权力，也不在于任何人类的成就——无论其多么有益，如科学、技术和艺术——甚至不在于任何受造物，而单单在于神，他是万善与万爱的源头：</w:t>
      </w:r>
    </w:p>
    <w:p>
      <w:pPr>
        <w:pStyle w:val="BlockText"/>
      </w:pPr>
      <w:r>
        <w:t xml:space="preserve">人人都向财富鞠躬。财富是大众本能地顶礼膜拜的对象。他们用财富衡量幸福；也用财富衡量体面……这种膜拜源于一种深切的信念……即有了财富，人就能做万事。财富是当今的一个偶像，声名是第二个……声名，或者说在世上制造喧嚣——可以称之为「报纸上的名气」——已被视为本身就是一种巨大的善，也是受人尊崇的理由。</w:t>
      </w:r>
      <w:r>
        <w:rPr>
          <w:rStyle w:val="FootnoteReference"/>
        </w:rPr>
        <w:footnoteReference w:id="2870"/>
      </w:r>
    </w:p>
    <w:p>
      <w:pPr>
        <w:pStyle w:val="FirstParagraph"/>
      </w:pPr>
      <w:r>
        <w:t xml:space="preserve">十诫、登山宝训和使徒的教理讲授为我们描述了通往天国的道路。我们在圣灵恩典的扶持下，通过日常的行为，一步步地走在这条路上。藉着基督的道的工作，我们在教会里慢慢结出果子，归荣耀给神。</w:t>
      </w:r>
      <w:r>
        <w:rPr>
          <w:rStyle w:val="FootnoteReference"/>
        </w:rPr>
        <w:footnoteReference w:id="2871"/>
      </w:r>
    </w:p>
    <w:bookmarkEnd w:id="2872"/>
    <w:bookmarkStart w:id="2873" w:name="综述-42"/>
    <w:p>
      <w:pPr>
        <w:pStyle w:val="Heading5"/>
      </w:pPr>
      <w:r>
        <w:t xml:space="preserve">综述</w:t>
      </w:r>
    </w:p>
    <w:p>
      <w:pPr>
        <w:pStyle w:val="FirstParagraph"/>
      </w:pPr>
      <w:r>
        <w:t xml:space="preserve">八福承接并成全了神自亚伯拉罕以来的应许，将这些应许导向天国。它们回应了神放在人心深处对幸福的渴望。</w:t>
      </w:r>
    </w:p>
    <w:p>
      <w:pPr>
        <w:pStyle w:val="BodyText"/>
      </w:pPr>
      <w:r>
        <w:t xml:space="preserve">八福教导我们神呼召我们要达到的终极归宿：天国、得见神、有分于神的性情、永生、儿子的名分、在神里面的安息。</w:t>
      </w:r>
    </w:p>
    <w:p>
      <w:pPr>
        <w:pStyle w:val="BodyText"/>
      </w:pPr>
      <w:r>
        <w:t xml:space="preserve">永生的福乐是神白白的恩赐。它是超自然的，正如那引导我们进入其中的恩典一样。</w:t>
      </w:r>
    </w:p>
    <w:p>
      <w:pPr>
        <w:pStyle w:val="BodyText"/>
      </w:pPr>
      <w:r>
        <w:t xml:space="preserve">八福使我们面临关于世物的决定性抉择；它们洁净我们的心，教导我们爱神胜过一切。</w:t>
      </w:r>
    </w:p>
    <w:p>
      <w:pPr>
        <w:pStyle w:val="BodyText"/>
      </w:pPr>
      <w:r>
        <w:t xml:space="preserve">天上的福乐确立了标准，使我们能按照神的律法，分辨如何使用世物。</w:t>
      </w:r>
    </w:p>
    <w:p>
      <w:r>
        <w:br w:type="page"/>
      </w:r>
    </w:p>
    <w:bookmarkEnd w:id="2873"/>
    <w:bookmarkEnd w:id="2874"/>
    <w:bookmarkStart w:id="2891" w:name="第三条人的自由"/>
    <w:p>
      <w:pPr>
        <w:pStyle w:val="Heading4"/>
      </w:pPr>
      <w:r>
        <w:t xml:space="preserve">第三条：人的自由</w:t>
      </w:r>
    </w:p>
    <w:p>
      <w:pPr>
        <w:pStyle w:val="FirstParagraph"/>
      </w:pPr>
      <w:r>
        <w:t xml:space="preserve">神创造人是有理性的存在，赐给他作为位格的尊严，使他能发起并掌管自己的行动。「神愿意人『交在自己的筹算里』，好叫他能自愿寻求造物主，并藉着依附他而自由达到自己圆满而蒙福的成全。」</w:t>
      </w:r>
      <w:r>
        <w:rPr>
          <w:rStyle w:val="FootnoteReference"/>
        </w:rPr>
        <w:footnoteReference w:id="2875"/>
      </w:r>
    </w:p>
    <w:p>
      <w:pPr>
        <w:pStyle w:val="BlockText"/>
      </w:pPr>
      <w:r>
        <w:t xml:space="preserve">人是理性的，因此像神；他受造时有自由意志，是自己行为的主人。</w:t>
      </w:r>
      <w:r>
        <w:rPr>
          <w:rStyle w:val="FootnoteReference"/>
        </w:rPr>
        <w:footnoteReference w:id="2876"/>
      </w:r>
    </w:p>
    <w:bookmarkStart w:id="2882" w:name="一自由与责任"/>
    <w:p>
      <w:pPr>
        <w:pStyle w:val="Heading5"/>
      </w:pPr>
      <w:r>
        <w:t xml:space="preserve">一、自由与责任</w:t>
      </w:r>
    </w:p>
    <w:p>
      <w:pPr>
        <w:pStyle w:val="FirstParagraph"/>
      </w:pPr>
      <w:r>
        <w:t xml:space="preserve">自由是一种能力，根植于理性与意志：人可以行动或不行动，可以做这件或那件事，从而在自己的责任下作出有意识的行动。人凭着自由意志塑造自己的生命。人的自由是使人在真理与良善中成长并成熟的力量；当它被导向神——我们的福乐——时，就达到圆满。</w:t>
      </w:r>
    </w:p>
    <w:p>
      <w:pPr>
        <w:pStyle w:val="BodyText"/>
      </w:pPr>
      <w:r>
        <w:t xml:space="preserve">只要自由还没有最终地把自己系于它的最终善——神——就仍可能</w:t>
      </w:r>
      <w:r>
        <w:rPr>
          <w:i/>
          <w:iCs/>
        </w:rPr>
        <w:t xml:space="preserve">在善与恶之间作选择</w:t>
      </w:r>
      <w:r>
        <w:t xml:space="preserve">，因此可以在圆满上成长，也可能失败并犯罪。这种自由正是人的行为之所以为人的特征。它是一切赞美或责备、功劳或谴责的基础。</w:t>
      </w:r>
    </w:p>
    <w:p>
      <w:pPr>
        <w:pStyle w:val="BodyText"/>
      </w:pPr>
      <w:r>
        <w:t xml:space="preserve">人越是行善，就越自由。除非服事良善与公义，否则没有真正的自由。选择悖逆并作恶，是滥用自由，会把人带入「作罪的奴仆」。</w:t>
      </w:r>
      <w:r>
        <w:rPr>
          <w:rStyle w:val="FootnoteReference"/>
        </w:rPr>
        <w:footnoteReference w:id="2877"/>
      </w:r>
    </w:p>
    <w:p>
      <w:pPr>
        <w:pStyle w:val="BodyText"/>
      </w:pPr>
      <w:r>
        <w:t xml:space="preserve">自由使人对自己的行为</w:t>
      </w:r>
      <w:r>
        <w:rPr>
          <w:i/>
          <w:iCs/>
        </w:rPr>
        <w:t xml:space="preserve">负责任</w:t>
      </w:r>
      <w:r>
        <w:t xml:space="preserve">，程度取决于这些行为在多大程度上是出于自愿。德行上的进步、对善的认识，以及克己操练，都能加强意志对其行为的掌控。</w:t>
      </w:r>
    </w:p>
    <w:p>
      <w:pPr>
        <w:pStyle w:val="BodyText"/>
      </w:pPr>
      <w:r>
        <w:t xml:space="preserve">行为的</w:t>
      </w:r>
      <w:r>
        <w:rPr>
          <w:i/>
          <w:iCs/>
        </w:rPr>
        <w:t xml:space="preserve">可归责性</w:t>
      </w:r>
      <w:r>
        <w:t xml:space="preserve">与责任，可能因无知、疏忽、胁迫、恐惧、习惯、不正当的依恋，以及其他心理或社会因素而减轻，甚至被完全免除。</w:t>
      </w:r>
    </w:p>
    <w:p>
      <w:pPr>
        <w:pStyle w:val="BodyText"/>
      </w:pPr>
      <w:r>
        <w:t xml:space="preserve">凡是直接出于意志的行为，都要归责于行为者本人：</w:t>
      </w:r>
    </w:p>
    <w:p>
      <w:pPr>
        <w:pStyle w:val="BlockText"/>
      </w:pPr>
      <w:r>
        <w:t xml:space="preserve">因此，园中犯罪之后，主问夏娃说：「你作的是什么事呢？」</w:t>
      </w:r>
      <w:r>
        <w:rPr>
          <w:rStyle w:val="FootnoteReference"/>
        </w:rPr>
        <w:footnoteReference w:id="2878"/>
      </w:r>
      <w:r>
        <w:t xml:space="preserve">他也同样问该隐。</w:t>
      </w:r>
      <w:r>
        <w:rPr>
          <w:rStyle w:val="FootnoteReference"/>
        </w:rPr>
        <w:footnoteReference w:id="2879"/>
      </w:r>
      <w:r>
        <w:t xml:space="preserve">先知拿单在大卫与乌利亚的妻子通奸，并使乌利亚被杀之后，也同样质问大卫。</w:t>
      </w:r>
      <w:r>
        <w:rPr>
          <w:rStyle w:val="FootnoteReference"/>
        </w:rPr>
        <w:footnoteReference w:id="2880"/>
      </w:r>
    </w:p>
    <w:p>
      <w:pPr>
        <w:pStyle w:val="BlockText"/>
      </w:pPr>
      <w:r>
        <w:t xml:space="preserve">一个行为也可能是间接出于自愿的：当它是由于人对本该知道或本该做的事疏于注意而造成的，例如，由于不了解交通法律而引发的事故。</w:t>
      </w:r>
    </w:p>
    <w:p>
      <w:pPr>
        <w:pStyle w:val="BlockText"/>
      </w:pPr>
      <w:r>
        <w:t xml:space="preserve">一个结果可以在行为者并不愿意的情况下被容许，例如，母亲照料生病的孩子而导致的疲惫。若一个坏结果既不是被当作目的，也不是被当作手段而想要的，就不能归责，例如，有人援助处在危险中的人而遭遇死亡。一个坏结果若要可归责，它必须是可预见的，并且行为者必须有可能避免它，例如醉酒驾驶导致的过失杀人。</w:t>
      </w:r>
    </w:p>
    <w:p>
      <w:pPr>
        <w:pStyle w:val="FirstParagraph"/>
      </w:pPr>
      <w:r>
        <w:t xml:space="preserve">自由是在人的相互关系中行使的。每个人都是按神的形象受造，因此在自然上有权被承认为自由而负责任的存在。人人都彼此负有这种尊重的义务。</w:t>
      </w:r>
      <w:r>
        <w:rPr>
          <w:i/>
          <w:iCs/>
        </w:rPr>
        <w:t xml:space="preserve">行使自由的权利</w:t>
      </w:r>
      <w:r>
        <w:t xml:space="preserve">，尤其在道德和宗教事务上，是人的尊严不可剥夺的要求。这项权利必须在公共福祉与公共秩序的限度内，由世俗政权承认并保护。</w:t>
      </w:r>
      <w:r>
        <w:rPr>
          <w:rStyle w:val="FootnoteReference"/>
        </w:rPr>
        <w:footnoteReference w:id="2881"/>
      </w:r>
    </w:p>
    <w:bookmarkEnd w:id="2882"/>
    <w:bookmarkStart w:id="2889" w:name="二救恩计划中的人的自由"/>
    <w:p>
      <w:pPr>
        <w:pStyle w:val="Heading5"/>
      </w:pPr>
      <w:r>
        <w:t xml:space="preserve">二、救恩计划中的人的自由</w:t>
      </w:r>
    </w:p>
    <w:p>
      <w:pPr>
        <w:pStyle w:val="FirstParagraph"/>
      </w:pPr>
      <w:r>
        <w:rPr>
          <w:i/>
          <w:iCs/>
        </w:rPr>
        <w:t xml:space="preserve">自由与罪。</w:t>
      </w:r>
      <w:r>
        <w:t xml:space="preserve">人的自由是有限而可能出错的。事实上，人失败了。他自由地犯了罪。他拒绝神爱的计划，就自欺，并成了罪的奴隶。这第一次的疏离引发了许多其他的疏离。从一开始，人类历史就见证了：由于滥用自由，人心带来的悲惨与压迫。</w:t>
      </w:r>
    </w:p>
    <w:p>
      <w:pPr>
        <w:pStyle w:val="BodyText"/>
      </w:pPr>
      <w:r>
        <w:rPr>
          <w:i/>
          <w:iCs/>
        </w:rPr>
        <w:t xml:space="preserve">对自由的威胁。</w:t>
      </w:r>
      <w:r>
        <w:t xml:space="preserve">行使自由并不意味着人有权想说什么就说什么，想做什么就做什么。有人主张人——「这种自由的主体」——是「一个完全自给自足的人，他最终的目的就是在享受世上财物时满足自己的利益」，这种说法是错误的。</w:t>
      </w:r>
      <w:r>
        <w:rPr>
          <w:rStyle w:val="FootnoteReference"/>
        </w:rPr>
        <w:footnoteReference w:id="2883"/>
      </w:r>
      <w:r>
        <w:t xml:space="preserve">此外，为了公正地行使自由所需要的经济、社会、政治和文化条件，也常常被忽视或被侵犯。这些盲目与不公的处境伤害道德生活，使强者与弱者都陷入诱惑，去犯违背仁爱的罪。人偏离道德律法，就侵犯自己的自由，把自己囚禁在自我之中，破坏邻里的交往，并反叛神的真理。</w:t>
      </w:r>
    </w:p>
    <w:p>
      <w:pPr>
        <w:pStyle w:val="BodyText"/>
      </w:pPr>
      <w:r>
        <w:rPr>
          <w:i/>
          <w:iCs/>
        </w:rPr>
        <w:t xml:space="preserve">解放与救恩。</w:t>
      </w:r>
      <w:r>
        <w:t xml:space="preserve">基督借着他荣耀的十字架为全人类赢得了救恩。他把人从束缚他们的罪中救赎出来。「基督释放了我们，叫我们得以自由。」</w:t>
      </w:r>
      <w:r>
        <w:rPr>
          <w:rStyle w:val="FootnoteReference"/>
        </w:rPr>
        <w:footnoteReference w:id="2884"/>
      </w:r>
      <w:r>
        <w:t xml:space="preserve">在他里面，我们与那「真理必叫你们得以自由」相通。</w:t>
      </w:r>
      <w:r>
        <w:rPr>
          <w:rStyle w:val="FootnoteReference"/>
        </w:rPr>
        <w:footnoteReference w:id="2885"/>
      </w:r>
      <w:r>
        <w:t xml:space="preserve">圣灵已经赐给我们；正如使徒教导的：「主就是那灵；主的灵在哪里，那里就得以自由。」</w:t>
      </w:r>
      <w:r>
        <w:rPr>
          <w:rStyle w:val="FootnoteReference"/>
        </w:rPr>
        <w:footnoteReference w:id="2886"/>
      </w:r>
      <w:r>
        <w:t xml:space="preserve">我们已经以「神儿女自由的荣耀」为荣。</w:t>
      </w:r>
      <w:r>
        <w:rPr>
          <w:rStyle w:val="FootnoteReference"/>
        </w:rPr>
        <w:footnoteReference w:id="2887"/>
      </w:r>
    </w:p>
    <w:p>
      <w:pPr>
        <w:pStyle w:val="BodyText"/>
      </w:pPr>
      <w:r>
        <w:rPr>
          <w:i/>
          <w:iCs/>
        </w:rPr>
        <w:t xml:space="preserve">自由与恩典。</w:t>
      </w:r>
      <w:r>
        <w:t xml:space="preserve">只要我们的自由符合神放在人心里对真实与良善的领会，基督的恩典就丝毫不会与我们的自由相对立。相反，基督徒的经验——尤其是在祈祷中——证明：我们越顺服恩典的催促，就越能在试炼中增长内在的自由与信赖，例如我们在外在世界的压力与限制之下所遭遇的试炼。借着恩典的运行，圣灵训练我们获得属灵的自由，使我们成为他在教会和世界里工作的自由合作者：</w:t>
      </w:r>
    </w:p>
    <w:p>
      <w:pPr>
        <w:pStyle w:val="BlockText"/>
      </w:pPr>
      <w:r>
        <w:t xml:space="preserve">全能而仁慈的神，</w:t>
      </w:r>
      <w:r>
        <w:br/>
      </w:r>
      <w:r>
        <w:t xml:space="preserve"> </w:t>
      </w:r>
      <w:r>
        <w:t xml:space="preserve">求你以你的良善从我们身上除去一切有害之物，</w:t>
      </w:r>
      <w:r>
        <w:br/>
      </w:r>
      <w:r>
        <w:t xml:space="preserve"> </w:t>
      </w:r>
      <w:r>
        <w:t xml:space="preserve">使我们的心灵与身体都预备妥当，</w:t>
      </w:r>
      <w:r>
        <w:br/>
      </w:r>
      <w:r>
        <w:t xml:space="preserve"> </w:t>
      </w:r>
      <w:r>
        <w:t xml:space="preserve">好叫我们能自由地成就你的旨意。</w:t>
      </w:r>
      <w:r>
        <w:rPr>
          <w:rStyle w:val="FootnoteReference"/>
        </w:rPr>
        <w:footnoteReference w:id="2888"/>
      </w:r>
    </w:p>
    <w:bookmarkEnd w:id="2889"/>
    <w:bookmarkStart w:id="2890" w:name="综述-43"/>
    <w:p>
      <w:pPr>
        <w:pStyle w:val="Heading5"/>
      </w:pPr>
      <w:r>
        <w:t xml:space="preserve">综述</w:t>
      </w:r>
    </w:p>
    <w:p>
      <w:pPr>
        <w:pStyle w:val="FirstParagraph"/>
      </w:pPr>
      <w:r>
        <w:t xml:space="preserve">「神愿意人交在自己的筹算里（参</w:t>
      </w:r>
      <w:r>
        <w:t xml:space="preserve"> </w:t>
      </w:r>
      <w:r>
        <w:rPr>
          <w:i/>
          <w:iCs/>
        </w:rPr>
        <w:t xml:space="preserve">德训篇</w:t>
      </w:r>
      <w:r>
        <w:t xml:space="preserve"> </w:t>
      </w:r>
      <w:r>
        <w:t xml:space="preserve">15:14），好叫他能自愿寻求造物主，并藉着依附他而自由达到自己圆满而蒙福的成全」（</w:t>
      </w:r>
      <w:r>
        <w:rPr>
          <w:i/>
          <w:iCs/>
        </w:rPr>
        <w:t xml:space="preserve">GS</w:t>
      </w:r>
      <w:r>
        <w:t xml:space="preserve"> </w:t>
      </w:r>
      <w:r>
        <w:t xml:space="preserve">17 § 1）。</w:t>
      </w:r>
    </w:p>
    <w:p>
      <w:pPr>
        <w:pStyle w:val="BodyText"/>
      </w:pPr>
      <w:r>
        <w:t xml:space="preserve">自由是能行动或不行动的能力，因此能作出出于自己的有意识的行动。当自由在行动中被导向神——至高的善——时，就达到圆满。</w:t>
      </w:r>
    </w:p>
    <w:p>
      <w:pPr>
        <w:pStyle w:val="BodyText"/>
      </w:pPr>
      <w:r>
        <w:t xml:space="preserve">自由正是人的行为之所以为人的特征。它使人对自己那些由他自愿作出的行为负责任。他有意识的行为真正属于他自己。</w:t>
      </w:r>
    </w:p>
    <w:p>
      <w:pPr>
        <w:pStyle w:val="BodyText"/>
      </w:pPr>
      <w:r>
        <w:t xml:space="preserve">行为的可归责性或责任，可能因无知、胁迫、恐惧，以及其他心理或社会因素而减轻或免除。</w:t>
      </w:r>
    </w:p>
    <w:p>
      <w:pPr>
        <w:pStyle w:val="BodyText"/>
      </w:pPr>
      <w:r>
        <w:t xml:space="preserve">行使自由的权利，尤其在宗教和道德事务上，是人之尊严不可剥夺的要求。但行使自由并不包含那种想当然的权利，也就是想说什么就说什么，想做什么就做什么。</w:t>
      </w:r>
    </w:p>
    <w:p>
      <w:pPr>
        <w:pStyle w:val="BodyText"/>
      </w:pPr>
      <w:r>
        <w:t xml:space="preserve">「基督释放了我们，叫我们得以自由。」（</w:t>
      </w:r>
      <w:r>
        <w:rPr>
          <w:i/>
          <w:iCs/>
        </w:rPr>
        <w:t xml:space="preserve">加</w:t>
      </w:r>
      <w:r>
        <w:t xml:space="preserve"> </w:t>
      </w:r>
      <w:r>
        <w:t xml:space="preserve">5:1）。</w:t>
      </w:r>
    </w:p>
    <w:p>
      <w:r>
        <w:br w:type="page"/>
      </w:r>
    </w:p>
    <w:bookmarkEnd w:id="2890"/>
    <w:bookmarkEnd w:id="2891"/>
    <w:bookmarkStart w:id="2896" w:name="第四条人的行为的道德性"/>
    <w:p>
      <w:pPr>
        <w:pStyle w:val="Heading4"/>
      </w:pPr>
      <w:r>
        <w:t xml:space="preserve">第四条：人的行为的道德性</w:t>
      </w:r>
    </w:p>
    <w:p>
      <w:pPr>
        <w:pStyle w:val="FirstParagraph"/>
      </w:pPr>
      <w:r>
        <w:t xml:space="preserve">自由使人成为道德主体。当人有意识地行动时，可以说，人是自己行为的父。人的行为，也就是在良知判断之后自由选择的行为，可以进行道德评估：它们要么是善的，要么是恶的。</w:t>
      </w:r>
    </w:p>
    <w:bookmarkStart w:id="2893" w:name="一道德的来源"/>
    <w:p>
      <w:pPr>
        <w:pStyle w:val="Heading5"/>
      </w:pPr>
      <w:r>
        <w:t xml:space="preserve">一、道德的来源</w:t>
      </w:r>
    </w:p>
    <w:p>
      <w:pPr>
        <w:pStyle w:val="FirstParagraph"/>
      </w:pPr>
      <w:r>
        <w:t xml:space="preserve">人的行为的道德性取决于：</w:t>
      </w:r>
    </w:p>
    <w:p>
      <w:pPr>
        <w:pStyle w:val="Compact"/>
        <w:numPr>
          <w:ilvl w:val="0"/>
          <w:numId w:val="1022"/>
        </w:numPr>
      </w:pPr>
      <w:r>
        <w:t xml:space="preserve">所选择的对象；</w:t>
      </w:r>
    </w:p>
    <w:p>
      <w:pPr>
        <w:pStyle w:val="Compact"/>
        <w:numPr>
          <w:ilvl w:val="0"/>
          <w:numId w:val="1022"/>
        </w:numPr>
      </w:pPr>
      <w:r>
        <w:t xml:space="preserve">所追求的目的或意向；</w:t>
      </w:r>
    </w:p>
    <w:p>
      <w:pPr>
        <w:pStyle w:val="Compact"/>
        <w:numPr>
          <w:ilvl w:val="0"/>
          <w:numId w:val="1022"/>
        </w:numPr>
      </w:pPr>
      <w:r>
        <w:t xml:space="preserve">行为的处境。</w:t>
      </w:r>
    </w:p>
    <w:p>
      <w:pPr>
        <w:pStyle w:val="FirstParagraph"/>
      </w:pPr>
      <w:r>
        <w:t xml:space="preserve">对象、意向和处境构成人的行为之道德性的「来源」，也就是构成要素。</w:t>
      </w:r>
    </w:p>
    <w:p>
      <w:pPr>
        <w:pStyle w:val="BodyText"/>
      </w:pPr>
      <w:r>
        <w:t xml:space="preserve">所选择的</w:t>
      </w:r>
      <w:r>
        <w:rPr>
          <w:i/>
          <w:iCs/>
        </w:rPr>
        <w:t xml:space="preserve">对象</w:t>
      </w:r>
      <w:r>
        <w:t xml:space="preserve">是意志有意识地指向的善；它是人行为的质料。对象在道德上规定意志的行为，因为理性认识并判断它是否符合真正的善。道德的客观规范表达善与恶的理性秩序，并由良知作证。</w:t>
      </w:r>
    </w:p>
    <w:p>
      <w:pPr>
        <w:pStyle w:val="BodyText"/>
      </w:pPr>
      <w:r>
        <w:t xml:space="preserve">与对象相对，</w:t>
      </w:r>
      <w:r>
        <w:rPr>
          <w:i/>
          <w:iCs/>
        </w:rPr>
        <w:t xml:space="preserve">意向</w:t>
      </w:r>
      <w:r>
        <w:t xml:space="preserve">存在于行动主体之中。因为意向位于行为的自愿源头，并以其目的来决定行为，所以意向是对行为进行道德评估时不可或缺的要素。目的就是意向的首要目标，指出人在行动中所追求的宗旨。意向是意志朝向目的的动向：它关乎活动的目标，指向从所采取的行动中所期待的善。意向不仅限于指引单一行动，也能引导多个行动指向同一个目的；它还能把人的整个生命导向终极目的。例如，为帮助邻人而做的服务，同时也可以由爱神所激发，而爱神正是一切行为的终极目的。同一个行动也可能由多个意向所激发，例如，为了得到人情而服务，或为了夸耀而服务。</w:t>
      </w:r>
    </w:p>
    <w:p>
      <w:pPr>
        <w:pStyle w:val="BodyText"/>
      </w:pPr>
      <w:r>
        <w:t xml:space="preserve">一个好的意向（例如帮助邻人）并不能使那些本质上失序的行为——例如说谎和毁谤——变成善或公义。目的不能使手段正当。因此，把无辜者定罪，不能被当作拯救国家的正当手段而加以辩护。相反，附加的坏意向（例如虚荣）会使一个就其本身可能是善的行为（例如施舍）变成恶。</w:t>
      </w:r>
      <w:r>
        <w:rPr>
          <w:rStyle w:val="FootnoteReference"/>
        </w:rPr>
        <w:footnoteReference w:id="2892"/>
      </w:r>
    </w:p>
    <w:p>
      <w:pPr>
        <w:pStyle w:val="BodyText"/>
      </w:pPr>
      <w:r>
        <w:rPr>
          <w:i/>
          <w:iCs/>
        </w:rPr>
        <w:t xml:space="preserve">处境</w:t>
      </w:r>
      <w:r>
        <w:t xml:space="preserve">包含后果，是道德行为的次要要素。处境会使人的行为在道德上的善或恶增加或减少（例如偷窃数额的大小）。处境也会使行为者的责任减轻或加重（例如因惧怕死亡而行动）。处境本身不能改变行为本身的道德性质；它既不能使本来就是恶的行动变成善，也不能变成正当。</w:t>
      </w:r>
    </w:p>
    <w:bookmarkEnd w:id="2893"/>
    <w:bookmarkStart w:id="2894" w:name="二善行与恶行"/>
    <w:p>
      <w:pPr>
        <w:pStyle w:val="Heading5"/>
      </w:pPr>
      <w:r>
        <w:t xml:space="preserve">二、善行与恶行</w:t>
      </w:r>
    </w:p>
    <w:p>
      <w:pPr>
        <w:pStyle w:val="FirstParagraph"/>
      </w:pPr>
      <w:r>
        <w:t xml:space="preserve">一个</w:t>
      </w:r>
      <w:r>
        <w:rPr>
          <w:i/>
          <w:iCs/>
        </w:rPr>
        <w:t xml:space="preserve">道德上的善</w:t>
      </w:r>
      <w:r>
        <w:t xml:space="preserve">的行为，要求对象、目的和处境三者同时都是善的。一个恶的目的会败坏行为，即使对象就其本身是善的（例如祷告和禁食「故意叫人看见」）。</w:t>
      </w:r>
      <w:r>
        <w:rPr>
          <w:i/>
          <w:iCs/>
        </w:rPr>
        <w:t xml:space="preserve">选择的对象</w:t>
      </w:r>
      <w:r>
        <w:t xml:space="preserve">本身就能使一个行为整体败坏。有些具体行为——例如淫乱——永远不应该被选择，因为选择它们意味着意志的失序，也就是道德上的恶。</w:t>
      </w:r>
    </w:p>
    <w:p>
      <w:pPr>
        <w:pStyle w:val="BodyText"/>
      </w:pPr>
      <w:r>
        <w:t xml:space="preserve">因此，只考虑激发行为的意向，或只考虑提供其背景的处境（环境、社会压力、胁迫或紧急情况等），来判断人的行为的道德性，是错误的。有些行为就其本身而言，不依赖处境与意向，总是因其对象而严重不合法，例如亵渎、假誓、谋杀和奸淫。人不可以作恶以成善。</w:t>
      </w:r>
    </w:p>
    <w:bookmarkEnd w:id="2894"/>
    <w:bookmarkStart w:id="2895" w:name="综述-44"/>
    <w:p>
      <w:pPr>
        <w:pStyle w:val="Heading5"/>
      </w:pPr>
      <w:r>
        <w:t xml:space="preserve">综述</w:t>
      </w:r>
    </w:p>
    <w:p>
      <w:pPr>
        <w:pStyle w:val="FirstParagraph"/>
      </w:pPr>
      <w:r>
        <w:t xml:space="preserve">对象、意向和处境构成人的行为之道德性的三种「来源」。</w:t>
      </w:r>
    </w:p>
    <w:p>
      <w:pPr>
        <w:pStyle w:val="BodyText"/>
      </w:pPr>
      <w:r>
        <w:t xml:space="preserve">所选择的对象在道德上规定意志的行为，因为理性认识并判断它是善还是恶。</w:t>
      </w:r>
    </w:p>
    <w:p>
      <w:pPr>
        <w:pStyle w:val="BodyText"/>
      </w:pPr>
      <w:r>
        <w:t xml:space="preserve">「恶的行为不能因为引用一个好的意向就被合理化」（参 圣托马斯·阿奎那，</w:t>
      </w:r>
      <w:r>
        <w:rPr>
          <w:i/>
          <w:iCs/>
        </w:rPr>
        <w:t xml:space="preserve">Dec. praec.</w:t>
      </w:r>
      <w:r>
        <w:t xml:space="preserve"> </w:t>
      </w:r>
      <w:r>
        <w:t xml:space="preserve">6）。目的不能使手段正当。</w:t>
      </w:r>
    </w:p>
    <w:p>
      <w:pPr>
        <w:pStyle w:val="BodyText"/>
      </w:pPr>
      <w:r>
        <w:t xml:space="preserve">一个道德上的善的行为，要求对象、目的和处境三者同时都是善的。</w:t>
      </w:r>
    </w:p>
    <w:p>
      <w:pPr>
        <w:pStyle w:val="BodyText"/>
      </w:pPr>
      <w:r>
        <w:t xml:space="preserve">有些具体行为永远不应该被选择，因为选择它们意味着意志的失序，也就是道德上的恶。人不可以作恶以成善。</w:t>
      </w:r>
    </w:p>
    <w:p>
      <w:r>
        <w:br w:type="page"/>
      </w:r>
    </w:p>
    <w:bookmarkEnd w:id="2895"/>
    <w:bookmarkEnd w:id="2896"/>
    <w:bookmarkStart w:id="2907" w:name="第五条情绪的道德性"/>
    <w:p>
      <w:pPr>
        <w:pStyle w:val="Heading4"/>
      </w:pPr>
      <w:r>
        <w:t xml:space="preserve">第五条：情绪的道德性</w:t>
      </w:r>
    </w:p>
    <w:p>
      <w:pPr>
        <w:pStyle w:val="FirstParagraph"/>
      </w:pPr>
      <w:r>
        <w:t xml:space="preserve">人借着自己有意识的行为被导向福乐：他所体验到的情绪或感受，能使他更倾向于这福乐，并为此作出贡献。</w:t>
      </w:r>
    </w:p>
    <w:bookmarkStart w:id="2901" w:name="一情绪"/>
    <w:p>
      <w:pPr>
        <w:pStyle w:val="Heading5"/>
      </w:pPr>
      <w:r>
        <w:t xml:space="preserve">一、情绪</w:t>
      </w:r>
    </w:p>
    <w:p>
      <w:pPr>
        <w:pStyle w:val="FirstParagraph"/>
      </w:pPr>
      <w:r>
        <w:t xml:space="preserve">「情绪」这个词属于基督信仰的传承。感受或情绪，是感性欲求的情感或动向，使我们在面对某个被感知或被想象为善或恶的事物时，倾向于行动或不行动。</w:t>
      </w:r>
    </w:p>
    <w:p>
      <w:pPr>
        <w:pStyle w:val="BodyText"/>
      </w:pPr>
      <w:r>
        <w:t xml:space="preserve">情绪是人心理的自然组成部分；它们构成通道，并确保感觉生活与心智生活之间的连接。我们的主称人的心为情绪涌出的源头。</w:t>
      </w:r>
      <w:r>
        <w:rPr>
          <w:rStyle w:val="FootnoteReference"/>
        </w:rPr>
        <w:footnoteReference w:id="2897"/>
      </w:r>
    </w:p>
    <w:p>
      <w:pPr>
        <w:pStyle w:val="BodyText"/>
      </w:pPr>
      <w:r>
        <w:t xml:space="preserve">情绪有很多种。最根本的情绪是爱，它因善的吸引而被激起。爱使人渴望那尚未拥有的善，并盼望得到它；这种动向在拥有善时的愉悦与喜乐中完成。对恶的察觉会产生恨、厌恶和对迫近之恶的恐惧；这种动向会以对当前某种恶的忧伤而告终，或以抵抗它的愤怒而告终。</w:t>
      </w:r>
    </w:p>
    <w:p>
      <w:pPr>
        <w:pStyle w:val="BodyText"/>
      </w:pPr>
      <w:r>
        <w:t xml:space="preserve">「爱就是愿意另一个人的好。」</w:t>
      </w:r>
      <w:r>
        <w:rPr>
          <w:rStyle w:val="FootnoteReference"/>
        </w:rPr>
        <w:footnoteReference w:id="2898"/>
      </w:r>
      <w:r>
        <w:t xml:space="preserve">其他一切情感都源于人心向善的这一最初动向。只有善才可以被爱。</w:t>
      </w:r>
      <w:r>
        <w:rPr>
          <w:rStyle w:val="FootnoteReference"/>
        </w:rPr>
        <w:footnoteReference w:id="2899"/>
      </w:r>
      <w:r>
        <w:t xml:space="preserve">情绪「若爱是恶的，就会是恶的；若爱是善的，就会是善的」。</w:t>
      </w:r>
      <w:r>
        <w:rPr>
          <w:rStyle w:val="FootnoteReference"/>
        </w:rPr>
        <w:footnoteReference w:id="2900"/>
      </w:r>
    </w:p>
    <w:bookmarkEnd w:id="2901"/>
    <w:bookmarkStart w:id="2905" w:name="二情绪与道德生活"/>
    <w:p>
      <w:pPr>
        <w:pStyle w:val="Heading5"/>
      </w:pPr>
      <w:r>
        <w:t xml:space="preserve">二、情绪与道德生活</w:t>
      </w:r>
    </w:p>
    <w:p>
      <w:pPr>
        <w:pStyle w:val="FirstParagraph"/>
      </w:pPr>
      <w:r>
        <w:t xml:space="preserve">情绪本身既不是善也不是恶。它们只有在实际上牵涉理性与意志的程度上，才具有道德性质。情绪之所以被称为出于自愿，「要么因为它们是意志所命令的，要么因为意志没有在它们前面设置障碍」。</w:t>
      </w:r>
      <w:r>
        <w:rPr>
          <w:rStyle w:val="FootnoteReference"/>
        </w:rPr>
        <w:footnoteReference w:id="2902"/>
      </w:r>
      <w:r>
        <w:t xml:space="preserve">情绪受理性治理，属于道德善或人性之善的圆满。</w:t>
      </w:r>
      <w:r>
        <w:rPr>
          <w:rStyle w:val="FootnoteReference"/>
        </w:rPr>
        <w:footnoteReference w:id="2903"/>
      </w:r>
    </w:p>
    <w:p>
      <w:pPr>
        <w:pStyle w:val="BodyText"/>
      </w:pPr>
      <w:r>
        <w:t xml:space="preserve">强烈的感受并不能决定一个人的道德或圣德；它们只是一个取之不尽的图像与情感的宝库，道德生活就在其中表达出来。情绪在促成善行时，在道德上就是善的；反之则是恶的。正直的意志会把它所吸纳的感官动向安排向善与福乐；邪恶的意志则屈服于失序的情绪，并使之加剧。情感与感受可以被纳入德行，也可以被恶习扭曲。</w:t>
      </w:r>
    </w:p>
    <w:p>
      <w:pPr>
        <w:pStyle w:val="BodyText"/>
      </w:pPr>
      <w:r>
        <w:t xml:space="preserve">在基督徒生活中，圣灵亲自调动全人的存在来完成他的工作，包括其中的一切忧愁、恐惧与悲伤；这在主的痛苦挣扎与受难中清楚可见。在基督里，人的感受能在仁爱与神的福乐中达到圆满。</w:t>
      </w:r>
    </w:p>
    <w:p>
      <w:pPr>
        <w:pStyle w:val="BodyText"/>
      </w:pPr>
      <w:r>
        <w:t xml:space="preserve">道德的圆满在于：人被推动去行善，不仅是靠意志，也靠感性欲求，正如诗篇所说：「我的心肠、我的肉体向永生神呼吁。」</w:t>
      </w:r>
      <w:r>
        <w:rPr>
          <w:rStyle w:val="FootnoteReference"/>
        </w:rPr>
        <w:footnoteReference w:id="2904"/>
      </w:r>
    </w:p>
    <w:bookmarkEnd w:id="2905"/>
    <w:bookmarkStart w:id="2906" w:name="综述-45"/>
    <w:p>
      <w:pPr>
        <w:pStyle w:val="Heading5"/>
      </w:pPr>
      <w:r>
        <w:t xml:space="preserve">综述</w:t>
      </w:r>
    </w:p>
    <w:p>
      <w:pPr>
        <w:pStyle w:val="FirstParagraph"/>
      </w:pPr>
      <w:r>
        <w:t xml:space="preserve">「情绪」一词指的是情感或感受。人藉着情绪直觉到善，也对恶有所警觉。</w:t>
      </w:r>
    </w:p>
    <w:p>
      <w:pPr>
        <w:pStyle w:val="BodyText"/>
      </w:pPr>
      <w:r>
        <w:t xml:space="preserve">主要的情绪是爱与恨、渴望与恐惧、喜乐、忧伤与愤怒。</w:t>
      </w:r>
    </w:p>
    <w:p>
      <w:pPr>
        <w:pStyle w:val="BodyText"/>
      </w:pPr>
      <w:r>
        <w:t xml:space="preserve">情绪作为感性欲求的动向，本身并没有道德上的善或恶；但在它们牵涉理性与意志的程度上，它们里面就有道德上的善或恶。</w:t>
      </w:r>
    </w:p>
    <w:p>
      <w:pPr>
        <w:pStyle w:val="BodyText"/>
      </w:pPr>
      <w:r>
        <w:t xml:space="preserve">情感与感受可以被纳入德行，也可以被恶习扭曲。</w:t>
      </w:r>
    </w:p>
    <w:p>
      <w:pPr>
        <w:pStyle w:val="BodyText"/>
      </w:pPr>
      <w:r>
        <w:t xml:space="preserve">道德之善的圆满在于：人被推动去行善，不只是靠意志，也靠他的「心」。</w:t>
      </w:r>
    </w:p>
    <w:p>
      <w:r>
        <w:br w:type="page"/>
      </w:r>
    </w:p>
    <w:bookmarkEnd w:id="2906"/>
    <w:bookmarkEnd w:id="2907"/>
    <w:bookmarkStart w:id="2927" w:name="第六条道德良知"/>
    <w:p>
      <w:pPr>
        <w:pStyle w:val="Heading4"/>
      </w:pPr>
      <w:r>
        <w:t xml:space="preserve">第六条：道德良知</w:t>
      </w:r>
    </w:p>
    <w:p>
      <w:pPr>
        <w:pStyle w:val="FirstParagraph"/>
      </w:pPr>
      <w:r>
        <w:t xml:space="preserve">「在人的良心深处，他发现一条法律，不是他自己为自己立的，而是他必须顺服的。这法律的声音不断呼唤他去爱，去行善，去避恶，并在恰当的时候在他心里响起……因为人的心里有神所铭刻的一条律法……良心是人最隐秘的核心，是他的圣所。在那里，他独自与神同在，神的声音在他深处回响。」</w:t>
      </w:r>
      <w:r>
        <w:rPr>
          <w:rStyle w:val="FootnoteReference"/>
        </w:rPr>
        <w:footnoteReference w:id="2908"/>
      </w:r>
    </w:p>
    <w:bookmarkStart w:id="2914" w:name="一良知的判断"/>
    <w:p>
      <w:pPr>
        <w:pStyle w:val="Heading5"/>
      </w:pPr>
      <w:r>
        <w:t xml:space="preserve">一、良知的判断</w:t>
      </w:r>
    </w:p>
    <w:p>
      <w:pPr>
        <w:pStyle w:val="FirstParagraph"/>
      </w:pPr>
      <w:r>
        <w:t xml:space="preserve">道德良知</w:t>
      </w:r>
      <w:r>
        <w:rPr>
          <w:rStyle w:val="FootnoteReference"/>
        </w:rPr>
        <w:footnoteReference w:id="2909"/>
      </w:r>
      <w:r>
        <w:t xml:space="preserve">存在于人的心中，在适当的时候命令他行善避恶。它也判断具体的选择：认可善的，斥责恶的。</w:t>
      </w:r>
      <w:r>
        <w:rPr>
          <w:rStyle w:val="FootnoteReference"/>
        </w:rPr>
        <w:footnoteReference w:id="2910"/>
      </w:r>
      <w:r>
        <w:t xml:space="preserve">它为真理的权威作证，指向那吸引人的至高善，并接纳诫命。谨慎的人听从自己的良知时，就能听见神在说话。</w:t>
      </w:r>
    </w:p>
    <w:p>
      <w:pPr>
        <w:pStyle w:val="BodyText"/>
      </w:pPr>
      <w:r>
        <w:t xml:space="preserve">良知是理性的判断，借此，人认识到自己将要做、正在做或已经完成的具体行为，在道德上的性质。在他所说所做的一切事上，人都有义务忠实地跟随他所知道的公正与正当。人正是借着良知的判断，觉察并认识到神的律法所规定的要求：</w:t>
      </w:r>
    </w:p>
    <w:p>
      <w:pPr>
        <w:pStyle w:val="BlockText"/>
      </w:pPr>
      <w:r>
        <w:t xml:space="preserve">良知是心灵的律法；然而［基督徒］不会承认它仅止于此；我的意思是，它并不只是一个命令，也并不是没有传达责任、义务、威胁与应许的观念……［良知］是他的使者：他在自然与恩典中都隔着帷幕对我们说话，并借着他的代表教导并治理我们。良知是基督原初的代理者。</w:t>
      </w:r>
      <w:r>
        <w:rPr>
          <w:rStyle w:val="FootnoteReference"/>
        </w:rPr>
        <w:footnoteReference w:id="2911"/>
      </w:r>
    </w:p>
    <w:p>
      <w:pPr>
        <w:pStyle w:val="FirstParagraph"/>
      </w:pPr>
      <w:r>
        <w:t xml:space="preserve">对每个人来说，重要的是要足够地对自己保持醒觉，好能听见并跟随自己良知的声音。这种对</w:t>
      </w:r>
      <w:r>
        <w:rPr>
          <w:i/>
          <w:iCs/>
        </w:rPr>
        <w:t xml:space="preserve">内在性</w:t>
      </w:r>
      <w:r>
        <w:t xml:space="preserve">的要求就更显必要，因为生活常常使我们分心，使我们不再反思、不再省察或不再内省：</w:t>
      </w:r>
    </w:p>
    <w:p>
      <w:pPr>
        <w:pStyle w:val="BlockText"/>
      </w:pPr>
      <w:r>
        <w:t xml:space="preserve">回到你的良知里，质问它……弟兄们，要转向你们里面；在你们所做的一切事上，要把神当作你们的见证人。</w:t>
      </w:r>
      <w:r>
        <w:rPr>
          <w:rStyle w:val="FootnoteReference"/>
        </w:rPr>
        <w:footnoteReference w:id="2912"/>
      </w:r>
    </w:p>
    <w:p>
      <w:pPr>
        <w:pStyle w:val="FirstParagraph"/>
      </w:pPr>
      <w:r>
        <w:t xml:space="preserve">人的尊严意味着并要求</w:t>
      </w:r>
      <w:r>
        <w:rPr>
          <w:i/>
          <w:iCs/>
        </w:rPr>
        <w:t xml:space="preserve">道德良知的端正</w:t>
      </w:r>
      <w:r>
        <w:t xml:space="preserve">。良知包含：对道德原则的领悟，也就是良能；在具体处境中对理由与善的实际分辨并加以应用；最后，对尚未实施或已经实施的具体行为作出判断。理性律法中关于道德之善的真理，会被良知的</w:t>
      </w:r>
      <w:r>
        <w:rPr>
          <w:i/>
          <w:iCs/>
        </w:rPr>
        <w:t xml:space="preserve">谨慎判断</w:t>
      </w:r>
      <w:r>
        <w:t xml:space="preserve">以实际而具体的方式认识出来。我们称那按此判断作出选择的人为谨慎的人。</w:t>
      </w:r>
    </w:p>
    <w:p>
      <w:pPr>
        <w:pStyle w:val="BodyText"/>
      </w:pPr>
      <w:r>
        <w:t xml:space="preserve">良知使人能为已做的行为承担</w:t>
      </w:r>
      <w:r>
        <w:rPr>
          <w:i/>
          <w:iCs/>
        </w:rPr>
        <w:t xml:space="preserve">责任</w:t>
      </w:r>
      <w:r>
        <w:t xml:space="preserve">。人若作恶，良知公正的判断仍能留在他里面，作为善之普遍真理的见证，同时也见证他具体选择的恶。良知判断的裁决仍是盼望与怜悯的凭据。它在指出所犯的过错时，也提醒人必须求的宽恕、仍须实行的善，以及必须在神的恩典中不断培育的德行：</w:t>
      </w:r>
    </w:p>
    <w:p>
      <w:pPr>
        <w:pStyle w:val="BlockText"/>
      </w:pPr>
      <w:r>
        <w:t xml:space="preserve">从此就知道我们是属真理的，并且我们的心在神面前可以安稳。我们的心若责备我们，神比我们的心大，一切事没有不知道的。</w:t>
      </w:r>
      <w:r>
        <w:rPr>
          <w:rStyle w:val="FootnoteReference"/>
        </w:rPr>
        <w:footnoteReference w:id="2913"/>
      </w:r>
    </w:p>
    <w:p>
      <w:pPr>
        <w:pStyle w:val="FirstParagraph"/>
      </w:pPr>
      <w:r>
        <w:t xml:space="preserve">对一个视野被遮蔽的人来说，那为道德真理作见证的信心之见证和教会之见证，可以成为安慰。</w:t>
      </w:r>
    </w:p>
    <w:bookmarkEnd w:id="2914"/>
    <w:bookmarkStart w:id="2917" w:name="二良知的形成"/>
    <w:p>
      <w:pPr>
        <w:pStyle w:val="Heading5"/>
      </w:pPr>
      <w:r>
        <w:t xml:space="preserve">二、良知的形成</w:t>
      </w:r>
    </w:p>
    <w:p>
      <w:pPr>
        <w:pStyle w:val="FirstParagraph"/>
      </w:pPr>
      <w:r>
        <w:t xml:space="preserve">良知必须被教导，道德判断必须被光照。一个受过良好培育的良知是端正而真实的。它按理性作出判断，符合造物主以其智慧所愿意的真正的善。每个人都必须使用各种方法来培育自己的良知。</w:t>
      </w:r>
    </w:p>
    <w:p>
      <w:pPr>
        <w:pStyle w:val="BodyText"/>
      </w:pPr>
      <w:r>
        <w:t xml:space="preserve">对那些受负面影响、并受罪诱惑而宁愿偏好自己的判断、拒绝权威教导的人来说，良知的教育是不可或缺的。</w:t>
      </w:r>
    </w:p>
    <w:p>
      <w:pPr>
        <w:pStyle w:val="BodyText"/>
      </w:pPr>
      <w:r>
        <w:t xml:space="preserve">在良知的形成中，神的道是我们脚前的灯，是我们路上的光。</w:t>
      </w:r>
      <w:r>
        <w:rPr>
          <w:rStyle w:val="FootnoteReference"/>
        </w:rPr>
        <w:footnoteReference w:id="2915"/>
      </w:r>
      <w:r>
        <w:t xml:space="preserve">我们必须在信心与祈祷中领受它，并付诸实行。我们也必须在主的十字架前省察良知。我们蒙圣灵的恩赐扶持，也借着他人的见证或劝告得帮助，并由教会的权威训导所引导。</w:t>
      </w:r>
      <w:r>
        <w:rPr>
          <w:rStyle w:val="FootnoteReference"/>
        </w:rPr>
        <w:footnoteReference w:id="2916"/>
      </w:r>
    </w:p>
    <w:bookmarkEnd w:id="2917"/>
    <w:bookmarkStart w:id="2921" w:name="三按良知作选择"/>
    <w:p>
      <w:pPr>
        <w:pStyle w:val="Heading5"/>
      </w:pPr>
      <w:r>
        <w:t xml:space="preserve">三、按良知作选择</w:t>
      </w:r>
    </w:p>
    <w:p>
      <w:pPr>
        <w:pStyle w:val="FirstParagraph"/>
      </w:pPr>
      <w:r>
        <w:t xml:space="preserve">当面对一个道德选择时，良知要么能按理性和神的律法作出正确判断，要么相反，会作出偏离它们的错误判断。</w:t>
      </w:r>
    </w:p>
    <w:p>
      <w:pPr>
        <w:pStyle w:val="BodyText"/>
      </w:pPr>
      <w:r>
        <w:t xml:space="preserve">人有时会遇到一些处境，使道德判断变得不那么确定，决定也变得困难。但他总必须认真寻求什么是正当和良善的，并分辨神的旨意，也就是那借神的律法所表达的旨意。</w:t>
      </w:r>
    </w:p>
    <w:p>
      <w:pPr>
        <w:pStyle w:val="BodyText"/>
      </w:pPr>
      <w:r>
        <w:t xml:space="preserve">为此，人努力解读经验所提供的资料和时代的征兆；在这过程中，他会得到谨慎之德、明达之人的建议，以及圣灵和他恩赐的帮助。</w:t>
      </w:r>
    </w:p>
    <w:p>
      <w:pPr>
        <w:pStyle w:val="BodyText"/>
      </w:pPr>
      <w:r>
        <w:t xml:space="preserve">有一些规则在任何情况下都适用：</w:t>
      </w:r>
    </w:p>
    <w:p>
      <w:pPr>
        <w:pStyle w:val="Compact"/>
        <w:numPr>
          <w:ilvl w:val="0"/>
          <w:numId w:val="1023"/>
        </w:numPr>
      </w:pPr>
      <w:r>
        <w:t xml:space="preserve">人绝不可作恶以求成善；</w:t>
      </w:r>
    </w:p>
    <w:p>
      <w:pPr>
        <w:pStyle w:val="Compact"/>
        <w:numPr>
          <w:ilvl w:val="0"/>
          <w:numId w:val="1023"/>
        </w:numPr>
      </w:pPr>
      <w:r>
        <w:t xml:space="preserve">黄金法则：「所以，无论何事，你们愿意人怎样待你们，你们也要怎样待人」；</w:t>
      </w:r>
      <w:r>
        <w:rPr>
          <w:rStyle w:val="FootnoteReference"/>
        </w:rPr>
        <w:footnoteReference w:id="2918"/>
      </w:r>
    </w:p>
    <w:p>
      <w:pPr>
        <w:pStyle w:val="Compact"/>
        <w:numPr>
          <w:ilvl w:val="0"/>
          <w:numId w:val="1023"/>
        </w:numPr>
      </w:pPr>
      <w:r>
        <w:t xml:space="preserve">仁爱总是以尊重邻人及其良知为途径：「你们这样得罪弟兄们，伤了他们软弱的良心，就是得罪基督。」</w:t>
      </w:r>
      <w:r>
        <w:rPr>
          <w:rStyle w:val="FootnoteReference"/>
        </w:rPr>
        <w:footnoteReference w:id="2919"/>
      </w:r>
      <w:r>
        <w:t xml:space="preserve">因此，「无论是吃肉，是喝酒，是什么别的事，叫弟兄跌倒，一概不做才好。」</w:t>
      </w:r>
      <w:r>
        <w:rPr>
          <w:rStyle w:val="FootnoteReference"/>
        </w:rPr>
        <w:footnoteReference w:id="2920"/>
      </w:r>
    </w:p>
    <w:bookmarkEnd w:id="2921"/>
    <w:bookmarkStart w:id="2925" w:name="四错误的判断"/>
    <w:p>
      <w:pPr>
        <w:pStyle w:val="Heading5"/>
      </w:pPr>
      <w:r>
        <w:t xml:space="preserve">四、错误的判断</w:t>
      </w:r>
    </w:p>
    <w:p>
      <w:pPr>
        <w:pStyle w:val="FirstParagraph"/>
      </w:pPr>
      <w:r>
        <w:t xml:space="preserve">人总必须顺服自己良知的确定判断。若他故意违背它而行动，就会定自己的罪。然而，道德良知也可能仍处于无知之中，对将要做的行为或已经做过的行为作出错误判断。</w:t>
      </w:r>
    </w:p>
    <w:p>
      <w:pPr>
        <w:pStyle w:val="BodyText"/>
      </w:pPr>
      <w:r>
        <w:t xml:space="preserve">这种无知往往可以归咎于个人责任。比如，一个人「很少费心去认识什么是真实与良善」，或「良知因习惯犯罪而渐渐几乎瞎了」。</w:t>
      </w:r>
      <w:r>
        <w:rPr>
          <w:rStyle w:val="FootnoteReference"/>
        </w:rPr>
        <w:footnoteReference w:id="2922"/>
      </w:r>
      <w:r>
        <w:t xml:space="preserve">在这种情况下，这个人要为他所犯的恶负罪责。</w:t>
      </w:r>
    </w:p>
    <w:p>
      <w:pPr>
        <w:pStyle w:val="BodyText"/>
      </w:pPr>
      <w:r>
        <w:t xml:space="preserve">对基督和他的福音的无知、他人所给的坏榜样、被自己的情绪所奴役、坚持一种关于良知自主的错误观念、拒绝教会的权威及其教导、缺乏归正与缺乏仁爱：这些都可能成为道德行为判断出错的根源。</w:t>
      </w:r>
    </w:p>
    <w:p>
      <w:pPr>
        <w:pStyle w:val="BodyText"/>
      </w:pPr>
      <w:r>
        <w:t xml:space="preserve">相反，如果无知是不可克服的，或道德主体对自己的错误判断不负责任，那么他所犯的恶就不能归咎于他。但那仍然是恶，是缺失，是失序。因此，人必须努力纠正道德良知的错误。</w:t>
      </w:r>
    </w:p>
    <w:p>
      <w:pPr>
        <w:pStyle w:val="BodyText"/>
      </w:pPr>
      <w:r>
        <w:t xml:space="preserve">良善而纯洁的良知会被真正的信心所光照，因为仁爱同时「从清洁的心和无亏的良心，无伪的信心生出来」。</w:t>
      </w:r>
      <w:r>
        <w:rPr>
          <w:rStyle w:val="FootnoteReference"/>
        </w:rPr>
        <w:footnoteReference w:id="2923"/>
      </w:r>
    </w:p>
    <w:p>
      <w:pPr>
        <w:pStyle w:val="BlockText"/>
      </w:pPr>
      <w:r>
        <w:t xml:space="preserve">越是正确的良知占上风，个人和团体就越会避开盲目的选择，并努力受道德行为的客观标准所引导。</w:t>
      </w:r>
      <w:r>
        <w:rPr>
          <w:rStyle w:val="FootnoteReference"/>
        </w:rPr>
        <w:footnoteReference w:id="2924"/>
      </w:r>
    </w:p>
    <w:bookmarkEnd w:id="2925"/>
    <w:bookmarkStart w:id="2926" w:name="综述-46"/>
    <w:p>
      <w:pPr>
        <w:pStyle w:val="Heading5"/>
      </w:pPr>
      <w:r>
        <w:t xml:space="preserve">综述</w:t>
      </w:r>
    </w:p>
    <w:p>
      <w:pPr>
        <w:pStyle w:val="FirstParagraph"/>
      </w:pPr>
      <w:r>
        <w:t xml:space="preserve">「良心是人最隐秘的核心，是他的圣所。在那里，他独自与神同在，神的声音在他深处回响」（</w:t>
      </w:r>
      <w:r>
        <w:rPr>
          <w:i/>
          <w:iCs/>
        </w:rPr>
        <w:t xml:space="preserve">GS</w:t>
      </w:r>
      <w:r>
        <w:t xml:space="preserve"> </w:t>
      </w:r>
      <w:r>
        <w:t xml:space="preserve">16）。</w:t>
      </w:r>
    </w:p>
    <w:p>
      <w:pPr>
        <w:pStyle w:val="BodyText"/>
      </w:pPr>
      <w:r>
        <w:t xml:space="preserve">良知是理性的判断，借此，人认识到一个具体行为在道德上的性质。</w:t>
      </w:r>
    </w:p>
    <w:p>
      <w:pPr>
        <w:pStyle w:val="BodyText"/>
      </w:pPr>
      <w:r>
        <w:t xml:space="preserve">对那犯了恶的人来说，良知的裁决仍是归正与盼望的凭据。</w:t>
      </w:r>
    </w:p>
    <w:p>
      <w:pPr>
        <w:pStyle w:val="BodyText"/>
      </w:pPr>
      <w:r>
        <w:t xml:space="preserve">一个受过良好培育的良知是端正而真实的。它按理性作出判断，符合造物主以其智慧所愿意的真正的善。每个人都必须使用各种方法来培育自己的良知。</w:t>
      </w:r>
    </w:p>
    <w:p>
      <w:pPr>
        <w:pStyle w:val="BodyText"/>
      </w:pPr>
      <w:r>
        <w:t xml:space="preserve">当面对一个道德选择时，良知要么能按理性和神的律法作出正确判断，要么相反，会作出偏离它们的错误判断。</w:t>
      </w:r>
    </w:p>
    <w:p>
      <w:pPr>
        <w:pStyle w:val="BodyText"/>
      </w:pPr>
      <w:r>
        <w:t xml:space="preserve">人总必须顺服自己良知的确定判断。</w:t>
      </w:r>
    </w:p>
    <w:p>
      <w:pPr>
        <w:pStyle w:val="BodyText"/>
      </w:pPr>
      <w:r>
        <w:t xml:space="preserve">良知可能仍处于无知之中，或作出错误判断。这种无知与错误并不总是没有罪责。</w:t>
      </w:r>
    </w:p>
    <w:p>
      <w:pPr>
        <w:pStyle w:val="BodyText"/>
      </w:pPr>
      <w:r>
        <w:t xml:space="preserve">神的道是我们路上的光。我们必须在信心与祈祷中领受它，并付诸实行。道德良知就是这样形成的。</w:t>
      </w:r>
    </w:p>
    <w:p>
      <w:r>
        <w:br w:type="page"/>
      </w:r>
    </w:p>
    <w:bookmarkEnd w:id="2926"/>
    <w:bookmarkEnd w:id="2927"/>
    <w:bookmarkStart w:id="2983" w:name="第七条德行"/>
    <w:p>
      <w:pPr>
        <w:pStyle w:val="Heading4"/>
      </w:pPr>
      <w:r>
        <w:t xml:space="preserve">第七条：德行</w:t>
      </w:r>
    </w:p>
    <w:p>
      <w:pPr>
        <w:pStyle w:val="FirstParagraph"/>
      </w:pPr>
      <w:r>
        <w:t xml:space="preserve">「凡是真实的、可敬的、公义的、清洁的、可爱的、有美名的，若有什么德行，若有什么称赞，这些事你们都要思念。」</w:t>
      </w:r>
      <w:r>
        <w:rPr>
          <w:rStyle w:val="FootnoteReference"/>
        </w:rPr>
        <w:footnoteReference w:id="2928"/>
      </w:r>
      <w:r>
        <w:t xml:space="preserve">德行是一种习惯性的、坚固的向善倾向。它使人不仅能行善，也能把自己最好的一面拿出来。有德行的人以全部的感官能力和属灵能力趋向善；他追求善，并在具体行动中选择善。</w:t>
      </w:r>
    </w:p>
    <w:p>
      <w:pPr>
        <w:pStyle w:val="BlockText"/>
      </w:pPr>
      <w:r>
        <w:t xml:space="preserve">德行生活的目标，就是成为像神一样。</w:t>
      </w:r>
      <w:r>
        <w:rPr>
          <w:rStyle w:val="FootnoteReference"/>
        </w:rPr>
        <w:footnoteReference w:id="2929"/>
      </w:r>
    </w:p>
    <w:bookmarkStart w:id="2942" w:name="一人性德行"/>
    <w:p>
      <w:pPr>
        <w:pStyle w:val="Heading5"/>
      </w:pPr>
      <w:r>
        <w:t xml:space="preserve">一、人性德行</w:t>
      </w:r>
    </w:p>
    <w:p>
      <w:pPr>
        <w:pStyle w:val="FirstParagraph"/>
      </w:pPr>
      <w:r>
        <w:rPr>
          <w:i/>
          <w:iCs/>
        </w:rPr>
        <w:t xml:space="preserve">人性德行</w:t>
      </w:r>
      <w:r>
        <w:t xml:space="preserve">是坚固的态度、稳定的倾向，是理智与意志的习惯性圆满，治理我们的行为，整理我们的情绪，并按理性与信心引导我们的行事为人。它们使人更容易过道德上良善的生活，也更能自我掌控，并在其中获得喜乐。有德行的人，就是那自由地实行善的人。道德德行靠人的努力获得；它们是道德善行的果实，也是种子；它们使人一切的能力都预备好，与神的爱进入共融。</w:t>
      </w:r>
    </w:p>
    <w:p>
      <w:pPr>
        <w:pStyle w:val="BodyText"/>
      </w:pPr>
      <w:r>
        <w:rPr>
          <w:b/>
          <w:bCs/>
        </w:rPr>
        <w:t xml:space="preserve">四枢德</w:t>
      </w:r>
    </w:p>
    <w:p>
      <w:pPr>
        <w:pStyle w:val="BodyText"/>
      </w:pPr>
      <w:r>
        <w:t xml:space="preserve">有四种德行起着关键作用，因此被称为「枢德」；其他一切德行都围绕它们。它们是：谨慎、公义、刚毅与节制。「若有人爱慕正义，她的劳绩就是德行，因为她教导人节制与明智，公义与勇敢。」</w:t>
      </w:r>
      <w:r>
        <w:rPr>
          <w:rStyle w:val="FootnoteReference"/>
        </w:rPr>
        <w:footnoteReference w:id="2930"/>
      </w:r>
      <w:r>
        <w:t xml:space="preserve">在圣经的许多段落中，这些德行也以其他名称受到称赞。</w:t>
      </w:r>
    </w:p>
    <w:p>
      <w:pPr>
        <w:pStyle w:val="BodyText"/>
      </w:pPr>
      <w:r>
        <w:rPr>
          <w:i/>
          <w:iCs/>
        </w:rPr>
        <w:t xml:space="preserve">谨慎</w:t>
      </w:r>
      <w:r>
        <w:t xml:space="preserve">是使实践理性在任何处境中辨别我们真正的善，并选择达到它的正确方法的德行；「愚蒙人是话都信；通达人步步谨慎。」</w:t>
      </w:r>
      <w:r>
        <w:rPr>
          <w:rStyle w:val="FootnoteReference"/>
        </w:rPr>
        <w:footnoteReference w:id="2931"/>
      </w:r>
      <w:r>
        <w:t xml:space="preserve">「你们要谨慎自守，警醒祷告。」</w:t>
      </w:r>
      <w:r>
        <w:rPr>
          <w:rStyle w:val="FootnoteReference"/>
        </w:rPr>
        <w:footnoteReference w:id="2932"/>
      </w:r>
      <w:r>
        <w:t xml:space="preserve">圣托马斯·阿奎那跟随亚里士多德写道，谨慎是「行动中的正确理性」。</w:t>
      </w:r>
      <w:r>
        <w:rPr>
          <w:rStyle w:val="FootnoteReference"/>
        </w:rPr>
        <w:footnoteReference w:id="2933"/>
      </w:r>
      <w:r>
        <w:t xml:space="preserve">它不可与怯懦或恐惧混为一谈，也不可与两面三刀或虚伪掩饰混为一谈。它被称为</w:t>
      </w:r>
      <w:r>
        <w:rPr>
          <w:i/>
          <w:iCs/>
        </w:rPr>
        <w:t xml:space="preserve">auriga virtutum</w:t>
      </w:r>
      <w:r>
        <w:t xml:space="preserve">，也就是「德行的御者」：它设立规则与尺度，从而引导其他德行。良知的判断也直接由谨慎所引导。谨慎的人按这判断来决定并引导自己的行为。借着这德行，我们能把道德原则无误地应用到具体个案中，并克服关于该追求的善与该避免的恶的疑惑。</w:t>
      </w:r>
    </w:p>
    <w:p>
      <w:pPr>
        <w:pStyle w:val="BodyText"/>
      </w:pPr>
      <w:r>
        <w:rPr>
          <w:i/>
          <w:iCs/>
        </w:rPr>
        <w:t xml:space="preserve">公义</w:t>
      </w:r>
      <w:r>
        <w:t xml:space="preserve">是一种道德德行，在于恒常而坚定地愿意把当得的归于神与邻人。对神的公义被称为「敬神之德」。对人的公义使人倾向于尊重每个人的权利，并在人际关系中建立和谐，使之在对待个人与公益时都能促进公平。圣经中常提到的义人，其特征在于习惯性的正直思想，以及对邻人端正的行事为人。「你们施行审判，不可行不义；不可偏护穷人，也不可重看有势力的人，只要按公义审判你的邻舍。」</w:t>
      </w:r>
      <w:r>
        <w:rPr>
          <w:rStyle w:val="FootnoteReference"/>
        </w:rPr>
        <w:footnoteReference w:id="2934"/>
      </w:r>
      <w:r>
        <w:t xml:space="preserve">「你们作主人的，要公公平平地待仆人，因为知道你们也有一位主在天上。」</w:t>
      </w:r>
      <w:r>
        <w:rPr>
          <w:rStyle w:val="FootnoteReference"/>
        </w:rPr>
        <w:footnoteReference w:id="2935"/>
      </w:r>
    </w:p>
    <w:p>
      <w:pPr>
        <w:pStyle w:val="BodyText"/>
      </w:pPr>
      <w:r>
        <w:rPr>
          <w:i/>
          <w:iCs/>
        </w:rPr>
        <w:t xml:space="preserve">刚毅</w:t>
      </w:r>
      <w:r>
        <w:t xml:space="preserve">是一种道德德行，使人在困难中保持坚定，并在追求善时持之以恒。它坚固人抵抗诱惑、克服道德生活中障碍的决心。刚毅之德使人能战胜恐惧，甚至战胜对死亡的恐惧，也使人能面对试炼与迫害。它甚至使人愿意为捍卫正当的事业而舍弃并牺牲自己的生命。「耶和华是我的力量，是我的诗歌；他也成了我的拯救。」</w:t>
      </w:r>
      <w:r>
        <w:rPr>
          <w:rStyle w:val="FootnoteReference"/>
        </w:rPr>
        <w:footnoteReference w:id="2936"/>
      </w:r>
      <w:r>
        <w:t xml:space="preserve">「在世上，你们有苦难；但你们可以放心，我已经胜了世界。」</w:t>
      </w:r>
      <w:r>
        <w:rPr>
          <w:rStyle w:val="FootnoteReference"/>
        </w:rPr>
        <w:footnoteReference w:id="2937"/>
      </w:r>
    </w:p>
    <w:p>
      <w:pPr>
        <w:pStyle w:val="BodyText"/>
      </w:pPr>
      <w:r>
        <w:rPr>
          <w:i/>
          <w:iCs/>
        </w:rPr>
        <w:t xml:space="preserve">节制</w:t>
      </w:r>
      <w:r>
        <w:t xml:space="preserve">是一种道德德行，调节人对享乐的吸引，并使人在使用受造之物时保持平衡。它确保意志能支配本能，也使欲望保持在合宜的限度内。节制的人把感性欲求导向善，并保持健康的分寸：「不要随从你的私欲和你的力量，不要按你心中的欲望行事。」</w:t>
      </w:r>
      <w:r>
        <w:rPr>
          <w:rStyle w:val="FootnoteReference"/>
        </w:rPr>
        <w:footnoteReference w:id="2938"/>
      </w:r>
      <w:r>
        <w:t xml:space="preserve">节制常在旧约中受到称赞：「不要随从你卑贱的私欲，要克制你的欲望。」</w:t>
      </w:r>
      <w:r>
        <w:rPr>
          <w:rStyle w:val="FootnoteReference"/>
        </w:rPr>
        <w:footnoteReference w:id="2939"/>
      </w:r>
      <w:r>
        <w:t xml:space="preserve">在新约中，它被称为「节制」或「自守」。我们应当「在今世自守、公义、敬虔度日」。</w:t>
      </w:r>
      <w:r>
        <w:rPr>
          <w:rStyle w:val="FootnoteReference"/>
        </w:rPr>
        <w:footnoteReference w:id="2940"/>
      </w:r>
    </w:p>
    <w:p>
      <w:pPr>
        <w:pStyle w:val="BlockText"/>
      </w:pPr>
      <w:r>
        <w:t xml:space="preserve">善度生活无非就是以全部的心、全部的灵魂和全部的努力去爱神；从这里就产生：这爱得以保持完整并不被败坏，这就是节制。没有任何不幸能扰乱它，这就是刚毅。它只顺服［神］，这就是公义。它谨慎分辨事物，免得被欺骗或诡计所突袭，这就是谨慎。</w:t>
      </w:r>
      <w:r>
        <w:rPr>
          <w:rStyle w:val="FootnoteReference"/>
        </w:rPr>
        <w:footnoteReference w:id="2941"/>
      </w:r>
    </w:p>
    <w:p>
      <w:pPr>
        <w:pStyle w:val="FirstParagraph"/>
      </w:pPr>
      <w:r>
        <w:rPr>
          <w:b/>
          <w:bCs/>
        </w:rPr>
        <w:t xml:space="preserve">德行与恩典</w:t>
      </w:r>
    </w:p>
    <w:p>
      <w:pPr>
        <w:pStyle w:val="BodyText"/>
      </w:pPr>
      <w:r>
        <w:t xml:space="preserve">人借着教育、有意识的行为，以及在反复努力中不断更新的坚持而获得的人性德行，会被神的恩典洁净并提升。在神的帮助下，这些德行塑造品格，并使人更容易实行善。有德行的人乐于操练这些德行。</w:t>
      </w:r>
    </w:p>
    <w:p>
      <w:pPr>
        <w:pStyle w:val="BodyText"/>
      </w:pPr>
      <w:r>
        <w:t xml:space="preserve">人因罪受伤，要保持道德的平衡并不容易。基督所赐的救恩把我们坚持追求德行所必需的恩典赐给我们。每个人都应当常常祈求这光照与力量的恩典，勤领圣事，与圣灵合作，并跟随他的呼召，去爱慕善、躲避恶。</w:t>
      </w:r>
    </w:p>
    <w:bookmarkEnd w:id="2942"/>
    <w:bookmarkStart w:id="2976" w:name="二超自然德行"/>
    <w:p>
      <w:pPr>
        <w:pStyle w:val="Heading5"/>
      </w:pPr>
      <w:r>
        <w:t xml:space="preserve">二、超自然德行</w:t>
      </w:r>
    </w:p>
    <w:p>
      <w:pPr>
        <w:pStyle w:val="FirstParagraph"/>
      </w:pPr>
      <w:r>
        <w:t xml:space="preserve">人性德行扎根于超自然德行；超自然德行使人的能力适于参与神的性情：</w:t>
      </w:r>
      <w:r>
        <w:rPr>
          <w:rStyle w:val="FootnoteReference"/>
        </w:rPr>
        <w:footnoteReference w:id="2943"/>
      </w:r>
      <w:r>
        <w:t xml:space="preserve">因为超自然德行直接关系到神。它们使基督徒能在与三位一体的关系中生活。它们以独一而三位的神为其源头、动力与对象。</w:t>
      </w:r>
    </w:p>
    <w:p>
      <w:pPr>
        <w:pStyle w:val="BodyText"/>
      </w:pPr>
      <w:r>
        <w:t xml:space="preserve">超自然德行是基督徒道德行动的基础；它们使之充满活力，并赋予其独特的特质。它们塑造并赋予一切道德德行生命。神把它们灌注在信徒的灵魂里，使信徒有能力像他的儿女一样行动，并能得永生的赏报。它们是圣灵在人的能力中临在并行动的保证。超自然德行有三种：信心、盼望和仁爱。</w:t>
      </w:r>
      <w:r>
        <w:rPr>
          <w:rStyle w:val="FootnoteReference"/>
        </w:rPr>
        <w:footnoteReference w:id="2944"/>
      </w:r>
    </w:p>
    <w:p>
      <w:pPr>
        <w:pStyle w:val="BodyText"/>
      </w:pPr>
      <w:r>
        <w:rPr>
          <w:b/>
          <w:bCs/>
        </w:rPr>
        <w:t xml:space="preserve">信心</w:t>
      </w:r>
    </w:p>
    <w:p>
      <w:pPr>
        <w:pStyle w:val="BodyText"/>
      </w:pPr>
      <w:r>
        <w:t xml:space="preserve">信心是超自然德行；借着信心，我们信神，也相信他对我们所说、所启示的一切，并相信圣教会为我们提出要我们信的一切，因为他本身就是真理。借着信心，「人自由地把整个自己交托给神」。</w:t>
      </w:r>
      <w:r>
        <w:rPr>
          <w:rStyle w:val="FootnoteReference"/>
        </w:rPr>
        <w:footnoteReference w:id="2945"/>
      </w:r>
      <w:r>
        <w:t xml:space="preserve">因此，信的人寻求认识并实行神的旨意。「义人必因信得生。」活的信心「惟独使人生发仁爱的信心才有功效。」</w:t>
      </w:r>
      <w:r>
        <w:rPr>
          <w:rStyle w:val="FootnoteReference"/>
        </w:rPr>
        <w:footnoteReference w:id="2946"/>
      </w:r>
    </w:p>
    <w:p>
      <w:pPr>
        <w:pStyle w:val="BodyText"/>
      </w:pPr>
      <w:r>
        <w:t xml:space="preserve">信心的恩赐仍存留在没有得罪信心的人身上。</w:t>
      </w:r>
      <w:r>
        <w:rPr>
          <w:rStyle w:val="FootnoteReference"/>
        </w:rPr>
        <w:footnoteReference w:id="2947"/>
      </w:r>
      <w:r>
        <w:t xml:space="preserve">但「身体没有灵魂是死的，信心没有行为也是死的。」</w:t>
      </w:r>
      <w:r>
        <w:rPr>
          <w:rStyle w:val="FootnoteReference"/>
        </w:rPr>
        <w:footnoteReference w:id="2948"/>
      </w:r>
      <w:r>
        <w:t xml:space="preserve">当信心缺少盼望与爱时，它就不能使信的人完全与基督结合，也不能使他成为基督身体上有生命的肢体。</w:t>
      </w:r>
    </w:p>
    <w:p>
      <w:pPr>
        <w:pStyle w:val="BodyText"/>
      </w:pPr>
      <w:r>
        <w:t xml:space="preserve">基督的门徒不仅要持守信仰并靠信仰生活，也要宣认信仰，满怀信心地为信仰作见证，并传播信仰：「不过，众人都当准备在人前承认基督，并在教会从不缺少的迫害中，跟随他走十字架的道路。」</w:t>
      </w:r>
      <w:r>
        <w:rPr>
          <w:rStyle w:val="FootnoteReference"/>
        </w:rPr>
        <w:footnoteReference w:id="2949"/>
      </w:r>
      <w:r>
        <w:t xml:space="preserve">服事信仰并为信仰作见证，是得救所必需的：「凡在人面前认我的，我在我天上的父面前也必认他；凡在人面前不认我的，我在我天上的父面前也必不认他。」</w:t>
      </w:r>
      <w:r>
        <w:rPr>
          <w:rStyle w:val="FootnoteReference"/>
        </w:rPr>
        <w:footnoteReference w:id="2950"/>
      </w:r>
    </w:p>
    <w:p>
      <w:pPr>
        <w:pStyle w:val="BodyText"/>
      </w:pPr>
      <w:r>
        <w:rPr>
          <w:b/>
          <w:bCs/>
        </w:rPr>
        <w:t xml:space="preserve">盼望</w:t>
      </w:r>
    </w:p>
    <w:p>
      <w:pPr>
        <w:pStyle w:val="BodyText"/>
      </w:pPr>
      <w:r>
        <w:t xml:space="preserve">盼望是超自然德行；借着盼望，我们渴望天国和永生作为我们的幸福，把信赖放在基督的应许上，并且所倚靠的不是自己的力量，而是圣灵恩典的帮助。「也要坚守我们所承认的指望，不至摇动，因为那应许我们的是信实的。」</w:t>
      </w:r>
      <w:r>
        <w:rPr>
          <w:rStyle w:val="FootnoteReference"/>
        </w:rPr>
        <w:footnoteReference w:id="2951"/>
      </w:r>
      <w:r>
        <w:t xml:space="preserve">「圣灵……就是神借着耶稣基督我们救主厚厚浇灌在我们身上的；好叫我们因他的恩得称为义，可以凭着永生的盼望成为后嗣。」</w:t>
      </w:r>
      <w:r>
        <w:rPr>
          <w:rStyle w:val="FootnoteReference"/>
        </w:rPr>
        <w:footnoteReference w:id="2952"/>
      </w:r>
    </w:p>
    <w:p>
      <w:pPr>
        <w:pStyle w:val="BodyText"/>
      </w:pPr>
      <w:r>
        <w:t xml:space="preserve">盼望之德回应神放在人心中对幸福的渴望；它吸纳那些激励人类活动的盼望，并加以洁净，使之指向天国；它使人不致灰心；它在被遗弃的时候扶持他；它开启人的心，使他期待永恒的福乐。借着盼望的扶助，人得以免于自私，并被引向那从仁爱涌出的幸福。</w:t>
      </w:r>
    </w:p>
    <w:p>
      <w:pPr>
        <w:pStyle w:val="BodyText"/>
      </w:pPr>
      <w:r>
        <w:t xml:space="preserve">基督徒的盼望吸纳并成全选民的盼望；这盼望的起源与典范，在于</w:t>
      </w:r>
      <w:r>
        <w:rPr>
          <w:i/>
          <w:iCs/>
        </w:rPr>
        <w:t xml:space="preserve">亚伯拉罕的盼望</w:t>
      </w:r>
      <w:r>
        <w:t xml:space="preserve">：亚伯拉罕因神在以撒身上应验的应许而大得祝福，也在献祭的试炼中得以洁净。</w:t>
      </w:r>
      <w:r>
        <w:rPr>
          <w:rStyle w:val="FootnoteReference"/>
        </w:rPr>
        <w:footnoteReference w:id="2953"/>
      </w:r>
      <w:r>
        <w:t xml:space="preserve">「他在无可指望的时候，因信仍有指望，就得以作多国的父。」</w:t>
      </w:r>
      <w:r>
        <w:rPr>
          <w:rStyle w:val="FootnoteReference"/>
        </w:rPr>
        <w:footnoteReference w:id="2954"/>
      </w:r>
    </w:p>
    <w:p>
      <w:pPr>
        <w:pStyle w:val="BodyText"/>
      </w:pPr>
      <w:r>
        <w:t xml:space="preserve">基督徒的盼望从耶稣宣讲之初，就在宣告</w:t>
      </w:r>
      <w:r>
        <w:rPr>
          <w:i/>
          <w:iCs/>
        </w:rPr>
        <w:t xml:space="preserve">八福</w:t>
      </w:r>
      <w:r>
        <w:t xml:space="preserve">中展开。八福把我们的盼望举向天上，那是新的应许之地；八福也描绘那条道路，使人能经过等待耶稣门徒的试炼而前行。但借着耶稣基督和他受难的功劳，神使我们持守「盼望不至于羞耻」。</w:t>
      </w:r>
      <w:r>
        <w:rPr>
          <w:rStyle w:val="FootnoteReference"/>
        </w:rPr>
        <w:footnoteReference w:id="2955"/>
      </w:r>
      <w:r>
        <w:t xml:space="preserve">盼望是「如同灵魂的锚，又坚固又牢靠，且通入幔内；作先锋的耶稣……就为我们进入幔内。」</w:t>
      </w:r>
      <w:r>
        <w:rPr>
          <w:rStyle w:val="FootnoteReference"/>
        </w:rPr>
        <w:footnoteReference w:id="2956"/>
      </w:r>
      <w:r>
        <w:t xml:space="preserve">盼望也是在救恩争战中保护我们的武器：「把信和爱当作护心镜遮胸，把得救的盼望当作头盔戴上。」</w:t>
      </w:r>
      <w:r>
        <w:rPr>
          <w:rStyle w:val="FootnoteReference"/>
        </w:rPr>
        <w:footnoteReference w:id="2957"/>
      </w:r>
      <w:r>
        <w:t xml:space="preserve">它甚至在试炼之下也赐给我们喜乐：「在指望中要喜乐，在患难中要忍耐。」</w:t>
      </w:r>
      <w:r>
        <w:rPr>
          <w:rStyle w:val="FootnoteReference"/>
        </w:rPr>
        <w:footnoteReference w:id="2958"/>
      </w:r>
      <w:r>
        <w:t xml:space="preserve">盼望在祈祷中表达并得滋养，尤其是在主祷文里；主祷文总结了盼望引导我们所渴望的一切。</w:t>
      </w:r>
    </w:p>
    <w:p>
      <w:pPr>
        <w:pStyle w:val="BodyText"/>
      </w:pPr>
      <w:r>
        <w:t xml:space="preserve">因此，我们可以盼望神应许给那些爱他并遵行他旨意之人的天上荣耀。</w:t>
      </w:r>
      <w:r>
        <w:rPr>
          <w:rStyle w:val="FootnoteReference"/>
        </w:rPr>
        <w:footnoteReference w:id="2959"/>
      </w:r>
      <w:r>
        <w:t xml:space="preserve">无论在任何处境中，我们每个人都应当在神的恩典中盼望，能「惟有忍耐到底的必然得救」</w:t>
      </w:r>
      <w:r>
        <w:rPr>
          <w:rStyle w:val="FootnoteReference"/>
        </w:rPr>
        <w:footnoteReference w:id="2960"/>
      </w:r>
      <w:r>
        <w:t xml:space="preserve">，并获得天上的喜乐；这喜乐是神赐下的永恒赏报，是给那些借着基督的恩典所完成的善工。教会在盼望中祈求「他愿意万人得救，明白真道」。</w:t>
      </w:r>
      <w:r>
        <w:rPr>
          <w:rStyle w:val="FootnoteReference"/>
        </w:rPr>
        <w:footnoteReference w:id="2961"/>
      </w:r>
      <w:r>
        <w:t xml:space="preserve">她渴望在天上的荣耀里与基督——她的新郎——结合：</w:t>
      </w:r>
    </w:p>
    <w:p>
      <w:pPr>
        <w:pStyle w:val="BlockText"/>
      </w:pPr>
      <w:r>
        <w:t xml:space="preserve">我的灵魂啊，要盼望，要盼望。你不知道那日子，也不知道那时辰。要细心警醒，因为一切都很快过去；即使你的急躁会让确定的事变得可疑，也会把很短的时间变得很长。你要想：你越挣扎，就越证明你对你的神所怀的爱；有一天，你也越要与所爱者一同欢喜，在那永无止境的幸福与忘我里喜乐。</w:t>
      </w:r>
      <w:r>
        <w:rPr>
          <w:rStyle w:val="FootnoteReference"/>
        </w:rPr>
        <w:footnoteReference w:id="2962"/>
      </w:r>
    </w:p>
    <w:p>
      <w:pPr>
        <w:pStyle w:val="FirstParagraph"/>
      </w:pPr>
      <w:r>
        <w:rPr>
          <w:b/>
          <w:bCs/>
        </w:rPr>
        <w:t xml:space="preserve">仁爱</w:t>
      </w:r>
    </w:p>
    <w:p>
      <w:pPr>
        <w:pStyle w:val="BodyText"/>
      </w:pPr>
      <w:r>
        <w:t xml:space="preserve">仁爱是超自然德行；借着仁爱，我们为着神自己而爱神，爱他超越万有；也为着爱神而爱邻人如同自己。</w:t>
      </w:r>
    </w:p>
    <w:p>
      <w:pPr>
        <w:pStyle w:val="BodyText"/>
      </w:pPr>
      <w:r>
        <w:t xml:space="preserve">耶稣使仁爱成为</w:t>
      </w:r>
      <w:r>
        <w:rPr>
          <w:i/>
          <w:iCs/>
        </w:rPr>
        <w:t xml:space="preserve">新诫命</w:t>
      </w:r>
      <w:r>
        <w:t xml:space="preserve">。</w:t>
      </w:r>
      <w:r>
        <w:rPr>
          <w:rStyle w:val="FootnoteReference"/>
        </w:rPr>
        <w:footnoteReference w:id="2963"/>
      </w:r>
      <w:r>
        <w:t xml:space="preserve">他爱属自己的人，「爱他们到底」，</w:t>
      </w:r>
      <w:r>
        <w:rPr>
          <w:rStyle w:val="FootnoteReference"/>
        </w:rPr>
        <w:footnoteReference w:id="2964"/>
      </w:r>
      <w:r>
        <w:t xml:space="preserve">就显明他所领受的父之爱。门徒彼此相爱，就效法他们自己所领受的耶稣之爱。因此耶稣说：「我爱你们，正如父爱我一样；你们要常在我的爱里。」又说：「你们要彼此相爱，像我爱你们一样；这就是我的命令。」</w:t>
      </w:r>
      <w:r>
        <w:rPr>
          <w:rStyle w:val="FootnoteReference"/>
        </w:rPr>
        <w:footnoteReference w:id="2965"/>
      </w:r>
    </w:p>
    <w:p>
      <w:pPr>
        <w:pStyle w:val="BodyText"/>
      </w:pPr>
      <w:r>
        <w:t xml:space="preserve">仁爱既是圣灵所结的果子，也是律法的圆满，就使人遵守神和他基督的</w:t>
      </w:r>
      <w:r>
        <w:rPr>
          <w:i/>
          <w:iCs/>
        </w:rPr>
        <w:t xml:space="preserve">诫命</w:t>
      </w:r>
      <w:r>
        <w:t xml:space="preserve">：「你们要常在我的爱里。你们若遵守我的命令，就常在我的爱里；正如我遵守了我父的命令，常在他的爱里。」</w:t>
      </w:r>
      <w:r>
        <w:rPr>
          <w:rStyle w:val="FootnoteReference"/>
        </w:rPr>
        <w:footnoteReference w:id="2966"/>
      </w:r>
    </w:p>
    <w:p>
      <w:pPr>
        <w:pStyle w:val="BodyText"/>
      </w:pPr>
      <w:r>
        <w:t xml:space="preserve">基督为我们死，是出于爱；那时我们还是「仇敌」。</w:t>
      </w:r>
      <w:r>
        <w:rPr>
          <w:rStyle w:val="FootnoteReference"/>
        </w:rPr>
        <w:footnoteReference w:id="2967"/>
      </w:r>
      <w:r>
        <w:t xml:space="preserve">主要求我们像他那样去爱，甚至爱我们的</w:t>
      </w:r>
      <w:r>
        <w:rPr>
          <w:i/>
          <w:iCs/>
        </w:rPr>
        <w:t xml:space="preserve">仇敌</w:t>
      </w:r>
      <w:r>
        <w:t xml:space="preserve">；使我们成为离我们最远之人的邻舍，并爱小孩子和穷人，如同爱基督自己。</w:t>
      </w:r>
      <w:r>
        <w:rPr>
          <w:rStyle w:val="FootnoteReference"/>
        </w:rPr>
        <w:footnoteReference w:id="2968"/>
      </w:r>
    </w:p>
    <w:p>
      <w:pPr>
        <w:pStyle w:val="BlockText"/>
      </w:pPr>
      <w:r>
        <w:t xml:space="preserve">使徒保罗对仁爱作了无与伦比的描绘：「爱是恒久忍耐，又有恩慈；爱是不嫉妒；爱是不自夸，不张狂， 不作害羞的事，不求自己的益处，不轻易发怒，不计算人的恶， 不喜欢不义，只喜欢真理； 凡事包容，凡事相信，凡事盼望，凡事忍耐。」</w:t>
      </w:r>
      <w:r>
        <w:rPr>
          <w:rStyle w:val="FootnoteReference"/>
        </w:rPr>
        <w:footnoteReference w:id="2969"/>
      </w:r>
    </w:p>
    <w:p>
      <w:pPr>
        <w:pStyle w:val="FirstParagraph"/>
      </w:pPr>
      <w:r>
        <w:t xml:space="preserve">使徒说：「我若……却没有爱，我就算不得什么。」无论我有什么特权、事奉，甚至有什么德行，「我若……却没有爱，仍然与我无益」。</w:t>
      </w:r>
      <w:r>
        <w:rPr>
          <w:rStyle w:val="FootnoteReference"/>
        </w:rPr>
        <w:footnoteReference w:id="2970"/>
      </w:r>
      <w:r>
        <w:t xml:space="preserve">仁爱超越一切德行。它是超自然德行之首：「如今常存的有信，有望，有爱；这三样，其中</w:t>
      </w:r>
      <w:r>
        <w:rPr>
          <w:i/>
          <w:iCs/>
        </w:rPr>
        <w:t xml:space="preserve">最大的是爱</w:t>
      </w:r>
      <w:r>
        <w:t xml:space="preserve">。」</w:t>
      </w:r>
      <w:r>
        <w:rPr>
          <w:rStyle w:val="FootnoteReference"/>
        </w:rPr>
        <w:footnoteReference w:id="2971"/>
      </w:r>
    </w:p>
    <w:p>
      <w:pPr>
        <w:pStyle w:val="BodyText"/>
      </w:pPr>
      <w:r>
        <w:t xml:space="preserve">一切德行的操练都由仁爱鼓动并激发；仁爱「爱心就是联络全德的。」</w:t>
      </w:r>
      <w:r>
        <w:rPr>
          <w:rStyle w:val="FootnoteReference"/>
        </w:rPr>
        <w:footnoteReference w:id="2972"/>
      </w:r>
      <w:r>
        <w:t xml:space="preserve">仁爱是</w:t>
      </w:r>
      <w:r>
        <w:rPr>
          <w:i/>
          <w:iCs/>
        </w:rPr>
        <w:t xml:space="preserve">德行的形式</w:t>
      </w:r>
      <w:r>
        <w:t xml:space="preserve">；它使诸德彼此连贯并加以统整；它是基督徒操练诸德的源头与目标。仁爱扶持并洁净我们人性的爱之能力，并把它提升到神之爱的超自然圆满。</w:t>
      </w:r>
    </w:p>
    <w:p>
      <w:pPr>
        <w:pStyle w:val="BodyText"/>
      </w:pPr>
      <w:r>
        <w:t xml:space="preserve">由仁爱所推动的道德生活，使基督徒获得神儿女的属灵自由。他不再像奴仆那样，以奴性的恐惧站在神面前；也不再像雇工那样，为了工价而站在神面前；而是像儿子那样回应那位「我们爱，因为神先爱我们」的爱：</w:t>
      </w:r>
      <w:r>
        <w:rPr>
          <w:rStyle w:val="FootnoteReference"/>
        </w:rPr>
        <w:footnoteReference w:id="2973"/>
      </w:r>
    </w:p>
    <w:p>
      <w:pPr>
        <w:pStyle w:val="BlockText"/>
      </w:pPr>
      <w:r>
        <w:t xml:space="preserve">如果我们因怕受罚而远离恶，我们就处在奴仆的地位。如果我们追逐工价的诱惑……我们就像雇工。最后，如果我们为着善本身，并出于对那位命令者的爱而顺服……我们就处在儿女的地位。</w:t>
      </w:r>
      <w:r>
        <w:rPr>
          <w:rStyle w:val="FootnoteReference"/>
        </w:rPr>
        <w:footnoteReference w:id="2974"/>
      </w:r>
    </w:p>
    <w:p>
      <w:pPr>
        <w:pStyle w:val="FirstParagraph"/>
      </w:pPr>
      <w:r>
        <w:t xml:space="preserve">仁爱的</w:t>
      </w:r>
      <w:r>
        <w:rPr>
          <w:i/>
          <w:iCs/>
        </w:rPr>
        <w:t xml:space="preserve">果实</w:t>
      </w:r>
      <w:r>
        <w:t xml:space="preserve">是喜乐、平安和怜悯；仁爱要求行善与弟兄间的规劝；它是善意；它促进彼此互惠，并始终无私而慷慨；它是友谊与共融：爱本身就是我们一切工作的成全。这就是目标；所以我们奔跑：我们向着它奔跑；当我们达到它时，我们要在其中得安息。</w:t>
      </w:r>
      <w:r>
        <w:rPr>
          <w:rStyle w:val="FootnoteReference"/>
        </w:rPr>
        <w:footnoteReference w:id="2975"/>
      </w:r>
    </w:p>
    <w:bookmarkEnd w:id="2976"/>
    <w:bookmarkStart w:id="2981" w:name="三圣灵的恩赐与果实"/>
    <w:p>
      <w:pPr>
        <w:pStyle w:val="Heading5"/>
      </w:pPr>
      <w:r>
        <w:t xml:space="preserve">三、圣灵的恩赐与果实</w:t>
      </w:r>
    </w:p>
    <w:p>
      <w:pPr>
        <w:pStyle w:val="FirstParagraph"/>
      </w:pPr>
      <w:r>
        <w:t xml:space="preserve">基督徒的道德生活由圣灵的恩赐所扶持。这些是持久的倾向，使人顺从地跟随圣灵的推动。</w:t>
      </w:r>
    </w:p>
    <w:p>
      <w:pPr>
        <w:pStyle w:val="BodyText"/>
      </w:pPr>
      <w:r>
        <w:t xml:space="preserve">圣灵的七种</w:t>
      </w:r>
      <w:r>
        <w:rPr>
          <w:i/>
          <w:iCs/>
        </w:rPr>
        <w:t xml:space="preserve">恩赐</w:t>
      </w:r>
      <w:r>
        <w:t xml:space="preserve">是：智慧、聪明、谋略、刚毅、知识、敬虔和敬畏主。它们在基督这位大卫之子身上全然具备。</w:t>
      </w:r>
      <w:r>
        <w:rPr>
          <w:rStyle w:val="FootnoteReference"/>
        </w:rPr>
        <w:footnoteReference w:id="2977"/>
      </w:r>
      <w:r>
        <w:t xml:space="preserve">它们补足并成全领受者的德行，使信徒容易顺从地顺服来自神的感动。</w:t>
      </w:r>
    </w:p>
    <w:p>
      <w:pPr>
        <w:pStyle w:val="BlockText"/>
      </w:pPr>
      <w:r>
        <w:t xml:space="preserve">求你以你的良善的灵引导我，得行平坦的路。</w:t>
      </w:r>
      <w:r>
        <w:rPr>
          <w:rStyle w:val="FootnoteReference"/>
        </w:rPr>
        <w:footnoteReference w:id="2978"/>
      </w:r>
    </w:p>
    <w:p>
      <w:pPr>
        <w:pStyle w:val="BlockText"/>
      </w:pPr>
      <w:r>
        <w:t xml:space="preserve">因为凡被神的灵引导的，都是神的儿子……既是儿女，便是后嗣，就是神的后嗣，和基督同作后嗣。</w:t>
      </w:r>
      <w:r>
        <w:rPr>
          <w:rStyle w:val="FootnoteReference"/>
        </w:rPr>
        <w:footnoteReference w:id="2979"/>
      </w:r>
    </w:p>
    <w:p>
      <w:pPr>
        <w:pStyle w:val="FirstParagraph"/>
      </w:pPr>
      <w:r>
        <w:t xml:space="preserve">圣灵的</w:t>
      </w:r>
      <w:r>
        <w:rPr>
          <w:i/>
          <w:iCs/>
        </w:rPr>
        <w:t xml:space="preserve">果实</w:t>
      </w:r>
      <w:r>
        <w:t xml:space="preserve">，是圣灵在我们里面所形成的圆满，作为永恒荣耀的初熟果子。教会传统列出十二种：「仁爱、喜乐、和平、忍耐、恩慈、良善、慷慨、温柔、信实、谦逊、节制、贞洁。」</w:t>
      </w:r>
      <w:r>
        <w:rPr>
          <w:rStyle w:val="FootnoteReference"/>
        </w:rPr>
        <w:footnoteReference w:id="2980"/>
      </w:r>
    </w:p>
    <w:bookmarkEnd w:id="2981"/>
    <w:bookmarkStart w:id="2982" w:name="综述-47"/>
    <w:p>
      <w:pPr>
        <w:pStyle w:val="Heading5"/>
      </w:pPr>
      <w:r>
        <w:t xml:space="preserve">综述</w:t>
      </w:r>
    </w:p>
    <w:p>
      <w:pPr>
        <w:pStyle w:val="FirstParagraph"/>
      </w:pPr>
      <w:r>
        <w:t xml:space="preserve">德行是一种习惯性的、坚固的向善倾向。</w:t>
      </w:r>
    </w:p>
    <w:p>
      <w:pPr>
        <w:pStyle w:val="BodyText"/>
      </w:pPr>
      <w:r>
        <w:t xml:space="preserve">人性德行是理智与意志的稳定倾向，治理我们的行为，整理我们的情绪，并按理性与信心引导我们的行事为人。它们可以围绕四枢德归类：谨慎、公义、刚毅与节制。</w:t>
      </w:r>
    </w:p>
    <w:p>
      <w:pPr>
        <w:pStyle w:val="BodyText"/>
      </w:pPr>
      <w:r>
        <w:t xml:space="preserve">谨慎使实践理性在任何处境中辨别我们真正的善，并选择达到它的正确方法。</w:t>
      </w:r>
    </w:p>
    <w:p>
      <w:pPr>
        <w:pStyle w:val="BodyText"/>
      </w:pPr>
      <w:r>
        <w:t xml:space="preserve">公义在于坚定而恒常地愿意把当得的归于神与邻人。</w:t>
      </w:r>
    </w:p>
    <w:p>
      <w:pPr>
        <w:pStyle w:val="BodyText"/>
      </w:pPr>
      <w:r>
        <w:t xml:space="preserve">刚毅确保人在困难中保持坚定，并在追求善时持之以恒。</w:t>
      </w:r>
    </w:p>
    <w:p>
      <w:pPr>
        <w:pStyle w:val="BodyText"/>
      </w:pPr>
      <w:r>
        <w:t xml:space="preserve">节制调节感官享乐的吸引，并使人在使用受造之物时保持平衡。</w:t>
      </w:r>
    </w:p>
    <w:p>
      <w:pPr>
        <w:pStyle w:val="BodyText"/>
      </w:pPr>
      <w:r>
        <w:t xml:space="preserve">道德德行藉着教育、有意识的行为，以及在争战中坚持不懈而增长。神的恩典洁净并提升它们。</w:t>
      </w:r>
    </w:p>
    <w:p>
      <w:pPr>
        <w:pStyle w:val="BodyText"/>
      </w:pPr>
      <w:r>
        <w:t xml:space="preserve">超自然德行使基督徒能在与三位一体的关系中生活。它们以神为其源头、动力与对象——信心所认识的神、盼望所期待的神、并为着神自己而被爱慕的神。</w:t>
      </w:r>
    </w:p>
    <w:p>
      <w:pPr>
        <w:pStyle w:val="BodyText"/>
      </w:pPr>
      <w:r>
        <w:t xml:space="preserve">超自然德行有三种：信心、盼望和仁爱。它们塑造一切道德德行，并赋予其生命。</w:t>
      </w:r>
    </w:p>
    <w:p>
      <w:pPr>
        <w:pStyle w:val="BodyText"/>
      </w:pPr>
      <w:r>
        <w:t xml:space="preserve">借着信心，我们信神，也信他向我们启示的一切，以及圣教会为我们提出要我们信的一切。</w:t>
      </w:r>
    </w:p>
    <w:p>
      <w:pPr>
        <w:pStyle w:val="BodyText"/>
      </w:pPr>
      <w:r>
        <w:t xml:space="preserve">借着盼望，我们渴望并以坚定的信赖从神那里期待永生，以及使我们能配得永生的恩典。</w:t>
      </w:r>
    </w:p>
    <w:p>
      <w:pPr>
        <w:pStyle w:val="BodyText"/>
      </w:pPr>
      <w:r>
        <w:t xml:space="preserve">借着仁爱，我们为着爱神而爱神超越万有，并爱邻人如同自己。仁爱是一切德行的形式，「爱心就是联络全德的」（</w:t>
      </w:r>
      <w:r>
        <w:rPr>
          <w:i/>
          <w:iCs/>
        </w:rPr>
        <w:t xml:space="preserve">西</w:t>
      </w:r>
      <w:r>
        <w:t xml:space="preserve"> </w:t>
      </w:r>
      <w:r>
        <w:t xml:space="preserve">3:14）。</w:t>
      </w:r>
    </w:p>
    <w:p>
      <w:pPr>
        <w:pStyle w:val="BodyText"/>
      </w:pPr>
      <w:r>
        <w:t xml:space="preserve">赐给基督徒的圣灵七恩是：智慧、聪明、谋略、刚毅、知识、敬虔和敬畏主。</w:t>
      </w:r>
    </w:p>
    <w:p>
      <w:r>
        <w:br w:type="page"/>
      </w:r>
    </w:p>
    <w:bookmarkEnd w:id="2982"/>
    <w:bookmarkEnd w:id="2983"/>
    <w:bookmarkStart w:id="3022" w:name="第八条罪"/>
    <w:p>
      <w:pPr>
        <w:pStyle w:val="Heading4"/>
      </w:pPr>
      <w:r>
        <w:t xml:space="preserve">第八条：罪</w:t>
      </w:r>
    </w:p>
    <w:bookmarkStart w:id="2992" w:name="一怜悯与罪"/>
    <w:p>
      <w:pPr>
        <w:pStyle w:val="Heading5"/>
      </w:pPr>
      <w:r>
        <w:t xml:space="preserve">一、怜悯与罪</w:t>
      </w:r>
    </w:p>
    <w:p>
      <w:pPr>
        <w:pStyle w:val="FirstParagraph"/>
      </w:pPr>
      <w:r>
        <w:t xml:space="preserve">福音是在耶稣基督里向罪人启示神的怜悯。</w:t>
      </w:r>
      <w:r>
        <w:rPr>
          <w:rStyle w:val="FootnoteReference"/>
        </w:rPr>
        <w:footnoteReference w:id="2984"/>
      </w:r>
      <w:r>
        <w:t xml:space="preserve">天使向约瑟宣告：「她将要生一个儿子，你要给他起名叫耶稣；因他要将自己的百姓从罪恶里救出来。」</w:t>
      </w:r>
      <w:r>
        <w:rPr>
          <w:rStyle w:val="FootnoteReference"/>
        </w:rPr>
        <w:footnoteReference w:id="2985"/>
      </w:r>
      <w:r>
        <w:t xml:space="preserve">圣餐也同样如此，圣餐是救赎的圣事：「因为这是我立约的血，为多人流出来，使罪得赦。」</w:t>
      </w:r>
      <w:r>
        <w:rPr>
          <w:rStyle w:val="FootnoteReference"/>
        </w:rPr>
        <w:footnoteReference w:id="2986"/>
      </w:r>
    </w:p>
    <w:p>
      <w:pPr>
        <w:pStyle w:val="BodyText"/>
      </w:pPr>
      <w:r>
        <w:t xml:space="preserve">「神创造我们，并没有我们；但他不愿意拯救我们而不借着我们。」</w:t>
      </w:r>
      <w:r>
        <w:rPr>
          <w:rStyle w:val="FootnoteReference"/>
        </w:rPr>
        <w:footnoteReference w:id="2987"/>
      </w:r>
      <w:r>
        <w:t xml:space="preserve">要领受他的怜悯，我们必须承认自己的过错。「我们若说自己无罪，便是自欺，真理不在我们心里了。我们若认自己的罪，神是信实的，是公义的，必要赦免我们的罪，洗净我们一切的不义。」</w:t>
      </w:r>
      <w:r>
        <w:rPr>
          <w:rStyle w:val="FootnoteReference"/>
        </w:rPr>
        <w:footnoteReference w:id="2988"/>
      </w:r>
    </w:p>
    <w:p>
      <w:pPr>
        <w:pStyle w:val="BodyText"/>
      </w:pPr>
      <w:r>
        <w:t xml:space="preserve">正如圣保罗所肯定的：「只是罪在那里显多，恩典就更显多了。」</w:t>
      </w:r>
      <w:r>
        <w:rPr>
          <w:rStyle w:val="FootnoteReference"/>
        </w:rPr>
        <w:footnoteReference w:id="2989"/>
      </w:r>
      <w:r>
        <w:t xml:space="preserve">但要使恩典完成它的工作，就必须揭露罪，好使我们的心归正，并把那「叫恩典也借着义作王，叫人因我们的主耶稣基督得永生」赐给我们。</w:t>
      </w:r>
      <w:r>
        <w:rPr>
          <w:rStyle w:val="FootnoteReference"/>
        </w:rPr>
        <w:footnoteReference w:id="2990"/>
      </w:r>
      <w:r>
        <w:t xml:space="preserve">就像医生在治疗之前会探查伤口一样，神借着他的道，借着他的灵，把活的光投在罪上：</w:t>
      </w:r>
    </w:p>
    <w:p>
      <w:pPr>
        <w:pStyle w:val="BlockText"/>
      </w:pPr>
      <w:r>
        <w:t xml:space="preserve">归正</w:t>
      </w:r>
      <w:r>
        <w:rPr>
          <w:i/>
          <w:iCs/>
        </w:rPr>
        <w:t xml:space="preserve">需要对罪的确信</w:t>
      </w:r>
      <w:r>
        <w:t xml:space="preserve">；它包含良知内在的判断；而这既是「真理的灵」在人内心深处行动的证据，也同时成为一个新的恩典与爱的赐予之起点：「你们受圣灵。」因此，在这种「使人确信自己有罪」里，我们发现</w:t>
      </w:r>
      <w:r>
        <w:rPr>
          <w:i/>
          <w:iCs/>
        </w:rPr>
        <w:t xml:space="preserve">双重的恩赐</w:t>
      </w:r>
      <w:r>
        <w:t xml:space="preserve">：良知真理的恩赐，以及救赎确据的恩赐。真理的灵就是保惠师。</w:t>
      </w:r>
      <w:r>
        <w:rPr>
          <w:rStyle w:val="FootnoteReference"/>
        </w:rPr>
        <w:footnoteReference w:id="2991"/>
      </w:r>
    </w:p>
    <w:bookmarkEnd w:id="2992"/>
    <w:bookmarkStart w:id="2999" w:name="二罪的定义"/>
    <w:p>
      <w:pPr>
        <w:pStyle w:val="Heading5"/>
      </w:pPr>
      <w:r>
        <w:t xml:space="preserve">二、罪的定义</w:t>
      </w:r>
    </w:p>
    <w:p>
      <w:pPr>
        <w:pStyle w:val="FirstParagraph"/>
      </w:pPr>
      <w:r>
        <w:t xml:space="preserve">罪是对理性、真理和正确良知的冒犯；它是由于对某些事物的扭曲依恋，而在对神与邻人的真实之爱上失败。它伤害人的本性，也损害人类的团结。它被定义为「一句话、一个行为或一个欲望，违背永恒的律法。」</w:t>
      </w:r>
      <w:r>
        <w:rPr>
          <w:rStyle w:val="FootnoteReference"/>
        </w:rPr>
        <w:footnoteReference w:id="2993"/>
      </w:r>
    </w:p>
    <w:p>
      <w:pPr>
        <w:pStyle w:val="BodyText"/>
      </w:pPr>
      <w:r>
        <w:t xml:space="preserve">罪是对神的冒犯：「我向你犯罪，惟独得罪了你；在你眼前行了这恶。」</w:t>
      </w:r>
      <w:r>
        <w:rPr>
          <w:rStyle w:val="FootnoteReference"/>
        </w:rPr>
        <w:footnoteReference w:id="2994"/>
      </w:r>
      <w:r>
        <w:t xml:space="preserve">罪反抗神对我们的爱，并使我们的心背离这爱。像最初的罪一样，它是不顺服，是通过想要「如神能知道善恶」而对神的反叛。</w:t>
      </w:r>
      <w:r>
        <w:rPr>
          <w:rStyle w:val="FootnoteReference"/>
        </w:rPr>
        <w:footnoteReference w:id="2995"/>
      </w:r>
      <w:r>
        <w:t xml:space="preserve">因此，罪就是「爱自己，甚至轻视神。」</w:t>
      </w:r>
      <w:r>
        <w:rPr>
          <w:rStyle w:val="FootnoteReference"/>
        </w:rPr>
        <w:footnoteReference w:id="2996"/>
      </w:r>
      <w:r>
        <w:t xml:space="preserve">在这种骄傲的自我抬举中，罪与耶稣的顺服正相反对；而耶稣的顺服成就了我们的救恩。</w:t>
      </w:r>
      <w:r>
        <w:rPr>
          <w:rStyle w:val="FootnoteReference"/>
        </w:rPr>
        <w:footnoteReference w:id="2997"/>
      </w:r>
    </w:p>
    <w:p>
      <w:pPr>
        <w:pStyle w:val="BodyText"/>
      </w:pPr>
      <w:r>
        <w:t xml:space="preserve">正是在受难中，在基督的怜悯将要战胜罪的时候，罪最清楚地显出它的暴力和它的多种样式：不信、杀人的仇恨、领袖与民众的躲避与嘲笑、彼拉多的怯懦和兵丁的残酷、犹大的背叛——对耶稣来说何等苦涩——彼得的否认，以及门徒的逃跑。然而，就在那黑暗的时刻，也就是「这世界的王」的时刻，</w:t>
      </w:r>
      <w:r>
        <w:rPr>
          <w:rStyle w:val="FootnoteReference"/>
        </w:rPr>
        <w:footnoteReference w:id="2998"/>
      </w:r>
      <w:r>
        <w:t xml:space="preserve">基督的祭献却在暗中成为那源头，使我们罪得赦免要从其中不断涌流，永不枯竭。</w:t>
      </w:r>
    </w:p>
    <w:bookmarkEnd w:id="2999"/>
    <w:bookmarkStart w:id="3002" w:name="三罪的不同种类"/>
    <w:p>
      <w:pPr>
        <w:pStyle w:val="Heading5"/>
      </w:pPr>
      <w:r>
        <w:t xml:space="preserve">三、罪的不同种类</w:t>
      </w:r>
    </w:p>
    <w:p>
      <w:pPr>
        <w:pStyle w:val="FirstParagraph"/>
      </w:pPr>
      <w:r>
        <w:t xml:space="preserve">罪的种类极多。圣经提供了几份清单。</w:t>
      </w:r>
      <w:r>
        <w:rPr>
          <w:i/>
          <w:iCs/>
        </w:rPr>
        <w:t xml:space="preserve">加拉太书</w:t>
      </w:r>
      <w:r>
        <w:t xml:space="preserve">把情欲的事与圣灵的果子作对比：「情欲的事都是显而易见的，就如奸淫、污秽、邪荡、拜偶像、邪术、仇恨、争竞、忌恨、恼怒、结党、纷争、异端、嫉妒、醉酒、荒宴等类。我从前告诉你们，现在又告诉你们，行这样事的人必不能承受神的国。」</w:t>
      </w:r>
      <w:r>
        <w:rPr>
          <w:rStyle w:val="FootnoteReference"/>
        </w:rPr>
        <w:footnoteReference w:id="3000"/>
      </w:r>
    </w:p>
    <w:p>
      <w:pPr>
        <w:pStyle w:val="BodyText"/>
      </w:pPr>
      <w:r>
        <w:t xml:space="preserve">罪可以按其对象来区分，正如一切人的行为也可以按对象区分；也可以按它们所反对的德行来区分，看是过度还是不足；也可以按它们所违反的诫命来区分。罪也可以按它们是关于神、关于邻人或关于自己来分类；也可以分为属灵的罪与属肉体的罪；或再分为思想、言语、行为或该做而不做的罪。按主的教导，罪的根在人的心里，在人的自由意志里：「因为从心里发出来的，有恶念、凶杀、奸淫、苟合、偷盗、妄证、谤讟。这都是污秽人的。」</w:t>
      </w:r>
      <w:r>
        <w:rPr>
          <w:rStyle w:val="FootnoteReference"/>
        </w:rPr>
        <w:footnoteReference w:id="3001"/>
      </w:r>
      <w:r>
        <w:t xml:space="preserve">但在人的心里也住着仁爱，这是良善而清洁之行为的源头；而罪会伤害仁爱。</w:t>
      </w:r>
    </w:p>
    <w:bookmarkEnd w:id="3002"/>
    <w:bookmarkStart w:id="3012" w:name="四罪的严重性致死的罪与小罪"/>
    <w:p>
      <w:pPr>
        <w:pStyle w:val="Heading5"/>
      </w:pPr>
      <w:r>
        <w:t xml:space="preserve">四、罪的严重性：致死的罪与小罪</w:t>
      </w:r>
    </w:p>
    <w:p>
      <w:pPr>
        <w:pStyle w:val="FirstParagraph"/>
      </w:pPr>
      <w:r>
        <w:t xml:space="preserve">应当按严重性对罪作正确评估。致死的罪与小罪的区分，在圣经中已清楚可见，</w:t>
      </w:r>
      <w:r>
        <w:rPr>
          <w:rStyle w:val="FootnoteReference"/>
        </w:rPr>
        <w:footnoteReference w:id="3003"/>
      </w:r>
      <w:r>
        <w:t xml:space="preserve">后来也成为教会传统的一部分，并且为人的经验所印证。</w:t>
      </w:r>
    </w:p>
    <w:p>
      <w:pPr>
        <w:pStyle w:val="BodyText"/>
      </w:pPr>
      <w:r>
        <w:rPr>
          <w:i/>
          <w:iCs/>
        </w:rPr>
        <w:t xml:space="preserve">致死的罪</w:t>
      </w:r>
      <w:r>
        <w:t xml:space="preserve">藉着严重违反神的律法，摧毁人心中的仁爱；它因把低等的善置于神之上，而使人背离神；神是人的终极目的，也是人的福乐。</w:t>
      </w:r>
      <w:r>
        <w:rPr>
          <w:i/>
          <w:iCs/>
        </w:rPr>
        <w:t xml:space="preserve">小罪</w:t>
      </w:r>
      <w:r>
        <w:t xml:space="preserve">则让仁爱仍能存留，尽管它冒犯并伤害仁爱。</w:t>
      </w:r>
    </w:p>
    <w:p>
      <w:pPr>
        <w:pStyle w:val="BodyText"/>
      </w:pPr>
      <w:r>
        <w:t xml:space="preserve">致死的罪既攻击我们里面的生命原则——也就是仁爱——就需要神怜悯的一次新的主动，并需要心的归正；这通常是在和好圣事的框架中完成的：</w:t>
      </w:r>
    </w:p>
    <w:p>
      <w:pPr>
        <w:pStyle w:val="BlockText"/>
      </w:pPr>
      <w:r>
        <w:t xml:space="preserve">当意志执着于某件事，而这事按其本性与那把人导向终极目的的仁爱不相容时，那么，这罪就按其对象本身就是致死的罪……无论它是违背爱神，比如亵渎或作假誓，还是违背爱邻人，比如杀人或奸淫……但如果罪人的意志执着于某件事，而这事按其本性虽涉及失序，却不反对爱神与爱邻人，比如不经思考的闲谈或过度的嘻笑之类，那么这类罪就是小罪。</w:t>
      </w:r>
      <w:r>
        <w:rPr>
          <w:rStyle w:val="FootnoteReference"/>
        </w:rPr>
        <w:footnoteReference w:id="3004"/>
      </w:r>
    </w:p>
    <w:p>
      <w:pPr>
        <w:pStyle w:val="FirstParagraph"/>
      </w:pPr>
      <w:r>
        <w:t xml:space="preserve">要使一个</w:t>
      </w:r>
      <w:r>
        <w:rPr>
          <w:i/>
          <w:iCs/>
        </w:rPr>
        <w:t xml:space="preserve">罪</w:t>
      </w:r>
      <w:r>
        <w:t xml:space="preserve">成为</w:t>
      </w:r>
      <w:r>
        <w:rPr>
          <w:i/>
          <w:iCs/>
        </w:rPr>
        <w:t xml:space="preserve">致死的罪</w:t>
      </w:r>
      <w:r>
        <w:t xml:space="preserve">，必须同时满足三个条件：「致死的罪，是指其对象属于严重事项，并且也是在完全知道与故意同意之下所犯的罪。」</w:t>
      </w:r>
      <w:r>
        <w:rPr>
          <w:rStyle w:val="FootnoteReference"/>
        </w:rPr>
        <w:footnoteReference w:id="3005"/>
      </w:r>
    </w:p>
    <w:p>
      <w:pPr>
        <w:pStyle w:val="BodyText"/>
      </w:pPr>
      <w:r>
        <w:rPr>
          <w:i/>
          <w:iCs/>
        </w:rPr>
        <w:t xml:space="preserve">严重事项</w:t>
      </w:r>
      <w:r>
        <w:t xml:space="preserve">由十诫所指明，这对应于耶稣对富有的少年人所给的回答：「不可杀人；不可奸淫；不可偷盗；不可作假见证；不可亏负人；当孝敬父母。」</w:t>
      </w:r>
      <w:r>
        <w:rPr>
          <w:rStyle w:val="FootnoteReference"/>
        </w:rPr>
        <w:footnoteReference w:id="3006"/>
      </w:r>
      <w:r>
        <w:t xml:space="preserve">罪的严重性有轻重之别：杀人比偷盗更严重。也必须考虑受害者是谁：对父母施暴，本身就比对陌生人施暴更严重。</w:t>
      </w:r>
    </w:p>
    <w:p>
      <w:pPr>
        <w:pStyle w:val="BodyText"/>
      </w:pPr>
      <w:r>
        <w:t xml:space="preserve">致死的罪需要</w:t>
      </w:r>
      <w:r>
        <w:rPr>
          <w:i/>
          <w:iCs/>
        </w:rPr>
        <w:t xml:space="preserve">完全知道</w:t>
      </w:r>
      <w:r>
        <w:t xml:space="preserve">和</w:t>
      </w:r>
      <w:r>
        <w:rPr>
          <w:i/>
          <w:iCs/>
        </w:rPr>
        <w:t xml:space="preserve">完全同意</w:t>
      </w:r>
      <w:r>
        <w:t xml:space="preserve">。它预设人知道这行为有罪，知道它违背神的律法。它也意味着足够深思熟虑的同意，以至于这是一项个人的选择。假装无知与心里刚硬</w:t>
      </w:r>
      <w:r>
        <w:rPr>
          <w:rStyle w:val="FootnoteReference"/>
        </w:rPr>
        <w:footnoteReference w:id="3007"/>
      </w:r>
      <w:r>
        <w:t xml:space="preserve">不会减轻罪的自愿性，反而会加重。</w:t>
      </w:r>
    </w:p>
    <w:p>
      <w:pPr>
        <w:pStyle w:val="BodyText"/>
      </w:pPr>
      <w:r>
        <w:rPr>
          <w:i/>
          <w:iCs/>
        </w:rPr>
        <w:t xml:space="preserve">非故意的无知</w:t>
      </w:r>
      <w:r>
        <w:t xml:space="preserve">能减轻，甚至能除去严重冒犯的可归咎性。但没有人会被视为不知道道德律法的原则，因为这些原则写在每个人的良知里。情感和情绪的推动也能减轻冒犯的自愿性与自由性；外在压力或病理性的障碍也能如此。出于恶意而犯罪，也就是故意选择恶而犯罪，是最严重的。</w:t>
      </w:r>
    </w:p>
    <w:p>
      <w:pPr>
        <w:pStyle w:val="BodyText"/>
      </w:pPr>
      <w:r>
        <w:t xml:space="preserve">致死的罪像爱本身一样，是人类自由的一种根本可能性。它导致仁爱的失落，并导致成圣恩典的缺失，也就是失去在恩典的状态里。若不藉着悔改和神的赦免而得救赎，它会导致人被排除在基督的国之外，并招致地狱永远的死亡，因为我们的自由有能力作出永远的选择，再无回头。然而，虽然我们可以判断某个行为本身是严重的冒犯，但对人的判断必须交托给神的公义与怜悯。</w:t>
      </w:r>
    </w:p>
    <w:p>
      <w:pPr>
        <w:pStyle w:val="BodyText"/>
      </w:pPr>
      <w:r>
        <w:t xml:space="preserve">当一个人在较轻的事项上不遵守道德律法所规定的标准，或在严重事项上违背道德律法，却没有完全知道或没有完全同意时，他就犯了</w:t>
      </w:r>
      <w:r>
        <w:rPr>
          <w:i/>
          <w:iCs/>
        </w:rPr>
        <w:t xml:space="preserve">小罪</w:t>
      </w:r>
      <w:r>
        <w:t xml:space="preserve">。</w:t>
      </w:r>
    </w:p>
    <w:p>
      <w:pPr>
        <w:pStyle w:val="BodyText"/>
      </w:pPr>
      <w:r>
        <w:t xml:space="preserve">小罪削弱仁爱；它显出对受造之物的失序之爱；它阻碍灵魂在操练德行与实践道德善中的进步；它应受暂罚。故意的、而且不悔改的小罪，会一点一点使我们倾向于犯致死的罪。然而，小罪并不破坏与神的约。靠着神的恩典，它在人的层面仍可补救。「小罪不会使罪人失去成圣的恩典、与神的友谊、仁爱，也就不会失去永恒的幸福。」</w:t>
      </w:r>
      <w:r>
        <w:rPr>
          <w:rStyle w:val="FootnoteReference"/>
        </w:rPr>
        <w:footnoteReference w:id="3008"/>
      </w:r>
    </w:p>
    <w:p>
      <w:pPr>
        <w:pStyle w:val="BlockText"/>
      </w:pPr>
      <w:r>
        <w:t xml:space="preserve">只要人还活在肉身中，就不可能完全没有至少一些小罪。但你们不要轻看这些我们称为「小」的罪：如果你在衡量时把它们当作小，就在计算时战兢吧。许多轻的东西会成大堆；许多水滴会灌满一条河；许多谷粒会成一堆。那么，我们的盼望是什么？首先是认罪。</w:t>
      </w:r>
      <w:r>
        <w:rPr>
          <w:rStyle w:val="FootnoteReference"/>
        </w:rPr>
        <w:footnoteReference w:id="3009"/>
      </w:r>
    </w:p>
    <w:p>
      <w:pPr>
        <w:pStyle w:val="FirstParagraph"/>
      </w:pPr>
      <w:r>
        <w:t xml:space="preserve">「所以我告诉你们，人一切的罪和亵渎的话都可得赦免，惟独亵渎圣灵，总不得赦免。」</w:t>
      </w:r>
      <w:r>
        <w:rPr>
          <w:rStyle w:val="FootnoteReference"/>
        </w:rPr>
        <w:footnoteReference w:id="3010"/>
      </w:r>
      <w:r>
        <w:t xml:space="preserve">神的怜悯没有界限；但任何人若故意拒绝藉着悔改来接受他的怜悯，就是拒绝自己罪得赦免，也拒绝圣灵所提供的救恩。</w:t>
      </w:r>
      <w:r>
        <w:rPr>
          <w:rStyle w:val="FootnoteReference"/>
        </w:rPr>
        <w:footnoteReference w:id="3011"/>
      </w:r>
      <w:r>
        <w:t xml:space="preserve">这种心里刚硬会导致最终的不悔改和永远的丧失。</w:t>
      </w:r>
    </w:p>
    <w:bookmarkEnd w:id="3012"/>
    <w:bookmarkStart w:id="3020" w:name="五罪的蔓延"/>
    <w:p>
      <w:pPr>
        <w:pStyle w:val="Heading5"/>
      </w:pPr>
      <w:r>
        <w:t xml:space="preserve">五、罪的蔓延</w:t>
      </w:r>
    </w:p>
    <w:p>
      <w:pPr>
        <w:pStyle w:val="FirstParagraph"/>
      </w:pPr>
      <w:r>
        <w:t xml:space="preserve">罪造成犯罪的倾向；它藉着重复同样的行为滋生恶习。这会产生扭曲的倾向，使良知昏暗，并败坏对善与恶的具体判断。因此，罪倾向于复制自己并强化自己，但它无法从根上摧毁道德感。</w:t>
      </w:r>
    </w:p>
    <w:p>
      <w:pPr>
        <w:pStyle w:val="BodyText"/>
      </w:pPr>
      <w:r>
        <w:t xml:space="preserve">恶习可以按其所反对的德行来分类；也可以与</w:t>
      </w:r>
      <w:r>
        <w:rPr>
          <w:i/>
          <w:iCs/>
        </w:rPr>
        <w:t xml:space="preserve">七宗罪</w:t>
      </w:r>
      <w:r>
        <w:t xml:space="preserve">相连，这是基督徒经验所区分出来的，是跟随圣约翰·卡西安和教宗圣额我略一世的教导。它们被称为「七宗」，因为它们会产生其他罪与其他恶习。</w:t>
      </w:r>
      <w:r>
        <w:rPr>
          <w:rStyle w:val="FootnoteReference"/>
        </w:rPr>
        <w:footnoteReference w:id="3013"/>
      </w:r>
      <w:r>
        <w:t xml:space="preserve">它们是骄傲、贪婪、嫉妒、忿怒、淫欲、贪食，以及懒惰或怠惰。</w:t>
      </w:r>
    </w:p>
    <w:p>
      <w:pPr>
        <w:pStyle w:val="BodyText"/>
      </w:pPr>
      <w:r>
        <w:t xml:space="preserve">教理传统也提到有所谓「呼求上天」的罪：亚伯的血，</w:t>
      </w:r>
      <w:r>
        <w:rPr>
          <w:rStyle w:val="FootnoteReference"/>
        </w:rPr>
        <w:footnoteReference w:id="3014"/>
      </w:r>
      <w:r>
        <w:t xml:space="preserve">所多玛人的罪，</w:t>
      </w:r>
      <w:r>
        <w:rPr>
          <w:rStyle w:val="FootnoteReference"/>
        </w:rPr>
        <w:footnoteReference w:id="3015"/>
      </w:r>
      <w:r>
        <w:t xml:space="preserve">在埃及受压迫之人民的哀号，</w:t>
      </w:r>
      <w:r>
        <w:rPr>
          <w:rStyle w:val="FootnoteReference"/>
        </w:rPr>
        <w:footnoteReference w:id="3016"/>
      </w:r>
      <w:r>
        <w:t xml:space="preserve">外人、寡妇和孤儿的哀号，</w:t>
      </w:r>
      <w:r>
        <w:rPr>
          <w:rStyle w:val="FootnoteReference"/>
        </w:rPr>
        <w:footnoteReference w:id="3017"/>
      </w:r>
      <w:r>
        <w:t xml:space="preserve">克扣工人的工钱。</w:t>
      </w:r>
      <w:r>
        <w:rPr>
          <w:rStyle w:val="FootnoteReference"/>
        </w:rPr>
        <w:footnoteReference w:id="3018"/>
      </w:r>
    </w:p>
    <w:p>
      <w:pPr>
        <w:pStyle w:val="BodyText"/>
      </w:pPr>
      <w:r>
        <w:t xml:space="preserve">罪是个人的行为。此外，当</w:t>
      </w:r>
      <w:r>
        <w:rPr>
          <w:i/>
          <w:iCs/>
        </w:rPr>
        <w:t xml:space="preserve">我们与之合作</w:t>
      </w:r>
      <w:r>
        <w:t xml:space="preserve">时，我们也要对他人所犯的罪负责任：</w:t>
      </w:r>
    </w:p>
    <w:p>
      <w:pPr>
        <w:pStyle w:val="Compact"/>
        <w:numPr>
          <w:ilvl w:val="0"/>
          <w:numId w:val="1024"/>
        </w:numPr>
      </w:pPr>
      <w:r>
        <w:t xml:space="preserve">直接并自愿地参与其中；</w:t>
      </w:r>
    </w:p>
    <w:p>
      <w:pPr>
        <w:pStyle w:val="Compact"/>
        <w:numPr>
          <w:ilvl w:val="0"/>
          <w:numId w:val="1024"/>
        </w:numPr>
      </w:pPr>
      <w:r>
        <w:t xml:space="preserve">命令、建议、称赞或认可这些罪；</w:t>
      </w:r>
    </w:p>
    <w:p>
      <w:pPr>
        <w:pStyle w:val="Compact"/>
        <w:numPr>
          <w:ilvl w:val="0"/>
          <w:numId w:val="1024"/>
        </w:numPr>
      </w:pPr>
      <w:r>
        <w:t xml:space="preserve">在有义务揭发或阻止时，却不揭发或不阻止；</w:t>
      </w:r>
    </w:p>
    <w:p>
      <w:pPr>
        <w:pStyle w:val="Compact"/>
        <w:numPr>
          <w:ilvl w:val="0"/>
          <w:numId w:val="1024"/>
        </w:numPr>
      </w:pPr>
      <w:r>
        <w:t xml:space="preserve">包庇作恶者。</w:t>
      </w:r>
    </w:p>
    <w:p>
      <w:pPr>
        <w:pStyle w:val="FirstParagraph"/>
      </w:pPr>
      <w:r>
        <w:t xml:space="preserve">因此，罪使人与人互为同谋，使私欲、暴力和不公义在人间掌权。罪会引发与神的良善相违背的社会处境和制度。「罪的结构」是本罪的表达与后果；它们引导受害者也去作恶。按类似的意义，它们构成一种「社会罪」。</w:t>
      </w:r>
      <w:r>
        <w:rPr>
          <w:rStyle w:val="FootnoteReference"/>
        </w:rPr>
        <w:footnoteReference w:id="3019"/>
      </w:r>
    </w:p>
    <w:bookmarkEnd w:id="3020"/>
    <w:bookmarkStart w:id="3021" w:name="综述-48"/>
    <w:p>
      <w:pPr>
        <w:pStyle w:val="Heading5"/>
      </w:pPr>
      <w:r>
        <w:t xml:space="preserve">综述</w:t>
      </w:r>
    </w:p>
    <w:p>
      <w:pPr>
        <w:pStyle w:val="FirstParagraph"/>
      </w:pPr>
      <w:r>
        <w:t xml:space="preserve">「因为神将众人都圈在不顺服之中，特意要怜恤众人。」（</w:t>
      </w:r>
      <w:r>
        <w:rPr>
          <w:i/>
          <w:iCs/>
        </w:rPr>
        <w:t xml:space="preserve">罗</w:t>
      </w:r>
      <w:r>
        <w:t xml:space="preserve"> </w:t>
      </w:r>
      <w:r>
        <w:t xml:space="preserve">11:32）</w:t>
      </w:r>
    </w:p>
    <w:p>
      <w:pPr>
        <w:pStyle w:val="BodyText"/>
      </w:pPr>
      <w:r>
        <w:t xml:space="preserve">罪是一句话、一个行为或一个欲望，违背永恒的律法（圣奥古斯丁，</w:t>
      </w:r>
      <w:r>
        <w:rPr>
          <w:i/>
          <w:iCs/>
        </w:rPr>
        <w:t xml:space="preserve">Faust</w:t>
      </w:r>
      <w:r>
        <w:t xml:space="preserve"> </w:t>
      </w:r>
      <w:r>
        <w:t xml:space="preserve">22：PL 42,418）。它是对神的冒犯。它以不顺服来反抗神，这不顺服与基督的顺服相违。</w:t>
      </w:r>
    </w:p>
    <w:p>
      <w:pPr>
        <w:pStyle w:val="BodyText"/>
      </w:pPr>
      <w:r>
        <w:t xml:space="preserve">罪是违背理性的行为。它伤害人的本性，也损害人类的团结。</w:t>
      </w:r>
    </w:p>
    <w:p>
      <w:pPr>
        <w:pStyle w:val="BodyText"/>
      </w:pPr>
      <w:r>
        <w:t xml:space="preserve">一切罪的根在人的心里。罪的种类与严重性，主要由其对象来决定。</w:t>
      </w:r>
    </w:p>
    <w:p>
      <w:pPr>
        <w:pStyle w:val="BodyText"/>
      </w:pPr>
      <w:r>
        <w:t xml:space="preserve">故意选择——也就是既知道又愿意——某件严重违背神的律法和人的终极目的的事，就是犯致死的罪。它摧毁我们里面的仁爱；没有仁爱，就不可能有永恒的福乐。若不悔改，它会带来永远的死亡。</w:t>
      </w:r>
    </w:p>
    <w:p>
      <w:pPr>
        <w:pStyle w:val="BodyText"/>
      </w:pPr>
      <w:r>
        <w:t xml:space="preserve">小罪构成一种道德上的失序，但它能借着仁爱得到补救；而仁爱仍能在我们里面存留。</w:t>
      </w:r>
    </w:p>
    <w:p>
      <w:pPr>
        <w:pStyle w:val="BodyText"/>
      </w:pPr>
      <w:r>
        <w:t xml:space="preserve">重复犯罪——即使是小罪——会滋生恶习，其中包括七宗罪。</w:t>
      </w:r>
    </w:p>
    <w:p>
      <w:r>
        <w:br w:type="page"/>
      </w:r>
    </w:p>
    <w:bookmarkEnd w:id="3021"/>
    <w:bookmarkEnd w:id="3022"/>
    <w:bookmarkEnd w:id="3023"/>
    <w:bookmarkStart w:id="3088" w:name="第二章人类团体"/>
    <w:p>
      <w:pPr>
        <w:pStyle w:val="Heading3"/>
      </w:pPr>
      <w:r>
        <w:t xml:space="preserve">第二章：人类团体</w:t>
      </w:r>
    </w:p>
    <w:p>
      <w:pPr>
        <w:pStyle w:val="FirstParagraph"/>
      </w:pPr>
      <w:r>
        <w:t xml:space="preserve">人类的圣召，是彰显神的形象，并被转化为父独生子的形象。这圣召具有个人的形式，因为我们每个人都蒙召进入神的福乐；它也关乎整个人类团体。</w:t>
      </w:r>
    </w:p>
    <w:p>
      <w:r>
        <w:br w:type="page"/>
      </w:r>
    </w:p>
    <w:bookmarkStart w:id="3041" w:name="第一条个人与社会"/>
    <w:p>
      <w:pPr>
        <w:pStyle w:val="Heading4"/>
      </w:pPr>
      <w:r>
        <w:t xml:space="preserve">第一条：个人与社会</w:t>
      </w:r>
    </w:p>
    <w:bookmarkStart w:id="3037" w:name="一人的圣召的团体性特征"/>
    <w:p>
      <w:pPr>
        <w:pStyle w:val="Heading5"/>
      </w:pPr>
      <w:r>
        <w:t xml:space="preserve">一、人的圣召的团体性特征</w:t>
      </w:r>
    </w:p>
    <w:p>
      <w:pPr>
        <w:pStyle w:val="FirstParagraph"/>
      </w:pPr>
      <w:r>
        <w:t xml:space="preserve">所有人都蒙召走向同一个终点：神自己。在三位一体的位格的合一，与人应当在真理与爱里建立的弟兄情谊之间，存在某种相似。</w:t>
      </w:r>
      <w:r>
        <w:rPr>
          <w:rStyle w:val="FootnoteReference"/>
        </w:rPr>
        <w:footnoteReference w:id="3024"/>
      </w:r>
      <w:r>
        <w:t xml:space="preserve">爱邻人离不开爱神。</w:t>
      </w:r>
    </w:p>
    <w:p>
      <w:pPr>
        <w:pStyle w:val="BodyText"/>
      </w:pPr>
      <w:r>
        <w:t xml:space="preserve">人需要生活在社会中。社会对他不是外加的东西，而是他本性的要求。人借着与他人的交流、彼此服务，以及与弟兄的对话，发展自己的潜能；这样他就回应自己的圣召。</w:t>
      </w:r>
      <w:r>
        <w:rPr>
          <w:rStyle w:val="FootnoteReference"/>
        </w:rPr>
        <w:footnoteReference w:id="3025"/>
      </w:r>
    </w:p>
    <w:p>
      <w:pPr>
        <w:pStyle w:val="BodyText"/>
      </w:pPr>
      <w:r>
        <w:t xml:space="preserve">一个</w:t>
      </w:r>
      <w:r>
        <w:rPr>
          <w:i/>
          <w:iCs/>
        </w:rPr>
        <w:t xml:space="preserve">社会</w:t>
      </w:r>
      <w:r>
        <w:t xml:space="preserve">是一群人，他们以某种合一的原则在有机上结合在一起；这原则超越每一个个人。作为既可见又属灵的集会，社会跨越时间而持续：它汇聚过去，并预备未来。借着社会，每个人被确立为「后嗣」，并领受某些「银子」，这些使他的身份更丰富，而他必须发展其果实。</w:t>
      </w:r>
      <w:r>
        <w:rPr>
          <w:rStyle w:val="FootnoteReference"/>
        </w:rPr>
        <w:footnoteReference w:id="3026"/>
      </w:r>
      <w:r>
        <w:t xml:space="preserve">因此，他理当对自己所属的群体忠诚，并尊重那些负责公共福祉的掌权者。</w:t>
      </w:r>
    </w:p>
    <w:p>
      <w:pPr>
        <w:pStyle w:val="BodyText"/>
      </w:pPr>
      <w:r>
        <w:t xml:space="preserve">每个团体都由其目的所界定，因此遵循特定的规则；但「</w:t>
      </w:r>
      <w:r>
        <w:rPr>
          <w:i/>
          <w:iCs/>
        </w:rPr>
        <w:t xml:space="preserve">人</w:t>
      </w:r>
      <w:r>
        <w:t xml:space="preserve">……是，也应当是，一切社会制度的原则、主体与目的。」</w:t>
      </w:r>
      <w:r>
        <w:rPr>
          <w:rStyle w:val="FootnoteReference"/>
        </w:rPr>
        <w:footnoteReference w:id="3027"/>
      </w:r>
    </w:p>
    <w:p>
      <w:pPr>
        <w:pStyle w:val="BodyText"/>
      </w:pPr>
      <w:r>
        <w:t xml:space="preserve">某些社会，比如家庭和国家，更直接地对应人的本性；它们对人是必需的。为了促进尽可能多人参与社会生活，应当鼓励建立自愿的团体和机构，「无论在国家层面或国际层面，涉及经济与社会目标、文化与休闲活动、运动、各类职业以及政治事务。」</w:t>
      </w:r>
      <w:r>
        <w:rPr>
          <w:rStyle w:val="FootnoteReference"/>
        </w:rPr>
        <w:footnoteReference w:id="3028"/>
      </w:r>
      <w:r>
        <w:t xml:space="preserve">这种「社会化」也表达了人的自然倾向：为了达成超越个人能力的目标，人会彼此结合。它发展人的素质，尤其是主动性与责任感，并有助于保障人的权利。</w:t>
      </w:r>
      <w:r>
        <w:rPr>
          <w:rStyle w:val="FootnoteReference"/>
        </w:rPr>
        <w:footnoteReference w:id="3029"/>
      </w:r>
    </w:p>
    <w:p>
      <w:pPr>
        <w:pStyle w:val="BodyText"/>
      </w:pPr>
      <w:r>
        <w:t xml:space="preserve">社会化也带来危险。国家过度介入会威胁个人的自由与主动性。教会的教导阐明了辅助性原则，按此原则：「较高层次的团体不应干预较低层次团体的内部生活，从而剥夺后者的职能；反而应在需要时支持它，并协助它把自己的活动与社会其他部分的活动协调起来，而且始终以公益为目标。」</w:t>
      </w:r>
      <w:r>
        <w:rPr>
          <w:rStyle w:val="FootnoteReference"/>
        </w:rPr>
        <w:footnoteReference w:id="3030"/>
      </w:r>
    </w:p>
    <w:p>
      <w:pPr>
        <w:pStyle w:val="BodyText"/>
      </w:pPr>
      <w:r>
        <w:t xml:space="preserve">神并不愿意把一切权力的行使都保留给自己。他把每个受造物按其本性能力所能完成的功能托付给它。这种治理方式也应当在社会生活中被遵循。神治理世界的方式显示他对人类自由的高度重视；这种方式应当启发治理人类团体者的智慧。他们应当像神的护理的执事那样行事。</w:t>
      </w:r>
    </w:p>
    <w:p>
      <w:pPr>
        <w:pStyle w:val="BodyText"/>
      </w:pPr>
      <w:r>
        <w:t xml:space="preserve">辅助性原则反对一切形式的集体主义。它为国家的干预设定限度。它旨在调和个人与社会之间的关系。它倾向于建立真正的国际秩序。</w:t>
      </w:r>
      <w:r>
        <w:rPr>
          <w:rStyle w:val="FootnoteReference"/>
        </w:rPr>
        <w:footnoteReference w:id="3031"/>
      </w:r>
    </w:p>
    <w:p>
      <w:pPr>
        <w:pStyle w:val="BodyText"/>
      </w:pPr>
      <w:r>
        <w:t xml:space="preserve">社会对人成全其圣召是不可少的。为达成这一目标，必须尊重价值的正当等级；这等级「使生理与本能的层面从属于内在与属灵的层面」：</w:t>
      </w:r>
      <w:r>
        <w:rPr>
          <w:rStyle w:val="FootnoteReference"/>
        </w:rPr>
        <w:footnoteReference w:id="3032"/>
      </w:r>
    </w:p>
    <w:p>
      <w:pPr>
        <w:pStyle w:val="BlockText"/>
      </w:pPr>
      <w:r>
        <w:t xml:space="preserve">人类社会首先必须被视为属于属灵层面的事物。借着它，人应当在真理的光照之下分享知识，能够行使权利并履行义务，受到激励去寻求属灵价值；彼此从各种秩序的美中获得真正的喜乐；常常乐意把自己文化遗产中最好的传递给他人；并热切努力把他人的属灵成就变成自己的。这些益处不仅影响一切涉及文化表达、经济与社会制度、政治运动与形式、律法，以及一切使社会在外在上被建立并不断发展的结构之事；同时，这些益处也为它们提供目标与范围。</w:t>
      </w:r>
      <w:r>
        <w:rPr>
          <w:rStyle w:val="FootnoteReference"/>
        </w:rPr>
        <w:footnoteReference w:id="3033"/>
      </w:r>
    </w:p>
    <w:p>
      <w:pPr>
        <w:pStyle w:val="FirstParagraph"/>
      </w:pPr>
      <w:r>
        <w:t xml:space="preserve">把手段与目的颠倒，也就是把本来只是达到目的的手段，当作终极目的来赋予价值，或把人视为达成目的的纯粹手段，会产生不公义的结构；这些结构「使基督徒要按神的律法立法者的诫命而行变得困难，甚至几乎不可能。」</w:t>
      </w:r>
      <w:r>
        <w:rPr>
          <w:rStyle w:val="FootnoteReference"/>
        </w:rPr>
        <w:footnoteReference w:id="3034"/>
      </w:r>
    </w:p>
    <w:p>
      <w:pPr>
        <w:pStyle w:val="BodyText"/>
      </w:pPr>
      <w:r>
        <w:t xml:space="preserve">因此，为了获得真正服务于人的社会改变，就必须诉诸人的属灵与道德能力，并诉诸人对内在归正的恒常需要。承认心的归正具有优先性，并不会消除义务；相反，当制度和生活条件成为犯罪的诱因时，这种优先性反而要求我们有义务为它们提供适当的补救，使它们符合公义的规范，并促进善而不是阻碍善。</w:t>
      </w:r>
      <w:r>
        <w:rPr>
          <w:rStyle w:val="FootnoteReference"/>
        </w:rPr>
        <w:footnoteReference w:id="3035"/>
      </w:r>
    </w:p>
    <w:p>
      <w:pPr>
        <w:pStyle w:val="BodyText"/>
      </w:pPr>
      <w:r>
        <w:t xml:space="preserve">若没有恩典的帮助，人就不会知道如何「分辨那条常常很狭窄的道路：一边是向恶妥协的怯懦，另一边是假装对抗恶却让恶更糟的暴力。」这就是仁爱之路，也就是爱神与爱邻人之路。仁爱是最伟大的社会诫命。它尊重他人及其权利。它要求实行公义，并且唯有仁爱使我们有能力实行公义。仁爱激发一种自我奉献的生活：「凡想要保全生命的，必丧掉生命；凡丧掉生命的，必救活生命。」</w:t>
      </w:r>
      <w:r>
        <w:rPr>
          <w:rStyle w:val="FootnoteReference"/>
        </w:rPr>
        <w:footnoteReference w:id="3036"/>
      </w:r>
    </w:p>
    <w:bookmarkEnd w:id="3037"/>
    <w:bookmarkStart w:id="3040" w:name="综述-49"/>
    <w:p>
      <w:pPr>
        <w:pStyle w:val="Heading5"/>
      </w:pPr>
      <w:r>
        <w:t xml:space="preserve">综述</w:t>
      </w:r>
    </w:p>
    <w:p>
      <w:pPr>
        <w:pStyle w:val="FirstParagraph"/>
      </w:pPr>
      <w:r>
        <w:t xml:space="preserve">在三位一体的位格的合一，与人应当彼此建立的弟兄情谊之间，存在某种相似。</w:t>
      </w:r>
    </w:p>
    <w:p>
      <w:pPr>
        <w:pStyle w:val="BodyText"/>
      </w:pPr>
      <w:r>
        <w:t xml:space="preserve">人需要社会生活，才能按其本性发展。某些社会，比如家庭和国家，更直接地对应人的本性。</w:t>
      </w:r>
    </w:p>
    <w:p>
      <w:pPr>
        <w:pStyle w:val="BodyText"/>
      </w:pPr>
      <w:r>
        <w:t xml:space="preserve">「人……是，也应当是，一切社会组织的原则、主体与对象。」</w:t>
      </w:r>
      <w:r>
        <w:rPr>
          <w:rStyle w:val="FootnoteReference"/>
        </w:rPr>
        <w:footnoteReference w:id="3038"/>
      </w:r>
    </w:p>
    <w:p>
      <w:pPr>
        <w:pStyle w:val="BodyText"/>
      </w:pPr>
      <w:r>
        <w:t xml:space="preserve">应当鼓励人广泛参与自愿的团体和机构。</w:t>
      </w:r>
    </w:p>
    <w:p>
      <w:pPr>
        <w:pStyle w:val="BodyText"/>
      </w:pPr>
      <w:r>
        <w:t xml:space="preserve">按辅助性原则，国家或任何更大的社会，都不应取代个人与中介团体的主动性与责任。</w:t>
      </w:r>
    </w:p>
    <w:p>
      <w:pPr>
        <w:pStyle w:val="BodyText"/>
      </w:pPr>
      <w:r>
        <w:t xml:space="preserve">社会应当促进德行的实践，而不是阻碍它。社会应当由正当的价值等级所推动。</w:t>
      </w:r>
    </w:p>
    <w:p>
      <w:pPr>
        <w:pStyle w:val="BodyText"/>
      </w:pPr>
      <w:r>
        <w:t xml:space="preserve">当罪使社会风气扭曲时，就必须呼吁心的归正，并诉诸神的恩典。仁爱催促公义的改革。离开福音，就没有解决社会问题的办法。</w:t>
      </w:r>
      <w:r>
        <w:rPr>
          <w:rStyle w:val="FootnoteReference"/>
        </w:rPr>
        <w:footnoteReference w:id="3039"/>
      </w:r>
    </w:p>
    <w:p>
      <w:r>
        <w:br w:type="page"/>
      </w:r>
    </w:p>
    <w:bookmarkEnd w:id="3040"/>
    <w:bookmarkEnd w:id="3041"/>
    <w:bookmarkStart w:id="3068" w:name="第二条参与社会生活"/>
    <w:p>
      <w:pPr>
        <w:pStyle w:val="Heading4"/>
      </w:pPr>
      <w:r>
        <w:t xml:space="preserve">第二条：参与社会生活</w:t>
      </w:r>
    </w:p>
    <w:bookmarkStart w:id="3050" w:name="一权威"/>
    <w:p>
      <w:pPr>
        <w:pStyle w:val="Heading5"/>
      </w:pPr>
      <w:r>
        <w:t xml:space="preserve">一、权威</w:t>
      </w:r>
    </w:p>
    <w:p>
      <w:pPr>
        <w:pStyle w:val="FirstParagraph"/>
      </w:pPr>
      <w:r>
        <w:t xml:space="preserve">「人类社会若没有一些人被赋予合法的权威，以维护其制度，并在必要的范围内致力于工作，照顾众人的福祉，就既不可能秩序井然，也不可能繁荣兴盛。」</w:t>
      </w:r>
      <w:r>
        <w:rPr>
          <w:rStyle w:val="FootnoteReference"/>
        </w:rPr>
        <w:footnoteReference w:id="3042"/>
      </w:r>
    </w:p>
    <w:p>
      <w:pPr>
        <w:pStyle w:val="BodyText"/>
      </w:pPr>
      <w:r>
        <w:t xml:space="preserve">所谓「权威」，是指凭借某种资格，使人或机构能够制定法律、向人发出命令，并期待人顺服。</w:t>
      </w:r>
    </w:p>
    <w:p>
      <w:pPr>
        <w:pStyle w:val="BodyText"/>
      </w:pPr>
      <w:r>
        <w:t xml:space="preserve">道德秩序所要求的权威源自神：「在上有权柄的，人人当顺服他；因为没有权柄不是出于神的，凡掌权的都是神所命的。所以抗拒掌权的就是抗拒神的命；抗拒的必自取刑罚。」</w:t>
      </w:r>
      <w:r>
        <w:rPr>
          <w:rStyle w:val="FootnoteReference"/>
        </w:rPr>
        <w:footnoteReference w:id="3043"/>
      </w:r>
    </w:p>
    <w:p>
      <w:pPr>
        <w:pStyle w:val="BodyText"/>
      </w:pPr>
      <w:r>
        <w:t xml:space="preserve">顺服的义务要求众人向权威给予应有的尊荣，并以尊重对待那些负责行使权威的人；在其配得之处，也要以感恩与善意对待他们。</w:t>
      </w:r>
    </w:p>
    <w:p>
      <w:pPr>
        <w:pStyle w:val="BlockText"/>
      </w:pPr>
      <w:r>
        <w:t xml:space="preserve">教宗圣革利免一世提供了教会最古老的为政治掌权者祈祷的经文：「主啊，求你赐给他们健康、平安、和睦与稳定，使他们能无过地行使你赐给他们的权柄。主宰，诸世的天上君王啊，你把荣耀、尊贵与地上事物的权势赐给世人。主啊，求你引导他们的谋略，使之符合你眼中所喜悦、所悦纳的事，好叫他们虔敬地、在和平与温柔中行使你赐给他们的权力，从而蒙你喜悦。」</w:t>
      </w:r>
      <w:r>
        <w:rPr>
          <w:rStyle w:val="FootnoteReference"/>
        </w:rPr>
        <w:footnoteReference w:id="3044"/>
      </w:r>
    </w:p>
    <w:p>
      <w:pPr>
        <w:pStyle w:val="FirstParagraph"/>
      </w:pPr>
      <w:r>
        <w:t xml:space="preserve">既然权威属于神所建立的秩序，那么「政治制度的选择和掌权者的任命，应由公民自由决定。」</w:t>
      </w:r>
      <w:r>
        <w:rPr>
          <w:rStyle w:val="FootnoteReference"/>
        </w:rPr>
        <w:footnoteReference w:id="3045"/>
      </w:r>
      <w:r>
        <w:t xml:space="preserve">只要政治制度服务于采纳它们的团体之正当利益，制度的多样性在道德上就是可接受的。那些本性上违背自然法、公共秩序，以及人的基本权利的制度，不能实现强加在其上的民族的公益。</w:t>
      </w:r>
    </w:p>
    <w:p>
      <w:pPr>
        <w:pStyle w:val="BodyText"/>
      </w:pPr>
      <w:r>
        <w:t xml:space="preserve">权威的道德正当性不来自它自身。它不可专断行事，而必须为公益行动，作为「以自由和责任感为基础的道德力量」。</w:t>
      </w:r>
      <w:r>
        <w:rPr>
          <w:rStyle w:val="FootnoteReference"/>
        </w:rPr>
        <w:footnoteReference w:id="3046"/>
      </w:r>
    </w:p>
    <w:p>
      <w:pPr>
        <w:pStyle w:val="BlockText"/>
      </w:pPr>
      <w:r>
        <w:t xml:space="preserve">人间的法律在其符合正当理性之处，才具有法律的性质，并因此源自永恒的律法；在其背离正当理性之处，它就被称为不公义的法律，因此与其说它有法律的性质，不如说它更像一种暴力。</w:t>
      </w:r>
      <w:r>
        <w:rPr>
          <w:rStyle w:val="FootnoteReference"/>
        </w:rPr>
        <w:footnoteReference w:id="3047"/>
      </w:r>
    </w:p>
    <w:p>
      <w:pPr>
        <w:pStyle w:val="FirstParagraph"/>
      </w:pPr>
      <w:r>
        <w:t xml:space="preserve">权威只有在追求相关团体的公益，并且采用道德上许可的手段来达到这一目的时，才是合法地行使。若掌权者制定不公义的法律，或采取违背道德秩序的措施，这些安排就不会在良知上具有约束力。在这种情况下，「权威会完全崩坏，并导致可耻的滥用。」</w:t>
      </w:r>
      <w:r>
        <w:rPr>
          <w:rStyle w:val="FootnoteReference"/>
        </w:rPr>
        <w:footnoteReference w:id="3048"/>
      </w:r>
    </w:p>
    <w:p>
      <w:pPr>
        <w:pStyle w:val="BodyText"/>
      </w:pPr>
      <w:r>
        <w:t xml:space="preserve">「最好让每一种权力都能由其他权力及其他责任范围来制衡，使它保持在适当的界限之内。这就是『法治』原则：由法律作主，而不是由人的任意意志作主。」</w:t>
      </w:r>
      <w:r>
        <w:rPr>
          <w:rStyle w:val="FootnoteReference"/>
        </w:rPr>
        <w:footnoteReference w:id="3049"/>
      </w:r>
    </w:p>
    <w:bookmarkEnd w:id="3050"/>
    <w:bookmarkStart w:id="3057" w:name="二公益"/>
    <w:p>
      <w:pPr>
        <w:pStyle w:val="Heading5"/>
      </w:pPr>
      <w:r>
        <w:t xml:space="preserve">二、公益</w:t>
      </w:r>
    </w:p>
    <w:p>
      <w:pPr>
        <w:pStyle w:val="FirstParagraph"/>
      </w:pPr>
      <w:r>
        <w:t xml:space="preserve">鉴于人的社会性，每个人的益处必然与公益相关；而公益反过来也只能以人的位格为参照来界定：</w:t>
      </w:r>
    </w:p>
    <w:p>
      <w:pPr>
        <w:pStyle w:val="BlockText"/>
      </w:pPr>
      <w:r>
        <w:t xml:space="preserve">不要完全与人隔绝，把自己退回到自己里面，好像你们已经称义了；相反，要聚集起来，一同寻求公益。</w:t>
      </w:r>
      <w:r>
        <w:rPr>
          <w:rStyle w:val="FootnoteReference"/>
        </w:rPr>
        <w:footnoteReference w:id="3051"/>
      </w:r>
    </w:p>
    <w:p>
      <w:pPr>
        <w:pStyle w:val="FirstParagraph"/>
      </w:pPr>
      <w:r>
        <w:t xml:space="preserve">「使人无论以团体或以个人，都能更充分、更容易地达到圆满的一切社会条件的总和」，称为公益。</w:t>
      </w:r>
      <w:r>
        <w:rPr>
          <w:rStyle w:val="FootnoteReference"/>
        </w:rPr>
        <w:footnoteReference w:id="3052"/>
      </w:r>
      <w:r>
        <w:t xml:space="preserve">公益关乎所有人的生活。它要求每个人都具备谨慎之德，尤其要求那些担任权威职务的人更应如此。公益包含三个基本要素：</w:t>
      </w:r>
    </w:p>
    <w:p>
      <w:pPr>
        <w:pStyle w:val="BodyText"/>
      </w:pPr>
      <w:r>
        <w:t xml:space="preserve">第一，公益以尊重人的位格为前提。为了公益的缘故，公共当局有义务尊重人的基本且不可剥夺的权利。社会应当让每个成员都能实现自己的圣召。尤其是，公益存在于那些使人能行使自然自由的条件中；这些自然自由对人成全其圣召不可或缺，例如「按正当良知的规范行事，并维护……个人隐私的权利，以及在宗教事务上也应有的正当自由」。</w:t>
      </w:r>
      <w:r>
        <w:rPr>
          <w:rStyle w:val="FootnoteReference"/>
        </w:rPr>
        <w:footnoteReference w:id="3053"/>
      </w:r>
    </w:p>
    <w:p>
      <w:pPr>
        <w:pStyle w:val="BodyText"/>
      </w:pPr>
      <w:r>
        <w:t xml:space="preserve">第二，公益要求团体本身的社会福祉与发展。发展是所有社会责任的集中体现。权威应当使每个人都能获得真正合乎人性的生活所需要的一切：食物、衣服、健康、工作、教育与文化、适当的信息、建立家庭的权利，等等。</w:t>
      </w:r>
      <w:r>
        <w:rPr>
          <w:rStyle w:val="FootnoteReference"/>
        </w:rPr>
        <w:footnoteReference w:id="3054"/>
      </w:r>
    </w:p>
    <w:p>
      <w:pPr>
        <w:pStyle w:val="BodyText"/>
      </w:pPr>
      <w:r>
        <w:t xml:space="preserve">最后，公益要求和平，也就是公义秩序的稳定与安全。它以权威应当用道德上可接受的方式，保障社会及其成员的安全为前提。这是合法的个人与集体防卫权的基础。</w:t>
      </w:r>
    </w:p>
    <w:p>
      <w:pPr>
        <w:pStyle w:val="BodyText"/>
      </w:pPr>
      <w:r>
        <w:t xml:space="preserve">每个人类团体都具有一种公益，使它能被识别为一个团体；而公益最完整的实现，是在政治团体中。国家的角色是维护并促进公民社会、其公民以及中介团体的公益。</w:t>
      </w:r>
    </w:p>
    <w:p>
      <w:pPr>
        <w:pStyle w:val="BodyText"/>
      </w:pPr>
      <w:r>
        <w:t xml:space="preserve">人类彼此依存不断增加，并逐步扩展到全世界。人类家庭的合一——它包含享有同等自然尊严的各民族——意味着一种普遍的公益。这公益要求国际团体具备一种组织，能够「照顾人的各种需要；这将涉及属于社会生活范围的领域，例如食物、卫生、教育……以及某些在不同地方发生的处境，比如……减轻分散在世界各地的难民的苦难，并协助移民及其家庭。」</w:t>
      </w:r>
      <w:r>
        <w:rPr>
          <w:rStyle w:val="FootnoteReference"/>
        </w:rPr>
        <w:footnoteReference w:id="3055"/>
      </w:r>
    </w:p>
    <w:p>
      <w:pPr>
        <w:pStyle w:val="BodyText"/>
      </w:pPr>
      <w:r>
        <w:t xml:space="preserve">公益总是指向人的进步：「事物的秩序必须从属于人的秩序，而不是反过来。」</w:t>
      </w:r>
      <w:r>
        <w:rPr>
          <w:rStyle w:val="FootnoteReference"/>
        </w:rPr>
        <w:footnoteReference w:id="3056"/>
      </w:r>
      <w:r>
        <w:t xml:space="preserve">这秩序奠基于真理，以公义建立，并由爱推动。</w:t>
      </w:r>
    </w:p>
    <w:bookmarkEnd w:id="3057"/>
    <w:bookmarkStart w:id="3063" w:name="三责任与参与"/>
    <w:p>
      <w:pPr>
        <w:pStyle w:val="Heading5"/>
      </w:pPr>
      <w:r>
        <w:t xml:space="preserve">三、责任与参与</w:t>
      </w:r>
    </w:p>
    <w:p>
      <w:pPr>
        <w:pStyle w:val="FirstParagraph"/>
      </w:pPr>
      <w:r>
        <w:t xml:space="preserve">「参与」是人自愿而慷慨地投入社会交流。众人都必须按各自的地位与角色参与，来促进公益。这义务内在于人的尊严。</w:t>
      </w:r>
      <w:r>
        <w:rPr>
          <w:rStyle w:val="FootnoteReference"/>
        </w:rPr>
        <w:footnoteReference w:id="3058"/>
      </w:r>
    </w:p>
    <w:p>
      <w:pPr>
        <w:pStyle w:val="BodyText"/>
      </w:pPr>
      <w:r>
        <w:t xml:space="preserve">参与首先是借着承担自己个人负责的领域而实现：例如照顾家庭教育、认真工作，等等；人借此参与他人和社会的益处。</w:t>
      </w:r>
      <w:r>
        <w:rPr>
          <w:rStyle w:val="FootnoteReference"/>
        </w:rPr>
        <w:footnoteReference w:id="3059"/>
      </w:r>
    </w:p>
    <w:p>
      <w:pPr>
        <w:pStyle w:val="BodyText"/>
      </w:pPr>
      <w:r>
        <w:t xml:space="preserve">在可能的范围内，公民应当积极参与公共生活。参与的方式会因国家或文化而异。「应当赞赏那些制度能让尽可能多公民在真正自由的氛围中参与公共生活的国家。」</w:t>
      </w:r>
      <w:r>
        <w:rPr>
          <w:rStyle w:val="FootnoteReference"/>
        </w:rPr>
        <w:footnoteReference w:id="3060"/>
      </w:r>
    </w:p>
    <w:p>
      <w:pPr>
        <w:pStyle w:val="BodyText"/>
      </w:pPr>
      <w:r>
        <w:t xml:space="preserve">众人参与实现公益，要求社会参与者持续更新的归正。欺诈以及其他规避手段，使一些人逃避法律约束和社会义务的规定，必须坚决谴责，因为它们与公义的要求不相容。也应当大力促进能改善人类生活条件的制度。</w:t>
      </w:r>
      <w:r>
        <w:rPr>
          <w:rStyle w:val="FootnoteReference"/>
        </w:rPr>
        <w:footnoteReference w:id="3061"/>
      </w:r>
    </w:p>
    <w:p>
      <w:pPr>
        <w:pStyle w:val="BodyText"/>
      </w:pPr>
      <w:r>
        <w:t xml:space="preserve">行使权威的人有责任坚固那些能激发团体成员信任的价值，并鼓励他们把自己投入为他人服务。参与始于教育与文化。「人有理由认为，人类的未来掌握在那些能为后代提供生活理由与乐观精神的人手中。」</w:t>
      </w:r>
      <w:r>
        <w:rPr>
          <w:rStyle w:val="FootnoteReference"/>
        </w:rPr>
        <w:footnoteReference w:id="3062"/>
      </w:r>
    </w:p>
    <w:bookmarkEnd w:id="3063"/>
    <w:bookmarkStart w:id="3067" w:name="综述-50"/>
    <w:p>
      <w:pPr>
        <w:pStyle w:val="Heading5"/>
      </w:pPr>
      <w:r>
        <w:t xml:space="preserve">综述</w:t>
      </w:r>
    </w:p>
    <w:p>
      <w:pPr>
        <w:pStyle w:val="FirstParagraph"/>
      </w:pPr>
      <w:r>
        <w:t xml:space="preserve">「因为没有权柄不是出于神的；凡掌权的都是神所命的。」</w:t>
      </w:r>
      <w:r>
        <w:rPr>
          <w:rStyle w:val="FootnoteReference"/>
        </w:rPr>
        <w:footnoteReference w:id="3064"/>
      </w:r>
    </w:p>
    <w:p>
      <w:pPr>
        <w:pStyle w:val="BodyText"/>
      </w:pPr>
      <w:r>
        <w:t xml:space="preserve">每个人类团体都需要权威，才能持续并发展。</w:t>
      </w:r>
    </w:p>
    <w:p>
      <w:pPr>
        <w:pStyle w:val="BodyText"/>
      </w:pPr>
      <w:r>
        <w:t xml:space="preserve">「政治团体与公共权威是基于人性，因此……属于神所建立的秩序。」</w:t>
      </w:r>
      <w:r>
        <w:rPr>
          <w:rStyle w:val="FootnoteReference"/>
        </w:rPr>
        <w:footnoteReference w:id="3065"/>
      </w:r>
    </w:p>
    <w:p>
      <w:pPr>
        <w:pStyle w:val="BodyText"/>
      </w:pPr>
      <w:r>
        <w:t xml:space="preserve">权威若致力于社会的公益，就是合法地行使。为达成此目的，它必须采用道德上可接受的手段。</w:t>
      </w:r>
    </w:p>
    <w:p>
      <w:pPr>
        <w:pStyle w:val="BodyText"/>
      </w:pPr>
      <w:r>
        <w:t xml:space="preserve">政治制度的多样性是正当的，只要它们有助于团体的益处。</w:t>
      </w:r>
    </w:p>
    <w:p>
      <w:pPr>
        <w:pStyle w:val="BodyText"/>
      </w:pPr>
      <w:r>
        <w:t xml:space="preserve">政治权威必须在道德秩序的界限内行使，并必须保障行使自由所需的条件。</w:t>
      </w:r>
    </w:p>
    <w:p>
      <w:pPr>
        <w:pStyle w:val="BodyText"/>
      </w:pPr>
      <w:r>
        <w:t xml:space="preserve">公益包含「使人无论以团体或以个人，都能更充分、更容易地达到圆满的一切社会条件的总和」。</w:t>
      </w:r>
      <w:r>
        <w:rPr>
          <w:rStyle w:val="FootnoteReference"/>
        </w:rPr>
        <w:footnoteReference w:id="3066"/>
      </w:r>
    </w:p>
    <w:p>
      <w:pPr>
        <w:pStyle w:val="BodyText"/>
      </w:pPr>
      <w:r>
        <w:t xml:space="preserve">公益包含三个基本要素：尊重并促进人的基本权利；繁荣，也就是社会的属灵与现世之善的发展；以及团体及其成员的和平与安全。</w:t>
      </w:r>
    </w:p>
    <w:p>
      <w:pPr>
        <w:pStyle w:val="BodyText"/>
      </w:pPr>
      <w:r>
        <w:t xml:space="preserve">人的尊严要求人追求公益。每个人都应当关心建立并支持能改善人类生活条件的制度。</w:t>
      </w:r>
    </w:p>
    <w:p>
      <w:pPr>
        <w:pStyle w:val="BodyText"/>
      </w:pPr>
      <w:r>
        <w:t xml:space="preserve">国家的角色是维护并促进公民社会的公益。整个人类家庭的公益要求在国际层面上对社会作出组织安排。</w:t>
      </w:r>
    </w:p>
    <w:p>
      <w:r>
        <w:br w:type="page"/>
      </w:r>
    </w:p>
    <w:bookmarkEnd w:id="3067"/>
    <w:bookmarkEnd w:id="3068"/>
    <w:bookmarkStart w:id="3087" w:name="第三条社会公义"/>
    <w:p>
      <w:pPr>
        <w:pStyle w:val="Heading4"/>
      </w:pPr>
      <w:r>
        <w:t xml:space="preserve">第三条：社会公义</w:t>
      </w:r>
    </w:p>
    <w:bookmarkStart w:id="3074" w:name="一尊重人的位格"/>
    <w:p>
      <w:pPr>
        <w:pStyle w:val="Heading5"/>
      </w:pPr>
      <w:r>
        <w:t xml:space="preserve">一、尊重人的位格</w:t>
      </w:r>
    </w:p>
    <w:p>
      <w:pPr>
        <w:pStyle w:val="FirstParagraph"/>
      </w:pPr>
      <w:r>
        <w:t xml:space="preserve">当社会提供条件，使团体或个人能按其本性与其圣召获得其应得之物时，社会就实现社会公义。社会公义与公益以及权威的行使相连。</w:t>
      </w:r>
    </w:p>
    <w:p>
      <w:pPr>
        <w:pStyle w:val="BodyText"/>
      </w:pPr>
      <w:r>
        <w:t xml:space="preserve">社会公义唯有在尊重人那超越性的尊严中才能实现。人是社会的终极目的，社会的秩序是指向他的：</w:t>
      </w:r>
    </w:p>
    <w:p>
      <w:pPr>
        <w:pStyle w:val="BlockText"/>
      </w:pPr>
      <w:r>
        <w:t xml:space="preserve">关键在于人的尊严；造物主把捍卫并促进人的尊严托付给我们，而历史每一时刻的男女都严格地、并且负责任地欠着人的尊严。</w:t>
      </w:r>
      <w:r>
        <w:rPr>
          <w:rStyle w:val="FootnoteReference"/>
        </w:rPr>
        <w:footnoteReference w:id="3069"/>
      </w:r>
    </w:p>
    <w:p>
      <w:pPr>
        <w:pStyle w:val="FirstParagraph"/>
      </w:pPr>
      <w:r>
        <w:t xml:space="preserve">尊重人的位格，意味着尊重那些从他作为受造物之尊严所流出的权利。这些权利先于社会，并且必须为社会所承认。它们是一切权威之道德正当性的基础：若社会践踏这些权利，或拒绝在其成文法中承认它们，就会破坏自身的道德正当性。</w:t>
      </w:r>
      <w:r>
        <w:rPr>
          <w:rStyle w:val="FootnoteReference"/>
        </w:rPr>
        <w:footnoteReference w:id="3070"/>
      </w:r>
      <w:r>
        <w:t xml:space="preserve">如果社会不尊重这些权利，权威就只能依靠武力或暴力来让属下顺服。教会的角色，是提醒善意的人这些权利，并把它们与不正当或虚假的主张区分开来。</w:t>
      </w:r>
    </w:p>
    <w:p>
      <w:pPr>
        <w:pStyle w:val="BodyText"/>
      </w:pPr>
      <w:r>
        <w:t xml:space="preserve">尊重人的位格，要通过尊重这样一条原则来实行：「每个人都应当把邻人（毫无例外）看作『另一个自己』，首先要顾念他的生命，以及使他能有尊严地生活所需要的一切。」</w:t>
      </w:r>
      <w:r>
        <w:rPr>
          <w:rStyle w:val="FootnoteReference"/>
        </w:rPr>
        <w:footnoteReference w:id="3071"/>
      </w:r>
      <w:r>
        <w:t xml:space="preserve">任何立法本身都不能消除那些阻碍建立真正弟兄社会的恐惧、偏见，以及骄傲和自私的态度。只有借着仁爱，这样的行为才会止息；因为仁爱在每个人身上都看见一个「邻舍」，一个弟兄。</w:t>
      </w:r>
    </w:p>
    <w:p>
      <w:pPr>
        <w:pStyle w:val="BodyText"/>
      </w:pPr>
      <w:r>
        <w:t xml:space="preserve">当涉及处于不利地位的人时——无论在哪个领域——使自己成为他人邻舍并积极服务他们的义务就更为迫切。「我实在告诉你们，这些事你们既做在我这弟兄中一个最小的身上，就是做在我身上了。」</w:t>
      </w:r>
      <w:r>
        <w:rPr>
          <w:rStyle w:val="FootnoteReference"/>
        </w:rPr>
        <w:footnoteReference w:id="3072"/>
      </w:r>
    </w:p>
    <w:p>
      <w:pPr>
        <w:pStyle w:val="BodyText"/>
      </w:pPr>
      <w:r>
        <w:t xml:space="preserve">同样的义务也延伸到那些思想或行为与我们不同的人。基督的教导甚至要求宽恕冒犯。他把爱之诫命——也就是新律法的诫命——扩展到所有仇敌。</w:t>
      </w:r>
      <w:r>
        <w:rPr>
          <w:rStyle w:val="FootnoteReference"/>
        </w:rPr>
        <w:footnoteReference w:id="3073"/>
      </w:r>
      <w:r>
        <w:t xml:space="preserve">按福音精神的解放，与把仇敌当作人而去恨他不相容；但与憎恨他作为仇敌所行的恶并不矛盾。</w:t>
      </w:r>
    </w:p>
    <w:bookmarkEnd w:id="3074"/>
    <w:bookmarkStart w:id="3080" w:name="二人之间的平等与差异"/>
    <w:p>
      <w:pPr>
        <w:pStyle w:val="Heading5"/>
      </w:pPr>
      <w:r>
        <w:t xml:space="preserve">二、人之间的平等与差异</w:t>
      </w:r>
    </w:p>
    <w:p>
      <w:pPr>
        <w:pStyle w:val="FirstParagraph"/>
      </w:pPr>
      <w:r>
        <w:t xml:space="preserve">人既按独一神的形象受造，也同样具有理性的灵魂，所以所有人有同一的本性与同一的起源。所有人既由基督的祭献所救赎，就都蒙召分享同一的福乐；因此，所有人都享有同等的尊严。</w:t>
      </w:r>
    </w:p>
    <w:p>
      <w:pPr>
        <w:pStyle w:val="BodyText"/>
      </w:pPr>
      <w:r>
        <w:t xml:space="preserve">人的平等本质上基于他们作为位格的尊严，以及从这尊严所流出的权利：</w:t>
      </w:r>
    </w:p>
    <w:p>
      <w:pPr>
        <w:pStyle w:val="BlockText"/>
      </w:pPr>
      <w:r>
        <w:t xml:space="preserve">任何以性别、种族、肤色、社会地位、语言或宗教为理由，而在人的基本权利上施行的社会或文化歧视，都必须加以遏止并根除，因为这与神的计划不相容。</w:t>
      </w:r>
      <w:r>
        <w:rPr>
          <w:rStyle w:val="FootnoteReference"/>
        </w:rPr>
        <w:footnoteReference w:id="3075"/>
      </w:r>
    </w:p>
    <w:p>
      <w:pPr>
        <w:pStyle w:val="FirstParagraph"/>
      </w:pPr>
      <w:r>
        <w:t xml:space="preserve">人来到世上时，并没有具备发展其身体与灵性生命所需要的一切。他需要他人。差异会与年龄、身体能力、智力或道德禀赋、从社会交往所获得的益处，以及财富的分配有关。</w:t>
      </w:r>
      <w:r>
        <w:rPr>
          <w:rStyle w:val="FootnoteReference"/>
        </w:rPr>
        <w:footnoteReference w:id="3076"/>
      </w:r>
      <w:r>
        <w:t xml:space="preserve">这些「银子」并不是平均分配的。</w:t>
      </w:r>
      <w:r>
        <w:rPr>
          <w:rStyle w:val="FootnoteReference"/>
        </w:rPr>
        <w:footnoteReference w:id="3077"/>
      </w:r>
    </w:p>
    <w:p>
      <w:pPr>
        <w:pStyle w:val="BodyText"/>
      </w:pPr>
      <w:r>
        <w:t xml:space="preserve">这些差异属于神的计划；神愿意每个人都从他人那里领受自己所需要的，也愿意那些领受了特殊「银子」的人，把这些益处分享给有需要的人。这些差异鼓励人，而且常常也要求人操练慷慨、恩慈与分享财物；它们促进文化之间的彼此丰富：</w:t>
      </w:r>
    </w:p>
    <w:p>
      <w:pPr>
        <w:pStyle w:val="BlockText"/>
      </w:pPr>
      <w:r>
        <w:t xml:space="preserve">我以非常不同的方式分配德行；我不是把一切都赐给每一个人，而是把一些赐给这个人，把另一些赐给那个人……我主要把仁爱赐给一个人，把公义赐给另一个人；把谦卑赐给这个人，把活的信心赐给那个人……因此，我以如此多样的方式赐下许多恩赐与恩典，包括属灵的和现世的；我并没有把一切都赐给同一个人，为的是使你们不得不彼此实行仁爱……我愿意一个人需要另一个人；我也愿意众人都作我的执事，把从我领受的恩典与恩赐分施出去。</w:t>
      </w:r>
      <w:r>
        <w:rPr>
          <w:rStyle w:val="FootnoteReference"/>
        </w:rPr>
        <w:footnoteReference w:id="3078"/>
      </w:r>
    </w:p>
    <w:p>
      <w:pPr>
        <w:pStyle w:val="FirstParagraph"/>
      </w:pPr>
      <w:r>
        <w:t xml:space="preserve">也存在影响数以百万计男女的、有罪的不平等。这些公开违背福音：</w:t>
      </w:r>
    </w:p>
    <w:p>
      <w:pPr>
        <w:pStyle w:val="BlockText"/>
      </w:pPr>
      <w:r>
        <w:t xml:space="preserve">人作为位格的同等尊严要求我们努力追求更公平、更合乎人性的条件。同一人类在个人与民族之间过度的经济与社会差距，是丑闻的来源，并且反对社会公义、公平、人的尊严，以及社会与国际的和平。</w:t>
      </w:r>
      <w:r>
        <w:rPr>
          <w:rStyle w:val="FootnoteReference"/>
        </w:rPr>
        <w:footnoteReference w:id="3079"/>
      </w:r>
    </w:p>
    <w:bookmarkEnd w:id="3080"/>
    <w:bookmarkStart w:id="3085" w:name="三人类的团结"/>
    <w:p>
      <w:pPr>
        <w:pStyle w:val="Heading5"/>
      </w:pPr>
      <w:r>
        <w:t xml:space="preserve">三、人类的团结</w:t>
      </w:r>
    </w:p>
    <w:p>
      <w:pPr>
        <w:pStyle w:val="FirstParagraph"/>
      </w:pPr>
      <w:r>
        <w:t xml:space="preserve">团结原则，也可用「友谊」或「社会仁爱」来表达，是人类与基督徒弟兄情谊的直接要求。</w:t>
      </w:r>
      <w:r>
        <w:rPr>
          <w:rStyle w:val="FootnoteReference"/>
        </w:rPr>
        <w:footnoteReference w:id="3081"/>
      </w:r>
    </w:p>
    <w:p>
      <w:pPr>
        <w:pStyle w:val="BlockText"/>
      </w:pPr>
      <w:r>
        <w:t xml:space="preserve">有一种「如今广泛流行的错误」，就是不顾人类团结与仁爱的律法；这律法既由我们共同的起源所要求，也由所有人不分民族、都同样具有理性本性的平等所规定并强加。这律法又由耶稣基督在十字架祭坛上向他的天父所献上的救赎祭献所印证，这是为有罪的人类而献上的。</w:t>
      </w:r>
      <w:r>
        <w:rPr>
          <w:rStyle w:val="FootnoteReference"/>
        </w:rPr>
        <w:footnoteReference w:id="3082"/>
      </w:r>
    </w:p>
    <w:p>
      <w:pPr>
        <w:pStyle w:val="FirstParagraph"/>
      </w:pPr>
      <w:r>
        <w:t xml:space="preserve">团结首先表现在财物的分配与工作的报酬上。它也要求为更公义的社会秩序而努力，使紧张更能缓解，使冲突更容易借着谈判解决。</w:t>
      </w:r>
    </w:p>
    <w:p>
      <w:pPr>
        <w:pStyle w:val="BodyText"/>
      </w:pPr>
      <w:r>
        <w:t xml:space="preserve">社会经济问题只能在一切形式的团结帮助下解决：穷人彼此之间的团结、富人和穷人之间的团结、工人彼此之间的团结、企业中雇主与雇员之间的团结、各国与各民族之间的团结。国际团结是道德秩序的要求；世界和平在某种程度上取决于此。</w:t>
      </w:r>
    </w:p>
    <w:p>
      <w:pPr>
        <w:pStyle w:val="BodyText"/>
      </w:pPr>
      <w:r>
        <w:t xml:space="preserve">团结之德超越物质财物。在传播信仰的属灵宝藏时，教会促进了现世福祉的发展，并且常常为此开辟新道路。因此，主的话在历史中不断得到印证：「你们要先求他的国和他的义，这些东西都要加给你们了。」</w:t>
      </w:r>
      <w:r>
        <w:rPr>
          <w:rStyle w:val="FootnoteReference"/>
        </w:rPr>
        <w:footnoteReference w:id="3083"/>
      </w:r>
    </w:p>
    <w:p>
      <w:pPr>
        <w:pStyle w:val="BlockText"/>
      </w:pPr>
      <w:r>
        <w:t xml:space="preserve">两千年来，这种情感一直活在教会的灵魂里，并且延续至今；它推动着那时和今日的灵魂，投身于英勇的仁爱：修会的农夫、解放奴隶者、医治病人的人，以及为着创造一种能为所有人提供尽可能合乎人性与合乎基督徒之生活条件的社会处境，而向所有世代与万民传递信仰、文明与科学的使者。</w:t>
      </w:r>
      <w:r>
        <w:rPr>
          <w:rStyle w:val="FootnoteReference"/>
        </w:rPr>
        <w:footnoteReference w:id="3084"/>
      </w:r>
    </w:p>
    <w:bookmarkEnd w:id="3085"/>
    <w:bookmarkStart w:id="3086" w:name="综述-51"/>
    <w:p>
      <w:pPr>
        <w:pStyle w:val="Heading5"/>
      </w:pPr>
      <w:r>
        <w:t xml:space="preserve">综述</w:t>
      </w:r>
    </w:p>
    <w:p>
      <w:pPr>
        <w:pStyle w:val="FirstParagraph"/>
      </w:pPr>
      <w:r>
        <w:t xml:space="preserve">社会借着提供条件，使团体与个人能获得其应得之物，从而实现社会公义。</w:t>
      </w:r>
    </w:p>
    <w:p>
      <w:pPr>
        <w:pStyle w:val="BodyText"/>
      </w:pPr>
      <w:r>
        <w:t xml:space="preserve">尊重人的位格，就是把他人看作「另一个自己」。这预设尊重那些从位格内在尊严所流出的基本权利。</w:t>
      </w:r>
    </w:p>
    <w:p>
      <w:pPr>
        <w:pStyle w:val="BodyText"/>
      </w:pPr>
      <w:r>
        <w:t xml:space="preserve">人的平等关乎他们作为位格的尊严，以及从这尊严所流出的权利。</w:t>
      </w:r>
    </w:p>
    <w:p>
      <w:pPr>
        <w:pStyle w:val="BodyText"/>
      </w:pPr>
      <w:r>
        <w:t xml:space="preserve">人与人之间的差异属于神的计划；神愿意我们彼此需要。这些差异应当鼓励仁爱。</w:t>
      </w:r>
    </w:p>
    <w:p>
      <w:pPr>
        <w:pStyle w:val="BodyText"/>
      </w:pPr>
      <w:r>
        <w:t xml:space="preserve">人的位格同等的尊严要求人努力减少过度的社会和经济不平等，也使人更迫切地要消除那些有罪的不平等。</w:t>
      </w:r>
    </w:p>
    <w:p>
      <w:pPr>
        <w:pStyle w:val="BodyText"/>
      </w:pPr>
      <w:r>
        <w:t xml:space="preserve">团结是一种非常基督徒的德行。它分享属灵的恩惠，甚至比分享物质的财物更重要。</w:t>
      </w:r>
    </w:p>
    <w:p>
      <w:r>
        <w:br w:type="page"/>
      </w:r>
    </w:p>
    <w:bookmarkEnd w:id="3086"/>
    <w:bookmarkEnd w:id="3087"/>
    <w:bookmarkEnd w:id="3088"/>
    <w:bookmarkStart w:id="3190" w:name="第三章神的救恩律法与恩典"/>
    <w:p>
      <w:pPr>
        <w:pStyle w:val="Heading3"/>
      </w:pPr>
      <w:r>
        <w:t xml:space="preserve">第三章：神的救恩：律法与恩典</w:t>
      </w:r>
    </w:p>
    <w:p>
      <w:pPr>
        <w:pStyle w:val="FirstParagraph"/>
      </w:pPr>
      <w:r>
        <w:t xml:space="preserve">人蒙召进入福乐，却因罪而受伤，因此需要从神而来的救恩。神的帮助藉着基督临到他：藉着引导他的律法，也藉着扶持他的恩典：</w:t>
      </w:r>
    </w:p>
    <w:p>
      <w:pPr>
        <w:pStyle w:val="BlockText"/>
      </w:pPr>
      <w:r>
        <w:t xml:space="preserve">这样看来，我亲爱的弟兄，你们既是常顺服的，不但我在你们那里，就是我如今不在你们那里，更是顺服的，就当恐惧战兢，做成你们得救的工夫。因为你们立志行事都是神在你们心里运行，为要成就他的美意。</w:t>
      </w:r>
      <w:r>
        <w:rPr>
          <w:rStyle w:val="FootnoteReference"/>
        </w:rPr>
        <w:footnoteReference w:id="3089"/>
      </w:r>
    </w:p>
    <w:p>
      <w:r>
        <w:br w:type="page"/>
      </w:r>
    </w:p>
    <w:bookmarkStart w:id="3126" w:name="第一条道德律法"/>
    <w:p>
      <w:pPr>
        <w:pStyle w:val="Heading4"/>
      </w:pPr>
      <w:r>
        <w:t xml:space="preserve">第一条：道德律法</w:t>
      </w:r>
    </w:p>
    <w:bookmarkStart w:id="3093" w:name="一道德律法"/>
    <w:p>
      <w:pPr>
        <w:pStyle w:val="Heading5"/>
      </w:pPr>
      <w:r>
        <w:t xml:space="preserve">一、道德律法</w:t>
      </w:r>
    </w:p>
    <w:p>
      <w:pPr>
        <w:pStyle w:val="FirstParagraph"/>
      </w:pPr>
      <w:r>
        <w:t xml:space="preserve">道德律法是神的智慧之工作。它在圣经中的意义可以界定为父亲式的教导，也就是神的教育法。它为人规定道路与行为规范，使人走向应许的福乐；它也禁止恶的道路，因为这些道路使人背离神和他对人的爱。它在诫命上坚定，在应许上又可爱。</w:t>
      </w:r>
    </w:p>
    <w:p>
      <w:pPr>
        <w:pStyle w:val="BodyText"/>
      </w:pPr>
      <w:r>
        <w:t xml:space="preserve">律法是由有权的权威为了公益而制定的行为规范。道德律法以理性的秩序为前提；这秩序由造物主的能力、智慧和良善建立在受造物中，为了它们的益处，并为了服务它们的终极目的。一切律法的最初与最终的真理都在永恒律法中。律法由理性宣告并建立，作为活着的神——万有的造物主和救赎主——之护理的参与。「这种理性的规定就称为律法。」</w:t>
      </w:r>
      <w:r>
        <w:rPr>
          <w:rStyle w:val="FootnoteReference"/>
        </w:rPr>
        <w:footnoteReference w:id="3090"/>
      </w:r>
    </w:p>
    <w:p>
      <w:pPr>
        <w:pStyle w:val="BlockText"/>
      </w:pPr>
      <w:r>
        <w:t xml:space="preserve">在一切有生命的受造物中，唯有人能自夸自己被算为配得从神领受律法：他既是有理性的动物，能够理解与辨别，就应当借着自由与理性来治理自己的行为，顺服那位把一切托付给他的。</w:t>
      </w:r>
      <w:r>
        <w:rPr>
          <w:rStyle w:val="FootnoteReference"/>
        </w:rPr>
        <w:footnoteReference w:id="3091"/>
      </w:r>
    </w:p>
    <w:p>
      <w:pPr>
        <w:pStyle w:val="FirstParagraph"/>
      </w:pPr>
      <w:r>
        <w:t xml:space="preserve">道德律法有不同的表达形式，彼此都相互关联：永恒律法——一切律法在神里面的源头；自然律；启示律法，包括旧律法与新律法，也就是福音律法；最后，还有民法与教会法律。</w:t>
      </w:r>
    </w:p>
    <w:p>
      <w:pPr>
        <w:pStyle w:val="BodyText"/>
      </w:pPr>
      <w:r>
        <w:t xml:space="preserve">道德律法在基督里得到圆满，并在基督里具有合一。耶稣基督本身就是成全之路。他是律法的总结，因为唯有他教导并赐下神的义：「律法的总结就是基督，使凡信他的都得着义。」</w:t>
      </w:r>
      <w:r>
        <w:rPr>
          <w:rStyle w:val="FootnoteReference"/>
        </w:rPr>
        <w:footnoteReference w:id="3092"/>
      </w:r>
    </w:p>
    <w:bookmarkEnd w:id="3093"/>
    <w:bookmarkStart w:id="3099" w:name="二自然道德律"/>
    <w:p>
      <w:pPr>
        <w:pStyle w:val="Heading5"/>
      </w:pPr>
      <w:r>
        <w:t xml:space="preserve">二、自然道德律</w:t>
      </w:r>
    </w:p>
    <w:p>
      <w:pPr>
        <w:pStyle w:val="FirstParagraph"/>
      </w:pPr>
      <w:r>
        <w:t xml:space="preserve">人分享造物主的智慧与良善；造物主赐给人对自己行为的主宰权，并赐给人以真与善为目标来治理自己的能力。自然律表达那原初的道德感，使人能凭理性辨别善与恶、真与假：</w:t>
      </w:r>
    </w:p>
    <w:p>
      <w:pPr>
        <w:pStyle w:val="BlockText"/>
      </w:pPr>
      <w:r>
        <w:t xml:space="preserve">自然律写在并刻在每一个人的灵魂里，因为它是人的理性命令人行善并禁止人犯罪……但若人的理性这命令不是更高理性的声音与解释者，而我们的心灵与自由必须顺服这更高的理性，那么这命令就不会具有律法的效力。</w:t>
      </w:r>
      <w:r>
        <w:rPr>
          <w:rStyle w:val="FootnoteReference"/>
        </w:rPr>
        <w:footnoteReference w:id="3094"/>
      </w:r>
    </w:p>
    <w:p>
      <w:pPr>
        <w:pStyle w:val="FirstParagraph"/>
      </w:pPr>
      <w:r>
        <w:t xml:space="preserve">「属神的和自然的」律法给人指出当行的道路，使他能行善并达到自己的终点。自然律陈述那治理道德生活的首要且基本的诫命。它以对神的渴望与对他的顺服为枢纽——神是一切善的源头与审判者；它也以意识到他人与自己平等为枢纽。它的主要诫命表现在十诫中。这律法被称为「自然」律，并不是指它关乎无理性受造物的本性，而是因为制定它的理性本就正当地属于人性：</w:t>
      </w:r>
    </w:p>
    <w:p>
      <w:pPr>
        <w:pStyle w:val="BlockText"/>
      </w:pPr>
      <w:r>
        <w:t xml:space="preserve">那么，这些规则若不是写在我们称为真理的那光之书中，又写在哪里呢？一切公义的律法都写在其中；从它，律法进入行公义之人的心里，不是说它迁移到心里，而是说它把印记按在心里，如同印戒的印盖到蜡上，戒指并没有离开。自然律无非就是神放在我们里面的悟性之光；藉着它，我们知道我们必须做什么、必须避开什么。神在创造时就赐给人这光或这律法。</w:t>
      </w:r>
      <w:r>
        <w:rPr>
          <w:rStyle w:val="FootnoteReference"/>
        </w:rPr>
        <w:footnoteReference w:id="3095"/>
      </w:r>
    </w:p>
    <w:p>
      <w:pPr>
        <w:pStyle w:val="FirstParagraph"/>
      </w:pPr>
      <w:r>
        <w:t xml:space="preserve">自然律存在于每个人的心里，由理性建立；它的诫命是普遍的，它的权威延伸到所有人。它表达位格的尊严，并确定人的基本权利与义务的基础：</w:t>
      </w:r>
    </w:p>
    <w:p>
      <w:pPr>
        <w:pStyle w:val="BlockText"/>
      </w:pPr>
      <w:r>
        <w:t xml:space="preserve">因为确有一条真实的律法：正当理性。它符合本性，散布在众人之中，不可改变，且永恒长存；它的命令呼召人尽责，它的禁止使人远离冒犯……用相反的律法取代它是亵渎；连其中一条规定都不可不实行；没有人能把它完全废除。</w:t>
      </w:r>
      <w:r>
        <w:rPr>
          <w:rStyle w:val="FootnoteReference"/>
        </w:rPr>
        <w:footnoteReference w:id="3096"/>
      </w:r>
    </w:p>
    <w:p>
      <w:pPr>
        <w:pStyle w:val="FirstParagraph"/>
      </w:pPr>
      <w:r>
        <w:t xml:space="preserve">自然律的应用差异很大；它可能要求人在反思时顾及不同的生活条件，并按地点、时代与处境来衡量。尽管如此，在文化的多样性中，自然律仍是把人彼此约束在一起的准则，并且在不可避免的差异之外，把共同的原则加诸于人。</w:t>
      </w:r>
    </w:p>
    <w:p>
      <w:pPr>
        <w:pStyle w:val="BodyText"/>
      </w:pPr>
      <w:r>
        <w:t xml:space="preserve">自然律不可改变，并在历史的变迁中恒常存在；它在观念与风俗的流动之下仍存，并支持其进步。表达自然律的规则在本质上仍然有效。即使自然律在其原则上被拒绝，它也不能被摧毁，也不能从人心中被除去。它总会在个人与社会的生活中再度出现：</w:t>
      </w:r>
    </w:p>
    <w:p>
      <w:pPr>
        <w:pStyle w:val="BlockText"/>
      </w:pPr>
      <w:r>
        <w:t xml:space="preserve">主啊，偷盗必受你律法的刑罚，也必受那写在人的心里的律法的刑罚；就是罪恶本身也不能把这律法抹去。</w:t>
      </w:r>
      <w:r>
        <w:rPr>
          <w:rStyle w:val="FootnoteReference"/>
        </w:rPr>
        <w:footnoteReference w:id="3097"/>
      </w:r>
    </w:p>
    <w:p>
      <w:pPr>
        <w:pStyle w:val="FirstParagraph"/>
      </w:pPr>
      <w:r>
        <w:t xml:space="preserve">自然律是造物主极美的工作，它为人提供坚实的基础，使人能在其上建立道德规则的结构，以引导自己的选择。它也为建立人类团体提供不可或缺的道德基础。最后，它也为民法提供必要的基础；民法与自然律相连，要么藉着反思从其原则引出结论，要么藉着具有积极性与法律性质的补充。</w:t>
      </w:r>
    </w:p>
    <w:p>
      <w:pPr>
        <w:pStyle w:val="BodyText"/>
      </w:pPr>
      <w:r>
        <w:t xml:space="preserve">自然律的诫命并非人人都能清楚并立刻领会。在现今的处境中，有罪的人需要恩典与启示，使道德与宗教真理能「让所有人容易地、确定无疑地、且不夹杂错误地」被认识。</w:t>
      </w:r>
      <w:r>
        <w:rPr>
          <w:rStyle w:val="FootnoteReference"/>
        </w:rPr>
        <w:footnoteReference w:id="3098"/>
      </w:r>
      <w:r>
        <w:t xml:space="preserve">自然律为启示律法与恩典提供神所预备、并与圣灵工作相一致的基础。</w:t>
      </w:r>
    </w:p>
    <w:bookmarkEnd w:id="3099"/>
    <w:bookmarkStart w:id="3105" w:name="三旧律法"/>
    <w:p>
      <w:pPr>
        <w:pStyle w:val="Heading5"/>
      </w:pPr>
      <w:r>
        <w:t xml:space="preserve">三、旧律法</w:t>
      </w:r>
    </w:p>
    <w:p>
      <w:pPr>
        <w:pStyle w:val="FirstParagraph"/>
      </w:pPr>
      <w:r>
        <w:t xml:space="preserve">神——我们的造物主与救赎主——拣选以色列归他自己作子民，并把他的律法启示给他们，从而为基督的来临作准备。摩西的律法表达许多理性自然可及的真理。这些真理是在救恩之约内被陈述并得到确认的。</w:t>
      </w:r>
    </w:p>
    <w:p>
      <w:pPr>
        <w:pStyle w:val="BodyText"/>
      </w:pPr>
      <w:r>
        <w:t xml:space="preserve">旧律法是启示律法的第一阶段。它的道德诫命总结在十诫中。十诫的命令为那按神的形象被塑造的人之圣召奠定基础；它们禁止一切与爱神与爱邻人相违的事，也规定一切对爱神与爱邻人而言不可少的事。十诫是一道赐给每个人良知的光，使他认识神的呼召与道路，并保护他远离恶：</w:t>
      </w:r>
    </w:p>
    <w:p>
      <w:pPr>
        <w:pStyle w:val="BlockText"/>
      </w:pPr>
      <w:r>
        <w:t xml:space="preserve">神把人没有在心里读到的事写在律法的版上。</w:t>
      </w:r>
      <w:r>
        <w:rPr>
          <w:rStyle w:val="FootnoteReference"/>
        </w:rPr>
        <w:footnoteReference w:id="3100"/>
      </w:r>
    </w:p>
    <w:p>
      <w:pPr>
        <w:pStyle w:val="FirstParagraph"/>
      </w:pPr>
      <w:r>
        <w:t xml:space="preserve">按基督徒传统，律法是圣洁的、属灵的、良善的，</w:t>
      </w:r>
      <w:r>
        <w:rPr>
          <w:rStyle w:val="FootnoteReference"/>
        </w:rPr>
        <w:footnoteReference w:id="3101"/>
      </w:r>
      <w:r>
        <w:t xml:space="preserve">但仍不完善。它像师傅一样指出必须做什么，却不能凭自己给人力量，也不能给人成全它所需的圣灵之恩典。由于罪——它无法除去罪——它仍是一条束缚的律法。按圣保罗的说法，它特别的功能是指出并揭露罪；罪在人的心里构成一种「私欲的律」。</w:t>
      </w:r>
      <w:r>
        <w:rPr>
          <w:rStyle w:val="FootnoteReference"/>
        </w:rPr>
        <w:footnoteReference w:id="3102"/>
      </w:r>
      <w:r>
        <w:t xml:space="preserve">然而，律法仍是走向天国之路的第一阶段。它预备并引导被拣选的子民，也预备并引导每一个基督徒，使他们归正并信靠救主神。它提供一种永远长存的教导，如同神的道一样。</w:t>
      </w:r>
    </w:p>
    <w:p>
      <w:pPr>
        <w:pStyle w:val="BodyText"/>
      </w:pPr>
      <w:r>
        <w:t xml:space="preserve">旧律法是为福音作准备。「律法是对将来之事的教育法，也是预言。」</w:t>
      </w:r>
      <w:r>
        <w:rPr>
          <w:rStyle w:val="FootnoteReference"/>
        </w:rPr>
        <w:footnoteReference w:id="3103"/>
      </w:r>
      <w:r>
        <w:t xml:space="preserve">它预言并预示那将要在基督里完成的、从罪中得释放的工程；它为新约提供图像、「预表」与象征，用来表达按圣灵而活的生命。最后，律法也借着智慧书与先知的教导而得以完成；这些教导使律法走向新约与天国。</w:t>
      </w:r>
    </w:p>
    <w:p>
      <w:pPr>
        <w:pStyle w:val="BlockText"/>
      </w:pPr>
      <w:r>
        <w:t xml:space="preserve">在旧约的制度之下……也有一些人具有仁爱与圣灵的恩典，他们首先渴慕属灵与永恒的应许；借着这些应许，他们与新律法相连。反过来，在新约之下也仍有属肉体的人，他们仍远离新律法的圆满：为了激励他们行德行之事，即便在新约之下，也需要对刑罚的惧怕和某些现世的应许。无论如何，尽管旧律法规定仁爱，却不赐下圣灵；而圣灵藉着他，「神的爱浇灌在我们心里。」</w:t>
      </w:r>
      <w:r>
        <w:rPr>
          <w:rStyle w:val="FootnoteReference"/>
        </w:rPr>
        <w:footnoteReference w:id="3104"/>
      </w:r>
    </w:p>
    <w:bookmarkEnd w:id="3105"/>
    <w:bookmarkStart w:id="3121" w:name="四新律法或福音律法"/>
    <w:p>
      <w:pPr>
        <w:pStyle w:val="Heading5"/>
      </w:pPr>
      <w:r>
        <w:t xml:space="preserve">四、新律法或福音律法</w:t>
      </w:r>
    </w:p>
    <w:p>
      <w:pPr>
        <w:pStyle w:val="FirstParagraph"/>
      </w:pPr>
      <w:r>
        <w:t xml:space="preserve">新律法或福音律法，是属神的律法——自然的与启示的——在现世的圆满。它是基督的工作，尤其表现在登山宝训中。它也是圣灵的工作，藉着圣灵，它成为内在的仁爱之律：「日子将到，主说：我要与以色列家和犹大家另立新约。主又说：那些日子以后，我与以色列家所立的约乃是这样：我要将我的律法放在他们里面，写在他们心上；我要作他们的神；他们要作我的子民。」</w:t>
      </w:r>
      <w:r>
        <w:rPr>
          <w:rStyle w:val="FootnoteReference"/>
        </w:rPr>
        <w:footnoteReference w:id="3106"/>
      </w:r>
    </w:p>
    <w:p>
      <w:pPr>
        <w:pStyle w:val="BodyText"/>
      </w:pPr>
      <w:r>
        <w:t xml:space="preserve">新律法是圣灵的恩典，信徒藉着对基督的信心而领受。它藉着仁爱运行；它用登山宝训教导我们必须做什么，也借着圣事赐给我们行出来的恩典：</w:t>
      </w:r>
    </w:p>
    <w:p>
      <w:pPr>
        <w:pStyle w:val="BlockText"/>
      </w:pPr>
      <w:r>
        <w:t xml:space="preserve">若有人虔诚并明晰地默想我们的主在山上所讲的道，如同我们在马太福音中所读到的，他无疑会在其中发现……基督徒生活的完美道路……这篇讲道包含……塑造生活所需的一切诫命。</w:t>
      </w:r>
      <w:r>
        <w:rPr>
          <w:rStyle w:val="FootnoteReference"/>
        </w:rPr>
        <w:footnoteReference w:id="3107"/>
      </w:r>
    </w:p>
    <w:p>
      <w:pPr>
        <w:pStyle w:val="FirstParagraph"/>
      </w:pPr>
      <w:r>
        <w:t xml:space="preserve">福音律法「成全」、提炼、超越旧律法，并引导旧律法走向圆满。</w:t>
      </w:r>
      <w:r>
        <w:rPr>
          <w:rStyle w:val="FootnoteReference"/>
        </w:rPr>
        <w:footnoteReference w:id="3108"/>
      </w:r>
      <w:r>
        <w:t xml:space="preserve">在八福中，新律法藉着提升并引导神的应许走向「天国」而成全这些应许。它是对那些敞开、愿意以信心接受这新盼望的人说的——贫穷的人、谦卑的人、受苦的人、清心的人、为基督受逼迫的人——因此也标示出天国那令人惊讶的道路。</w:t>
      </w:r>
    </w:p>
    <w:p>
      <w:pPr>
        <w:pStyle w:val="BodyText"/>
      </w:pPr>
      <w:r>
        <w:t xml:space="preserve">福音律法成全律法的诫命。主在山上的讲道，并不是废掉或贬低旧律法的道德规定，反而释放出它们隐藏的潜能，并使新的要求从其中产生：它揭示它们全部从神而来、也关乎人的真理。它不增加新的外在诫命，却着手更新人心——这是人类行为的根；因为人在这里在洁净与污秽之间作选择，</w:t>
      </w:r>
      <w:r>
        <w:rPr>
          <w:rStyle w:val="FootnoteReference"/>
        </w:rPr>
        <w:footnoteReference w:id="3109"/>
      </w:r>
      <w:r>
        <w:t xml:space="preserve">信心、盼望与仁爱在这里被塑造，其他德行也与它们一同被塑造。因此，福音藉着效法天父的完全，藉着赦免仇敌并为逼迫者祈祷，以效法神的慷慨，使律法达到圆满。</w:t>
      </w:r>
      <w:r>
        <w:rPr>
          <w:rStyle w:val="FootnoteReference"/>
        </w:rPr>
        <w:footnoteReference w:id="3110"/>
      </w:r>
    </w:p>
    <w:p>
      <w:pPr>
        <w:pStyle w:val="BodyText"/>
      </w:pPr>
      <w:r>
        <w:t xml:space="preserve">福音律法操练宗教的行为：施舍、祈祷和禁食，并把这些行为指向「在暗中察看」的父；这与想要「故意叫人看见」相对。</w:t>
      </w:r>
      <w:r>
        <w:rPr>
          <w:rStyle w:val="FootnoteReference"/>
        </w:rPr>
        <w:footnoteReference w:id="3111"/>
      </w:r>
      <w:r>
        <w:t xml:space="preserve">它的祈祷就是主祷文。</w:t>
      </w:r>
      <w:r>
        <w:rPr>
          <w:rStyle w:val="FootnoteReference"/>
        </w:rPr>
        <w:footnoteReference w:id="3112"/>
      </w:r>
    </w:p>
    <w:p>
      <w:pPr>
        <w:pStyle w:val="BodyText"/>
      </w:pPr>
      <w:r>
        <w:t xml:space="preserve">福音律法要求我们在「两条路」之间作决定性的选择，并把主的话实行出来。</w:t>
      </w:r>
      <w:r>
        <w:rPr>
          <w:rStyle w:val="FootnoteReference"/>
        </w:rPr>
        <w:footnoteReference w:id="3113"/>
      </w:r>
      <w:r>
        <w:t xml:space="preserve">它总结在黄金法则中：「所以，无论何事，你们愿意人怎样待你们，你们也要怎样待人，因为这就是律法和先知的道理。」</w:t>
      </w:r>
      <w:r>
        <w:rPr>
          <w:rStyle w:val="FootnoteReference"/>
        </w:rPr>
        <w:footnoteReference w:id="3114"/>
      </w:r>
    </w:p>
    <w:p>
      <w:pPr>
        <w:pStyle w:val="BodyText"/>
      </w:pPr>
      <w:r>
        <w:t xml:space="preserve">福音律法的全部都包含在耶稣的「新命令」中：要彼此相爱，像他爱我们一样。</w:t>
      </w:r>
      <w:r>
        <w:rPr>
          <w:rStyle w:val="FootnoteReference"/>
        </w:rPr>
        <w:footnoteReference w:id="3115"/>
      </w:r>
    </w:p>
    <w:p>
      <w:pPr>
        <w:pStyle w:val="BodyText"/>
      </w:pPr>
      <w:r>
        <w:t xml:space="preserve">除了主在山上的讲道，也应当加上使徒教导中的道德教理讲授，例如罗马书12—15章、哥林多前书12—13章、歌罗西书3—4章、以弗所书4—5章等。这教义以使徒的权威传递主的教导，尤其是在呈现那些从对基督的信心所流出、并由仁爱推动的德行时；仁爱是圣灵最主要的恩赐：「爱人不可虚假；恶要厌恶；善要亲近。爱弟兄，要彼此亲热；恭敬人，要彼此推让。……在指望中要喜乐；在患难中要忍耐；祷告要恒切。圣徒缺乏要帮补；客要一味地款待。」</w:t>
      </w:r>
      <w:r>
        <w:rPr>
          <w:rStyle w:val="FootnoteReference"/>
        </w:rPr>
        <w:footnoteReference w:id="3116"/>
      </w:r>
      <w:r>
        <w:t xml:space="preserve">这种教理讲授也教导我们，在与基督及与教会的关系之光中处理良知的个案。</w:t>
      </w:r>
      <w:r>
        <w:rPr>
          <w:rStyle w:val="FootnoteReference"/>
        </w:rPr>
        <w:footnoteReference w:id="3117"/>
      </w:r>
    </w:p>
    <w:p>
      <w:pPr>
        <w:pStyle w:val="BodyText"/>
      </w:pPr>
      <w:r>
        <w:t xml:space="preserve">新律法被称为爱的律法，因为它使我们出于圣灵所浇注的爱而行动，而不是出于惧怕；它也被称为恩典的律法，因为它借着信心和圣事赐给我们藉恩典行事的力量；它还被称为自由的律法，因为它使我们脱离旧律法礼仪性与法律性的遵守，使我们因仁爱的催促而自发行动，并最终使我们从仆人的处境——「仆人不知道主人所做的事」——进入基督朋友的处境——「因我从我父所听见的，已经都告诉你们了」——甚至进入儿子与后嗣的地位。</w:t>
      </w:r>
      <w:r>
        <w:rPr>
          <w:rStyle w:val="FootnoteReference"/>
        </w:rPr>
        <w:footnoteReference w:id="3118"/>
      </w:r>
    </w:p>
    <w:p>
      <w:pPr>
        <w:pStyle w:val="BodyText"/>
      </w:pPr>
      <w:r>
        <w:t xml:space="preserve">除了诫命之外，新律法也包括福音劝谕。传统上对神诫命与福音劝谕的区分，是相对于仁爱而言的，因为仁爱是基督徒生活的圆满。诫命除去一切与仁爱不相容的事；劝谕的目的，是除去一切可能阻碍仁爱成长的事，即便这些事并不与仁爱相违。</w:t>
      </w:r>
      <w:r>
        <w:rPr>
          <w:rStyle w:val="FootnoteReference"/>
        </w:rPr>
        <w:footnoteReference w:id="3119"/>
      </w:r>
    </w:p>
    <w:p>
      <w:pPr>
        <w:pStyle w:val="BodyText"/>
      </w:pPr>
      <w:r>
        <w:t xml:space="preserve">福音劝谕显明仁爱活着的圆满；仁爱从不满足于不再多给一些。劝谕为仁爱的生命力作证，并唤起我们的属灵准备。新律法的圆满本质上在于爱神与爱邻人的诫命。劝谕指出更直接的道路，更便捷的方法，并且应当按各人的圣召来实践：</w:t>
      </w:r>
    </w:p>
    <w:p>
      <w:pPr>
        <w:pStyle w:val="BlockText"/>
      </w:pPr>
      <w:r>
        <w:t xml:space="preserve">神不愿意每个人都持守一切劝谕，而只愿意每个人持守那些按人的多样性、时代、机会与力量而适合的劝谕，如同仁爱所要求的；因为仁爱是众德的女王，也是一切诫命、一切劝谕，简而言之，是一切律法和一切基督徒行为的女王；正是仁爱给这一切定下它们的等级、次序、时间与价值。</w:t>
      </w:r>
      <w:r>
        <w:rPr>
          <w:rStyle w:val="FootnoteReference"/>
        </w:rPr>
        <w:footnoteReference w:id="3120"/>
      </w:r>
    </w:p>
    <w:bookmarkEnd w:id="3121"/>
    <w:bookmarkStart w:id="3125" w:name="综述-52"/>
    <w:p>
      <w:pPr>
        <w:pStyle w:val="Heading5"/>
      </w:pPr>
      <w:r>
        <w:t xml:space="preserve">综述</w:t>
      </w:r>
    </w:p>
    <w:p>
      <w:pPr>
        <w:pStyle w:val="FirstParagraph"/>
      </w:pPr>
      <w:r>
        <w:t xml:space="preserve">按圣经，律法是神对人的父亲式教导；它为人规定通向应许的福乐之道路，也禁止恶的道路。</w:t>
      </w:r>
    </w:p>
    <w:p>
      <w:pPr>
        <w:pStyle w:val="BodyText"/>
      </w:pPr>
      <w:r>
        <w:t xml:space="preserve">「律法是为公益而由负责团体的人所颁布的理性规定。」</w:t>
      </w:r>
      <w:r>
        <w:rPr>
          <w:rStyle w:val="FootnoteReference"/>
        </w:rPr>
        <w:footnoteReference w:id="3122"/>
      </w:r>
    </w:p>
    <w:p>
      <w:pPr>
        <w:pStyle w:val="BodyText"/>
      </w:pPr>
      <w:r>
        <w:t xml:space="preserve">基督是律法的总结；唯有他教导并赐下神的义。</w:t>
      </w:r>
      <w:r>
        <w:rPr>
          <w:rStyle w:val="FootnoteReference"/>
        </w:rPr>
        <w:footnoteReference w:id="3123"/>
      </w:r>
    </w:p>
    <w:p>
      <w:pPr>
        <w:pStyle w:val="BodyText"/>
      </w:pPr>
      <w:r>
        <w:t xml:space="preserve">自然律是按造物主形象被塑造的人对神的智慧与良善的参与。它表达人的尊严，并构成人的基本权利与义务的基础。</w:t>
      </w:r>
    </w:p>
    <w:p>
      <w:pPr>
        <w:pStyle w:val="BodyText"/>
      </w:pPr>
      <w:r>
        <w:t xml:space="preserve">自然律不变，并在历史中恒常存在。表达它的规则在本质上仍然有效。它是建立道德规则与民法所必需的基础。</w:t>
      </w:r>
    </w:p>
    <w:p>
      <w:pPr>
        <w:pStyle w:val="BodyText"/>
      </w:pPr>
      <w:r>
        <w:t xml:space="preserve">旧律法是启示律法的第一阶段。它的道德诫命总结在十诫中。</w:t>
      </w:r>
    </w:p>
    <w:p>
      <w:pPr>
        <w:pStyle w:val="BodyText"/>
      </w:pPr>
      <w:r>
        <w:t xml:space="preserve">摩西的律法包含许多理性自然可及的真理。神把它们启示出来，因为人没有在心里读到它们。</w:t>
      </w:r>
    </w:p>
    <w:p>
      <w:pPr>
        <w:pStyle w:val="BodyText"/>
      </w:pPr>
      <w:r>
        <w:t xml:space="preserve">旧律法是为福音作准备。</w:t>
      </w:r>
    </w:p>
    <w:p>
      <w:pPr>
        <w:pStyle w:val="BodyText"/>
      </w:pPr>
      <w:r>
        <w:t xml:space="preserve">新律法是圣灵的恩典；信徒藉着对基督的信心领受，并藉着仁爱运行。它首先表现在主的登山宝训中，并借着圣事向我们传达恩典。</w:t>
      </w:r>
    </w:p>
    <w:p>
      <w:pPr>
        <w:pStyle w:val="BodyText"/>
      </w:pPr>
      <w:r>
        <w:t xml:space="preserve">福音律法成全并超越旧律法，使之走向圆满：它的应许藉着天国的八福而成全；它的诫命藉着更新人心——人类行为的根——而成全。</w:t>
      </w:r>
    </w:p>
    <w:p>
      <w:pPr>
        <w:pStyle w:val="BodyText"/>
      </w:pPr>
      <w:r>
        <w:t xml:space="preserve">新律法是爱的律法，是恩典的律法，是自由的律法。</w:t>
      </w:r>
    </w:p>
    <w:p>
      <w:pPr>
        <w:pStyle w:val="BodyText"/>
      </w:pPr>
      <w:r>
        <w:t xml:space="preserve">除了诫命之外，新律法也包括福音劝谕。「教会的圣洁以一种特殊的方式，借着主在福音中向门徒提出的种种劝谕而得以促进。」</w:t>
      </w:r>
      <w:r>
        <w:rPr>
          <w:rStyle w:val="FootnoteReference"/>
        </w:rPr>
        <w:footnoteReference w:id="3124"/>
      </w:r>
    </w:p>
    <w:p>
      <w:r>
        <w:br w:type="page"/>
      </w:r>
    </w:p>
    <w:bookmarkEnd w:id="3125"/>
    <w:bookmarkEnd w:id="3126"/>
    <w:bookmarkStart w:id="3165" w:name="第二条恩典与称义"/>
    <w:p>
      <w:pPr>
        <w:pStyle w:val="Heading4"/>
      </w:pPr>
      <w:r>
        <w:t xml:space="preserve">第二条：恩典与称义</w:t>
      </w:r>
    </w:p>
    <w:bookmarkStart w:id="3137" w:name="一称义"/>
    <w:p>
      <w:pPr>
        <w:pStyle w:val="Heading5"/>
      </w:pPr>
      <w:r>
        <w:t xml:space="preserve">一、称义</w:t>
      </w:r>
    </w:p>
    <w:p>
      <w:pPr>
        <w:pStyle w:val="FirstParagraph"/>
      </w:pPr>
      <w:r>
        <w:t xml:space="preserve">圣灵的恩典有能力使我们称义，也就是洗净我们的罪，并借着洗礼把「神的义，因信耶稣基督」传达给我们：</w:t>
      </w:r>
      <w:r>
        <w:rPr>
          <w:rStyle w:val="FootnoteReference"/>
        </w:rPr>
        <w:footnoteReference w:id="3127"/>
      </w:r>
    </w:p>
    <w:p>
      <w:pPr>
        <w:pStyle w:val="BlockText"/>
      </w:pPr>
      <w:r>
        <w:t xml:space="preserve">我们若是与基督同死，就信必与他同活。因为知道基督既从死里复活，就不再死，死也不再作他的主了。他死是向罪死了，只有一次；他活是向神活着。这样，你们向罪也当看自己是死的；向神在基督耶稣里，却当看自己是活的。</w:t>
      </w:r>
      <w:r>
        <w:rPr>
          <w:rStyle w:val="FootnoteReference"/>
        </w:rPr>
        <w:footnoteReference w:id="3128"/>
      </w:r>
    </w:p>
    <w:p>
      <w:pPr>
        <w:pStyle w:val="FirstParagraph"/>
      </w:pPr>
      <w:r>
        <w:t xml:space="preserve">藉着圣灵的能力，我们借着向罪死而参与基督的受难，也借着重生而参与他的复活；我们是他身体的肢体——这身体就是教会——也像枝子接在他这葡萄树上：</w:t>
      </w:r>
      <w:r>
        <w:rPr>
          <w:rStyle w:val="FootnoteReference"/>
        </w:rPr>
        <w:footnoteReference w:id="3129"/>
      </w:r>
    </w:p>
    <w:p>
      <w:pPr>
        <w:pStyle w:val="BlockText"/>
      </w:pPr>
      <w:r>
        <w:t xml:space="preserve">神借着他的灵把他自己赐给我们。我们藉着分享圣灵，就得以在神的性情上有分……因此，那些圣灵住在其中的人就被神化。</w:t>
      </w:r>
      <w:r>
        <w:rPr>
          <w:rStyle w:val="FootnoteReference"/>
        </w:rPr>
        <w:footnoteReference w:id="3130"/>
      </w:r>
    </w:p>
    <w:p>
      <w:pPr>
        <w:pStyle w:val="FirstParagraph"/>
      </w:pPr>
      <w:r>
        <w:t xml:space="preserve">圣灵恩典的第一项工作是归正；它按耶稣在福音开始时的宣讲产生称义：「从那时候，耶稣就传起道来，说：天国近了，你们应当悔改！」</w:t>
      </w:r>
      <w:r>
        <w:rPr>
          <w:rStyle w:val="FootnoteReference"/>
        </w:rPr>
        <w:footnoteReference w:id="3131"/>
      </w:r>
      <w:r>
        <w:t xml:space="preserve">人被恩典推动，就转向神并远离罪，从而领受从上头来的赦免与义。「称义不但是罪得赦免，也是里面的人得以成圣并更新。」</w:t>
      </w:r>
      <w:r>
        <w:rPr>
          <w:rStyle w:val="FootnoteReference"/>
        </w:rPr>
        <w:footnoteReference w:id="3132"/>
      </w:r>
    </w:p>
    <w:p>
      <w:pPr>
        <w:pStyle w:val="BodyText"/>
      </w:pPr>
      <w:r>
        <w:t xml:space="preserve">称义使人脱离那与爱神相违的罪，并洁净他心中的罪。称义是继神以怜悯主动赐下赦免之后而来的。它使人与神和好，使人从罪的奴役中得释放，并得到医治。</w:t>
      </w:r>
    </w:p>
    <w:p>
      <w:pPr>
        <w:pStyle w:val="BodyText"/>
      </w:pPr>
      <w:r>
        <w:t xml:space="preserve">称义同时也是人借着对耶稣基督的信心而接受神的义。这里的义是指神之爱的正直。有了称义，信心、盼望和仁爱就倾注在我们心里，并赐给我们顺服神旨意的能力。</w:t>
      </w:r>
    </w:p>
    <w:p>
      <w:pPr>
        <w:pStyle w:val="BodyText"/>
      </w:pPr>
      <w:r>
        <w:t xml:space="preserve">称义是为我们藉着基督的受难所赚得的：他在十字架上把自己奉献为活的祭物，圣洁且蒙神悦纳；他的血成了为众人罪作补赎的工具。称义是在洗礼中赐下的；洗礼是信心的圣事。称义使我们与神的义相符合；神藉着他的怜悯大能，使我们在内里成为义人。称义的目的，是光荣神与基督，并赐下永生：</w:t>
      </w:r>
      <w:r>
        <w:rPr>
          <w:rStyle w:val="FootnoteReference"/>
        </w:rPr>
        <w:footnoteReference w:id="3133"/>
      </w:r>
    </w:p>
    <w:p>
      <w:pPr>
        <w:pStyle w:val="BlockText"/>
      </w:pPr>
      <w:r>
        <w:t xml:space="preserve">但如今神的义在律法以外已经显明出来，有律法和先知为证。就是神的义，因信耶稣基督加给一切相信的人，并没有分别。因为世人都犯了罪，亏缺了神的荣耀；如今却蒙神的恩典，因基督耶稣的救赎，就白白地称义。神设立耶稣作挽回祭，是凭着耶稣的血，借着人的信，要显明神的义；因为他用忍耐的心宽容人先时所犯的罪，好在今时显明他的义，使人知道他自己为义，也称信耶稣的人为义。</w:t>
      </w:r>
      <w:r>
        <w:rPr>
          <w:rStyle w:val="FootnoteReference"/>
        </w:rPr>
        <w:footnoteReference w:id="3134"/>
      </w:r>
    </w:p>
    <w:p>
      <w:pPr>
        <w:pStyle w:val="FirstParagraph"/>
      </w:pPr>
      <w:r>
        <w:t xml:space="preserve">称义建立起神恩典与人自由之间的合作。在人这方面，这合作表现为信心对神的道的同意；神的道邀请人归正；这合作也表现为仁爱与圣灵的催促相合作，因为圣灵先行并保守人的同意：</w:t>
      </w:r>
    </w:p>
    <w:p>
      <w:pPr>
        <w:pStyle w:val="BlockText"/>
      </w:pPr>
      <w:r>
        <w:t xml:space="preserve">当神借着圣灵的光照触动人的心时，人自己在领受这启发时并非毫无作为，因为他也可以拒绝；然而，没有神的恩典，他也不能凭自己的自由意志，使自己在神面前走向公义。</w:t>
      </w:r>
      <w:r>
        <w:rPr>
          <w:rStyle w:val="FootnoteReference"/>
        </w:rPr>
        <w:footnoteReference w:id="3135"/>
      </w:r>
    </w:p>
    <w:p>
      <w:pPr>
        <w:pStyle w:val="FirstParagraph"/>
      </w:pPr>
      <w:r>
        <w:t xml:space="preserve">称义是神的爱在基督耶稣里显明、并由圣灵所赐下的最卓越之工作。圣奥古斯丁认为，「恶人的称义是一项比创造天地更大的工程」，因为「天地要废去，惟有蒙拣选者的救恩与称义……永不废去。」</w:t>
      </w:r>
      <w:r>
        <w:rPr>
          <w:rStyle w:val="FootnoteReference"/>
        </w:rPr>
        <w:footnoteReference w:id="3136"/>
      </w:r>
      <w:r>
        <w:t xml:space="preserve">他也认为，罪人的称义超过天使在公义中的受造，因为它为更大的怜悯作见证。</w:t>
      </w:r>
    </w:p>
    <w:p>
      <w:pPr>
        <w:pStyle w:val="BodyText"/>
      </w:pPr>
      <w:r>
        <w:t xml:space="preserve">圣灵是内在生活的导师。借着使「里面的人」诞生，称义意味着人的整个存在都得以成圣。</w:t>
      </w:r>
    </w:p>
    <w:bookmarkEnd w:id="3137"/>
    <w:bookmarkStart w:id="3147" w:name="二恩典"/>
    <w:p>
      <w:pPr>
        <w:pStyle w:val="Heading5"/>
      </w:pPr>
      <w:r>
        <w:t xml:space="preserve">二、恩典</w:t>
      </w:r>
    </w:p>
    <w:p>
      <w:pPr>
        <w:pStyle w:val="FirstParagraph"/>
      </w:pPr>
      <w:r>
        <w:t xml:space="preserve">我们的称义来自神的恩典。恩典是恩惠，是神白白赐下、并非我们配得的帮助，为使我们能回应他的呼召，成为神的儿女、义子、在神的性情上有分者，并得享永生。</w:t>
      </w:r>
      <w:r>
        <w:rPr>
          <w:rStyle w:val="FootnoteReference"/>
        </w:rPr>
        <w:footnoteReference w:id="3138"/>
      </w:r>
    </w:p>
    <w:p>
      <w:pPr>
        <w:pStyle w:val="BodyText"/>
      </w:pPr>
      <w:r>
        <w:t xml:space="preserve">恩典是对神生命的参与。它把我们带入三位一体生命的亲密里：借着洗礼，基督徒分享基督——他身体的元首——的恩典。作为「义子」，他从此能与独生子联合，称神为「父」。他领受那吹入仁爱的圣灵之生命；圣灵也塑造教会。</w:t>
      </w:r>
    </w:p>
    <w:p>
      <w:pPr>
        <w:pStyle w:val="BodyText"/>
      </w:pPr>
      <w:r>
        <w:t xml:space="preserve">这进入永恒生命的圣召是超自然的；它完全取决于神白白的主动，因为只有他能启示并赐下他自己。这圣召超过人的理智与意志的能力，也超过其他一切受造物的能力。</w:t>
      </w:r>
    </w:p>
    <w:p>
      <w:pPr>
        <w:pStyle w:val="BodyText"/>
      </w:pPr>
      <w:r>
        <w:t xml:space="preserve">基督的恩典是神白白赐给我们他自己的生命；圣灵把这生命注入我们的灵魂，为医治罪并使灵魂成圣。这就是在洗礼中领受的成圣的恩典或神化的恩典。它在我们里面是成圣工程的源头：</w:t>
      </w:r>
    </w:p>
    <w:p>
      <w:pPr>
        <w:pStyle w:val="BlockText"/>
      </w:pPr>
      <w:r>
        <w:t xml:space="preserve">若有人在基督里，他就是新造的人，旧事已过，都变成新的了。一切都是出于神；他借着基督使我们与他和好，又将劝人与他和好的职分赐给我们。</w:t>
      </w:r>
      <w:r>
        <w:rPr>
          <w:rStyle w:val="FootnoteReference"/>
        </w:rPr>
        <w:footnoteReference w:id="3139"/>
      </w:r>
    </w:p>
    <w:p>
      <w:pPr>
        <w:pStyle w:val="FirstParagraph"/>
      </w:pPr>
      <w:r>
        <w:t xml:space="preserve">成圣的恩典是一种常存的恩赐，是一种稳定且超自然的倾向，使灵魂本身得以完善，从而能与神同活，并借着他的爱而行动。常存的恩典，也就是按神的呼召而活、而行的恒常倾向，要与实际的恩典区分开来；实际的恩典指神的介入，无论是在归正的开始，还是在成圣工程进行之中。</w:t>
      </w:r>
    </w:p>
    <w:p>
      <w:pPr>
        <w:pStyle w:val="BodyText"/>
      </w:pPr>
      <w:r>
        <w:t xml:space="preserve">人准备领受恩典，本身就已经是恩典的工作。恩典需要激发并扶持我们在称义中借着信心的合作，也需要扶持我们在成圣中借着仁爱的合作。神在我们里面完成他所开始的，因为「那借着与我们意志合作而完成其工作的，先是借着运行使我们愿意」：</w:t>
      </w:r>
    </w:p>
    <w:p>
      <w:pPr>
        <w:pStyle w:val="BlockText"/>
      </w:pPr>
      <w:r>
        <w:t xml:space="preserve">的确，我们也在工作，但我们只是与那位工作的神合作，因为他的怜悯先行临到我们。他先行临到我们，为使我们得医治；也跟随我们，为使我们既得医治就得生命；他先行临到我们，为使我们蒙召；也跟随我们，为使我们得光荣；他先行临到我们，为使我们虔敬地生活；也跟随我们，为使我们永远与神同活；因为离了他，我们就不能做什么。</w:t>
      </w:r>
      <w:r>
        <w:rPr>
          <w:rStyle w:val="FootnoteReference"/>
        </w:rPr>
        <w:footnoteReference w:id="3140"/>
      </w:r>
    </w:p>
    <w:p>
      <w:pPr>
        <w:pStyle w:val="FirstParagraph"/>
      </w:pPr>
      <w:r>
        <w:t xml:space="preserve">神白白的主动要求人的自由回应，因为神按自己的形象创造人，也把认识他、爱他的能力和自由一并赐给他。灵魂唯有自由地进入爱之共融。神直接触动并推动人的心。他在人的里面放下对真理与良善的渴望，唯有他能使这渴望得到满足。「永生」的应许超越一切盼望地回应这渴望：</w:t>
      </w:r>
    </w:p>
    <w:p>
      <w:pPr>
        <w:pStyle w:val="BlockText"/>
      </w:pPr>
      <w:r>
        <w:t xml:space="preserve">如果在你那极美的工作……结束时，你在第七日安息，这是要借着你书上的话预告：当我们的工作结束时——这些工作确实是「极美的」，因为是你赐给我们的——我们也要在永生的安息日里，在你里面安息。</w:t>
      </w:r>
      <w:r>
        <w:rPr>
          <w:rStyle w:val="FootnoteReference"/>
        </w:rPr>
        <w:footnoteReference w:id="3141"/>
      </w:r>
    </w:p>
    <w:p>
      <w:pPr>
        <w:pStyle w:val="FirstParagraph"/>
      </w:pPr>
      <w:r>
        <w:t xml:space="preserve">恩典首先、最主要是圣灵的恩赐；圣灵使我们称义并使我们成圣。但恩典也包括圣灵赐给我们的各种恩赐，为使我们与他的工作相连，使我们能够与他合作，参与他人得救，以及基督身体——教会——的成长。圣事也有圣事的恩典，这是各个不同圣事所特有的恩赐。此外还有特殊的恩典，也按圣保罗所用的希腊词称为灵恩，意思是「恩惠」「白白的恩赐」「益处」。无论这些灵恩有什么样的性质——有时是非凡的，比如行奇迹的恩赐或说方言的恩赐——灵恩都指向成圣的恩典，并且是为教会的公益而设。它们服务于建立教会的仁爱。</w:t>
      </w:r>
      <w:r>
        <w:rPr>
          <w:rStyle w:val="FootnoteReference"/>
        </w:rPr>
        <w:footnoteReference w:id="3142"/>
      </w:r>
    </w:p>
    <w:p>
      <w:pPr>
        <w:pStyle w:val="BodyText"/>
      </w:pPr>
      <w:r>
        <w:t xml:space="preserve">在这些特殊恩典中，也应当提到职务恩典；它伴随基督徒生活中的责任，以及教会内各项职务的实行：</w:t>
      </w:r>
    </w:p>
    <w:p>
      <w:pPr>
        <w:pStyle w:val="BlockText"/>
      </w:pPr>
      <w:r>
        <w:t xml:space="preserve">按我们所得的恩赐，各有不同。或说预言，就当照着信心的程度说预言；或作执事，就当专一执事；或作教导的，就当专一教导；或作劝化的，就当专一劝化；施舍的，就当诚实；治理的，就当殷勤；怜悯人的，就当甘心。</w:t>
      </w:r>
      <w:r>
        <w:rPr>
          <w:rStyle w:val="FootnoteReference"/>
        </w:rPr>
        <w:footnoteReference w:id="3143"/>
      </w:r>
    </w:p>
    <w:p>
      <w:pPr>
        <w:pStyle w:val="FirstParagraph"/>
      </w:pPr>
      <w:r>
        <w:t xml:space="preserve">既然恩典属于超自然的秩序，它就超出我们的经验，除非凭信心，否则无法认识。因此，我们不能依赖自己的感觉或自己的行为，就断定自己已经称义并得救。</w:t>
      </w:r>
      <w:r>
        <w:rPr>
          <w:rStyle w:val="FootnoteReference"/>
        </w:rPr>
        <w:footnoteReference w:id="3144"/>
      </w:r>
      <w:r>
        <w:t xml:space="preserve">然而，按主的话——「所以凭着他们的果子就可以认出他们来。」</w:t>
      </w:r>
      <w:r>
        <w:rPr>
          <w:rStyle w:val="FootnoteReference"/>
        </w:rPr>
        <w:footnoteReference w:id="3145"/>
      </w:r>
      <w:r>
        <w:t xml:space="preserve">——我们反省神在我们生命中、以及在圣徒生命中的祝福，就能得到一种保证：恩典确实在我们里面运行；这也会推动我们进入更大的信心，以及一种信靠的贫穷之心。</w:t>
      </w:r>
    </w:p>
    <w:p>
      <w:pPr>
        <w:pStyle w:val="BlockText"/>
      </w:pPr>
      <w:r>
        <w:t xml:space="preserve">这种态度有一个很动人的例子，就是圣女贞德面对她的教会审判官所设下的陷阱问题时的回答：「问她知不知道自己在神的恩典中，她回答说：『若我不在，愿神把我放进去；若我在，愿神使我一直留在其中。』」</w:t>
      </w:r>
      <w:r>
        <w:rPr>
          <w:rStyle w:val="FootnoteReference"/>
        </w:rPr>
        <w:footnoteReference w:id="3146"/>
      </w:r>
    </w:p>
    <w:bookmarkEnd w:id="3147"/>
    <w:bookmarkStart w:id="3153" w:name="三功劳"/>
    <w:p>
      <w:pPr>
        <w:pStyle w:val="Heading5"/>
      </w:pPr>
      <w:r>
        <w:t xml:space="preserve">三、功劳</w:t>
      </w:r>
    </w:p>
    <w:p>
      <w:pPr>
        <w:pStyle w:val="FirstParagraph"/>
      </w:pPr>
      <w:r>
        <w:t xml:space="preserve">「你在你圣者的会中得荣耀，因为你为他们的功劳加冕，也是在为你自己的恩赐加冕。」</w:t>
      </w:r>
      <w:r>
        <w:rPr>
          <w:rStyle w:val="FootnoteReference"/>
        </w:rPr>
        <w:footnoteReference w:id="3148"/>
      </w:r>
    </w:p>
    <w:p>
      <w:pPr>
        <w:pStyle w:val="BodyText"/>
      </w:pPr>
      <w:r>
        <w:t xml:space="preserve">「功劳」一词一般指团体或社会因其成员所做的行为而欠下的回报；这行为可能被认为有益或有害，因此配得奖赏或刑罚。功劳与公义之德相关，并符合由公义支配的平等原则。</w:t>
      </w:r>
    </w:p>
    <w:p>
      <w:pPr>
        <w:pStyle w:val="BodyText"/>
      </w:pPr>
      <w:r>
        <w:t xml:space="preserve">就神而言，人并没有任何严格意义上可要求功劳的权利。神与我们之间存在不可衡量的不平等，因为我们从他——我们的造物主——领受了一切。</w:t>
      </w:r>
    </w:p>
    <w:p>
      <w:pPr>
        <w:pStyle w:val="BodyText"/>
      </w:pPr>
      <w:r>
        <w:t xml:space="preserve">人在基督徒生活中在神面前的功劳，源于神白白拣选人，使人参与他的恩典之工作。神以父亲般的行动先主动开始，然后人借着合作自由行动；因此，善行的功劳首先应归于神的恩典，其次才归于信徒。再者，人的功劳本身也归于神，因为人的善行是在基督里，并且出于圣灵所赐下的准备与帮助。</w:t>
      </w:r>
    </w:p>
    <w:p>
      <w:pPr>
        <w:pStyle w:val="BodyText"/>
      </w:pPr>
      <w:r>
        <w:t xml:space="preserve">义子的收纳，使我们藉恩典在神的性情上有分；因此，按神白白的公义，也能把真实的功劳赐给我们。这是我们藉恩典所得的权利，是爱的完全权利，使我们与基督「一同作后嗣」，并配得获得「应许的永生基业」。</w:t>
      </w:r>
      <w:r>
        <w:rPr>
          <w:rStyle w:val="FootnoteReference"/>
        </w:rPr>
        <w:footnoteReference w:id="3149"/>
      </w:r>
      <w:r>
        <w:t xml:space="preserve">我们善行的功劳是神良善的恩赐。</w:t>
      </w:r>
      <w:r>
        <w:rPr>
          <w:rStyle w:val="FootnoteReference"/>
        </w:rPr>
        <w:footnoteReference w:id="3150"/>
      </w:r>
      <w:r>
        <w:t xml:space="preserve">「恩典先行临到我们；如今赐给我们应得的……我们的功劳是神的恩赐。」</w:t>
      </w:r>
      <w:r>
        <w:rPr>
          <w:rStyle w:val="FootnoteReference"/>
        </w:rPr>
        <w:footnoteReference w:id="3151"/>
      </w:r>
    </w:p>
    <w:p>
      <w:pPr>
        <w:pStyle w:val="BodyText"/>
      </w:pPr>
      <w:r>
        <w:t xml:space="preserve">既然在恩典的秩序中，主动权属于神，就没有人能在归正开始时赚得最初的赦免与称义之恩典。当我们被圣灵和仁爱推动之后，我们就能为自己也为他人赚得成圣所需要的恩典、恩典与仁爱的增长、以及获得永生。甚至像健康、友谊这样的现世福祉，也能按神的智慧而成为可赚得的。这些恩典与福祉是基督徒祈祷所求的对象。祈祷关乎我们为行出有功劳之行为所需要的恩典。</w:t>
      </w:r>
    </w:p>
    <w:p>
      <w:pPr>
        <w:pStyle w:val="BodyText"/>
      </w:pPr>
      <w:r>
        <w:t xml:space="preserve">基督的仁爱是在我们里面、一切在神面前之功劳的源头。恩典使我们在积极的爱中与基督结合，从而保证我们的行为具有超自然的性质，因此在神面前、也在人面前具有功劳。圣徒总是清楚地意识到：他们的功劳纯粹是恩典。</w:t>
      </w:r>
    </w:p>
    <w:p>
      <w:pPr>
        <w:pStyle w:val="BlockText"/>
      </w:pPr>
      <w:r>
        <w:t xml:space="preserve">在今世流亡之后，我盼望去到天乡，在那里享受你；但我不想为天国积攒功劳。我只愿意为你的爱而工作……在这生命的黄昏，我要两手空空地来到你面前，因为主啊，我不求你计算我的行为。我们的一切义在你眼中都有瑕疵。因此，我愿意披戴你自己的义，并从你的爱领受对你自己的永恒占有。</w:t>
      </w:r>
      <w:r>
        <w:rPr>
          <w:rStyle w:val="FootnoteReference"/>
        </w:rPr>
        <w:footnoteReference w:id="3152"/>
      </w:r>
    </w:p>
    <w:bookmarkEnd w:id="3153"/>
    <w:bookmarkStart w:id="3162" w:name="四基督徒的圣德"/>
    <w:p>
      <w:pPr>
        <w:pStyle w:val="Heading5"/>
      </w:pPr>
      <w:r>
        <w:t xml:space="preserve">四、基督徒的圣德</w:t>
      </w:r>
    </w:p>
    <w:p>
      <w:pPr>
        <w:pStyle w:val="FirstParagraph"/>
      </w:pPr>
      <w:r>
        <w:t xml:space="preserve">「我们晓得万事都互相效力，叫爱神的人得益处……因为他预先所知道的人，就预先定下效法他儿子的模样，使他儿子在许多弟兄中作长子。预先所定下的人又召他们来；所召来的人又称他们为义；所称为义的人又叫他们得荣耀。」</w:t>
      </w:r>
      <w:r>
        <w:rPr>
          <w:rStyle w:val="FootnoteReference"/>
        </w:rPr>
        <w:footnoteReference w:id="3154"/>
      </w:r>
    </w:p>
    <w:p>
      <w:pPr>
        <w:pStyle w:val="BodyText"/>
      </w:pPr>
      <w:r>
        <w:t xml:space="preserve">「一切基督徒，不论什么身份或生活方式，都蒙召进入基督徒生活的圆满，并达到仁爱之德的成全。」</w:t>
      </w:r>
      <w:r>
        <w:rPr>
          <w:rStyle w:val="FootnoteReference"/>
        </w:rPr>
        <w:footnoteReference w:id="3155"/>
      </w:r>
      <w:r>
        <w:t xml:space="preserve">人人都蒙召成圣：「所以你们要完全，像你们的天父完全一样。」</w:t>
      </w:r>
      <w:r>
        <w:rPr>
          <w:rStyle w:val="FootnoteReference"/>
        </w:rPr>
        <w:footnoteReference w:id="3156"/>
      </w:r>
    </w:p>
    <w:p>
      <w:pPr>
        <w:pStyle w:val="BlockText"/>
      </w:pPr>
      <w:r>
        <w:t xml:space="preserve">为了达到这种成全，信徒应当运用基督恩赐给他们的力量，使他们……在一切事上遵行父的旨意，全心投入光荣神并服务邻人。这样，神子民的圣德就会以丰盛的果实增长；这一点在教会历史中许多圣徒的生命里清楚可见。</w:t>
      </w:r>
      <w:r>
        <w:rPr>
          <w:rStyle w:val="FootnoteReference"/>
        </w:rPr>
        <w:footnoteReference w:id="3157"/>
      </w:r>
    </w:p>
    <w:p>
      <w:pPr>
        <w:pStyle w:val="FirstParagraph"/>
      </w:pPr>
      <w:r>
        <w:t xml:space="preserve">属灵的进步趋向与基督越来越亲密的结合。这种结合称为「神秘的」，因为它借着圣事——「圣奥秘」——参与基督的奥秘，并且在基督里参与三位一体的奥秘。神呼召每个人都与他有这种亲密的结合，即使这种神秘生活的特殊恩典或非凡标记只赐给少数人，也是为了显明那白白赐给所有人的恩赐。</w:t>
      </w:r>
    </w:p>
    <w:p>
      <w:pPr>
        <w:pStyle w:val="BodyText"/>
      </w:pPr>
      <w:r>
        <w:t xml:space="preserve">成全之路要经过十字架。没有舍弃和属灵的争战，就没有圣德。</w:t>
      </w:r>
      <w:r>
        <w:rPr>
          <w:rStyle w:val="FootnoteReference"/>
        </w:rPr>
        <w:footnoteReference w:id="3158"/>
      </w:r>
      <w:r>
        <w:t xml:space="preserve">属灵的进步包含克苦操练和克己；它们逐步引导人活在八福的平安与喜乐中：</w:t>
      </w:r>
    </w:p>
    <w:p>
      <w:pPr>
        <w:pStyle w:val="BlockText"/>
      </w:pPr>
      <w:r>
        <w:t xml:space="preserve">登攀的人从不停止从起点走向起点，穿过那没有尽头的起点。他也从不停止渴望自己已经认识的那一位。</w:t>
      </w:r>
      <w:r>
        <w:rPr>
          <w:rStyle w:val="FootnoteReference"/>
        </w:rPr>
        <w:footnoteReference w:id="3159"/>
      </w:r>
    </w:p>
    <w:p>
      <w:pPr>
        <w:pStyle w:val="FirstParagraph"/>
      </w:pPr>
      <w:r>
        <w:t xml:space="preserve">教会这位圣母的儿女，理当盼望获得最后坚持到底的恩典，并盼望他们的父神为他们在与耶稣的共融中、借着他的恩典所完成的善行赐下赏报。</w:t>
      </w:r>
      <w:r>
        <w:rPr>
          <w:rStyle w:val="FootnoteReference"/>
        </w:rPr>
        <w:footnoteReference w:id="3160"/>
      </w:r>
      <w:r>
        <w:t xml:space="preserve">信徒在持守同一生活准则时，也分享那些被神的怜悯聚集进「我又看见圣城新耶路撒冷由神那里从天而降，预备好了，就如新妇妆饰整齐，等候丈夫。」这一「有福的盼望」。</w:t>
      </w:r>
      <w:r>
        <w:rPr>
          <w:rStyle w:val="FootnoteReference"/>
        </w:rPr>
        <w:footnoteReference w:id="3161"/>
      </w:r>
    </w:p>
    <w:bookmarkEnd w:id="3162"/>
    <w:bookmarkStart w:id="3164" w:name="综述-53"/>
    <w:p>
      <w:pPr>
        <w:pStyle w:val="Heading5"/>
      </w:pPr>
      <w:r>
        <w:t xml:space="preserve">综述</w:t>
      </w:r>
    </w:p>
    <w:p>
      <w:pPr>
        <w:pStyle w:val="FirstParagraph"/>
      </w:pPr>
      <w:r>
        <w:t xml:space="preserve">圣灵的恩典把神的义赐给我们。圣灵借着信心和洗礼使我们与基督的受难和复活结合，使我们分享他的生命。</w:t>
      </w:r>
    </w:p>
    <w:p>
      <w:pPr>
        <w:pStyle w:val="BodyText"/>
      </w:pPr>
      <w:r>
        <w:t xml:space="preserve">如同归正一样，称义也有两个面向。人被恩典推动，就转向神并远离罪，从而领受从上头来的赦免与义。</w:t>
      </w:r>
    </w:p>
    <w:p>
      <w:pPr>
        <w:pStyle w:val="BodyText"/>
      </w:pPr>
      <w:r>
        <w:t xml:space="preserve">称义包括罪得赦免、成圣，以及里面的人得以更新。</w:t>
      </w:r>
    </w:p>
    <w:p>
      <w:pPr>
        <w:pStyle w:val="BodyText"/>
      </w:pPr>
      <w:r>
        <w:t xml:space="preserve">称义是为我们藉着基督的受难所赚得的。它借着洗礼赐给我们，使我们与神的义相符合；神使我们称义。它的目标是光荣神与基督，并赐下永生。它是神怜悯最卓越的工作。</w:t>
      </w:r>
    </w:p>
    <w:p>
      <w:pPr>
        <w:pStyle w:val="BodyText"/>
      </w:pPr>
      <w:r>
        <w:t xml:space="preserve">恩典是神赐给我们的帮助，使我们能回应成为义子的圣召。它把我们带入三位一体生命的亲密里。</w:t>
      </w:r>
    </w:p>
    <w:p>
      <w:pPr>
        <w:pStyle w:val="BodyText"/>
      </w:pPr>
      <w:r>
        <w:t xml:space="preserve">在恩典工程中，神白白的主动先行，预备并引出人的自由回应。恩典回应人类自由最深处的渴望，呼召自由与它合作，并使自由达到圆满。</w:t>
      </w:r>
    </w:p>
    <w:p>
      <w:pPr>
        <w:pStyle w:val="BodyText"/>
      </w:pPr>
      <w:r>
        <w:t xml:space="preserve">成圣的恩典是神白白赐给我们的他的生命；圣灵把这生命注入灵魂，为医治罪并使灵魂成圣。</w:t>
      </w:r>
    </w:p>
    <w:p>
      <w:pPr>
        <w:pStyle w:val="BodyText"/>
      </w:pPr>
      <w:r>
        <w:t xml:space="preserve">我们在神面前之所以能有功劳，只是因为神自由地计划让人参与他恩典的工作。功劳首先应归于神的恩典，其次才归于人的合作。人的功劳归于神。</w:t>
      </w:r>
    </w:p>
    <w:p>
      <w:pPr>
        <w:pStyle w:val="BodyText"/>
      </w:pPr>
      <w:r>
        <w:t xml:space="preserve">圣灵的恩典能按我们义子的身份、并按神白白的公义，把真实的功劳赐给我们。仁爱是在我们里面、在神面前之功劳的主要源头。</w:t>
      </w:r>
    </w:p>
    <w:p>
      <w:pPr>
        <w:pStyle w:val="BodyText"/>
      </w:pPr>
      <w:r>
        <w:t xml:space="preserve">没有人能赚得那作为归正起点的最初恩典。我们被圣灵推动，就能为自己也为他人赚得达到永生所需的一切恩典，也能赚得所需要的现世福祉。</w:t>
      </w:r>
    </w:p>
    <w:p>
      <w:pPr>
        <w:pStyle w:val="BodyText"/>
      </w:pPr>
      <w:r>
        <w:t xml:space="preserve">「一切基督徒……都蒙召进入基督徒生活的圆满，并达到仁爱之德的成全」（LG 40 § 2）。「基督徒的成全只有一个界限，就是没有界限」（尼撒的圣贵格利，</w:t>
      </w:r>
      <w:r>
        <w:rPr>
          <w:i/>
          <w:iCs/>
        </w:rPr>
        <w:t xml:space="preserve">De vita Mos.</w:t>
      </w:r>
      <w:r>
        <w:t xml:space="preserve">：PG 44,300D）。</w:t>
      </w:r>
    </w:p>
    <w:p>
      <w:pPr>
        <w:pStyle w:val="BodyText"/>
      </w:pPr>
      <w:r>
        <w:t xml:space="preserve">「于是耶稣对门徒说：若有人要跟从我，就当舍己，背起他的十字架来跟从我。」</w:t>
      </w:r>
      <w:r>
        <w:rPr>
          <w:rStyle w:val="FootnoteReference"/>
        </w:rPr>
        <w:footnoteReference w:id="3163"/>
      </w:r>
    </w:p>
    <w:p>
      <w:r>
        <w:br w:type="page"/>
      </w:r>
    </w:p>
    <w:bookmarkEnd w:id="3164"/>
    <w:bookmarkEnd w:id="3165"/>
    <w:bookmarkStart w:id="3189" w:name="第三条教会母亲与导师"/>
    <w:p>
      <w:pPr>
        <w:pStyle w:val="Heading4"/>
      </w:pPr>
      <w:r>
        <w:t xml:space="preserve">第三条：教会——母亲与导师</w:t>
      </w:r>
    </w:p>
    <w:p>
      <w:pPr>
        <w:pStyle w:val="FirstParagraph"/>
      </w:pPr>
      <w:r>
        <w:t xml:space="preserve">基督徒是在教会里、在与一切领受洗礼者的共融中，完成自己的圣召。他从教会领受神的道，其中包含「基督的律法」的教导。</w:t>
      </w:r>
      <w:r>
        <w:rPr>
          <w:rStyle w:val="FootnoteReference"/>
        </w:rPr>
        <w:footnoteReference w:id="3166"/>
      </w:r>
      <w:r>
        <w:t xml:space="preserve">他从教会领受圣事的恩典，扶持他走在「道路」上。他从教会学习圣德的榜样，并在至圣童贞马利亚身上认出圣德的典范与源头；他也在那些活出圣德之人的真实见证中辨认它；他也在属灵传统以及历代圣徒的悠久历史中发现它；礼仪在圣人庆日的周期里庆祝这些圣徒，他们都走在他前面。</w:t>
      </w:r>
    </w:p>
    <w:p>
      <w:pPr>
        <w:pStyle w:val="BodyText"/>
      </w:pPr>
      <w:r>
        <w:t xml:space="preserve">道德生活就是属灵的敬拜。我们在所形成的基督身体里，并在与他圣餐的奉献相共融中，「将身体献上，当作活祭，是圣洁的，是神所喜悦的」。</w:t>
      </w:r>
      <w:r>
        <w:rPr>
          <w:rStyle w:val="FootnoteReference"/>
        </w:rPr>
        <w:footnoteReference w:id="3167"/>
      </w:r>
      <w:r>
        <w:t xml:space="preserve">在礼仪和圣事的庆典中，祈祷与教导与基督的恩典结合在一起，光照并滋养基督徒的行动。和整个基督徒生活一样，道德生活也在圣餐祭献中找到它的源头与高峰。</w:t>
      </w:r>
    </w:p>
    <w:bookmarkStart w:id="3176" w:name="一道德生活与教会的训导权"/>
    <w:p>
      <w:pPr>
        <w:pStyle w:val="Heading5"/>
      </w:pPr>
      <w:r>
        <w:t xml:space="preserve">一、道德生活与教会的训导权</w:t>
      </w:r>
    </w:p>
    <w:p>
      <w:pPr>
        <w:pStyle w:val="FirstParagraph"/>
      </w:pPr>
      <w:r>
        <w:t xml:space="preserve">教会是「真理的柱石和根基」，「从使徒领受了基督这项庄严命令，要宣讲救人的真理。」</w:t>
      </w:r>
      <w:r>
        <w:rPr>
          <w:rStyle w:val="FootnoteReference"/>
        </w:rPr>
        <w:footnoteReference w:id="3168"/>
      </w:r>
      <w:r>
        <w:t xml:space="preserve">「教会有权在任何时间、任何地点宣讲道德原则，包括那些与社会秩序有关的原则；并且在人的基本权利或灵魂得救所要求的范围内，对一切人事作出判断。」</w:t>
      </w:r>
      <w:r>
        <w:rPr>
          <w:rStyle w:val="FootnoteReference"/>
        </w:rPr>
        <w:footnoteReference w:id="3169"/>
      </w:r>
    </w:p>
    <w:p>
      <w:pPr>
        <w:pStyle w:val="BodyText"/>
      </w:pPr>
      <w:r>
        <w:t xml:space="preserve">教会牧者在道德事务上的训导权，通常借着教理讲授和讲道来行使，并辅以神学家与灵修作者的著作。这样，基督徒道德教导的「存托」就在牧者的带领与看顾下，一代一代传承下来；这存托由一套独特的规范、诫命与德行组成，它们出于对基督的信心，并由仁爱推动。传统上，除了信经和主祷文之外，这种教理讲授的基础一直是十诫；十诫阐明对所有人都有效的道德生活原则。</w:t>
      </w:r>
    </w:p>
    <w:p>
      <w:pPr>
        <w:pStyle w:val="BodyText"/>
      </w:pPr>
      <w:r>
        <w:t xml:space="preserve">罗马教宗与主教们是「真正的导师，也就是具有基督权威的导师；他们向托付给他们的人民宣讲信仰——这信仰应当被相信并付诸实行。」</w:t>
      </w:r>
      <w:r>
        <w:rPr>
          <w:rStyle w:val="FootnoteReference"/>
        </w:rPr>
        <w:footnoteReference w:id="3170"/>
      </w:r>
      <w:r>
        <w:t xml:space="preserve">教宗与与他共融的主教们所行使的日常且普世的训导权，教导信徒应当相信的真理、应当实行的仁爱，以及应当盼望的福乐。</w:t>
      </w:r>
    </w:p>
    <w:p>
      <w:pPr>
        <w:pStyle w:val="BodyText"/>
      </w:pPr>
      <w:r>
        <w:t xml:space="preserve">对基督权威的最高层次之参与，借着无误的灵恩得到保证。这无误性延伸到神圣启示的宝库所及之处；它也延伸到教义的一切要素，包括道德教义；若没有这些要素，信仰中救人的真理就无法被保存、阐明或遵守。</w:t>
      </w:r>
      <w:r>
        <w:rPr>
          <w:rStyle w:val="FootnoteReference"/>
        </w:rPr>
        <w:footnoteReference w:id="3171"/>
      </w:r>
    </w:p>
    <w:p>
      <w:pPr>
        <w:pStyle w:val="BodyText"/>
      </w:pPr>
      <w:r>
        <w:t xml:space="preserve">训导权的权威也延伸到自然律的具体诫命，因为造物主要求人遵守这些诫命，而这对得救是必要的。教会的训导权在提醒人自然律的规定时，就在实行其先知性职务中极为重要的一部分：向人宣告他们真正是什么，并提醒他们在神面前应当是什么。</w:t>
      </w:r>
      <w:r>
        <w:rPr>
          <w:rStyle w:val="FootnoteReference"/>
        </w:rPr>
        <w:footnoteReference w:id="3172"/>
      </w:r>
    </w:p>
    <w:p>
      <w:pPr>
        <w:pStyle w:val="BodyText"/>
      </w:pPr>
      <w:r>
        <w:t xml:space="preserve">神的律法托付给教会，教会把它教导给信徒，作为生命与真理之路。因此，信徒有权接受救人的诫命之教导；这些诫命洁净判断，并在恩典中医治受伤的人类理性。</w:t>
      </w:r>
      <w:r>
        <w:rPr>
          <w:rStyle w:val="FootnoteReference"/>
        </w:rPr>
        <w:footnoteReference w:id="3173"/>
      </w:r>
      <w:r>
        <w:t xml:space="preserve">信徒也有义务遵守教会合法权威所传达的规章与法令。即使这些规定涉及纪律事务，也要求人在仁爱中顺从。</w:t>
      </w:r>
    </w:p>
    <w:p>
      <w:pPr>
        <w:pStyle w:val="BodyText"/>
      </w:pPr>
      <w:r>
        <w:t xml:space="preserve">在教导并应用基督徒道德的工作中，教会需要牧者的投入、神学家的学识，以及所有基督徒和一切善意之人的贡献。信心与福音的实践，使每个人都获得一种「在基督里」的生活经验；基督光照他，并使他能按神的灵来评估关乎神与人的现实。</w:t>
      </w:r>
      <w:r>
        <w:rPr>
          <w:rStyle w:val="FootnoteReference"/>
        </w:rPr>
        <w:footnoteReference w:id="3174"/>
      </w:r>
      <w:r>
        <w:t xml:space="preserve">因此，圣灵能使用最谦卑的人来光照有学问的人，以及在高位上的人。</w:t>
      </w:r>
    </w:p>
    <w:p>
      <w:pPr>
        <w:pStyle w:val="BodyText"/>
      </w:pPr>
      <w:r>
        <w:t xml:space="preserve">各项职务应当以弟兄式的服务精神来实行，并以奉献自己给教会为导向，奉主的名而行。</w:t>
      </w:r>
      <w:r>
        <w:rPr>
          <w:rStyle w:val="FootnoteReference"/>
        </w:rPr>
        <w:footnoteReference w:id="3175"/>
      </w:r>
    </w:p>
    <w:p>
      <w:pPr>
        <w:pStyle w:val="BodyText"/>
      </w:pPr>
      <w:r>
        <w:t xml:space="preserve">这样，基督徒对教会就能培养出真正的孝子之心。这是洗礼恩典正常的开花结果；洗礼恩典在教会的怀中生了我们，使我们成为基督身体的肢体。教会以母亲般的照顾，把神的怜悯赐给我们；这怜悯胜过我们的一切罪，尤其在和好圣事中发挥作用。教会也以母亲般的远见，在她的礼仪中日复一日把主的道与圣餐作为滋养，丰丰富富地赐给我们。</w:t>
      </w:r>
    </w:p>
    <w:bookmarkEnd w:id="3176"/>
    <w:bookmarkStart w:id="3182" w:name="二教会的规诫"/>
    <w:p>
      <w:pPr>
        <w:pStyle w:val="Heading5"/>
      </w:pPr>
      <w:r>
        <w:t xml:space="preserve">二、教会的规诫</w:t>
      </w:r>
    </w:p>
    <w:p>
      <w:pPr>
        <w:pStyle w:val="FirstParagraph"/>
      </w:pPr>
      <w:r>
        <w:t xml:space="preserve">教会的规诫是在一种道德生活的脉络中制定的；这种道德生活与礼仪生活相连，并由礼仪生活滋养。</w:t>
      </w:r>
    </w:p>
    <w:p>
      <w:pPr>
        <w:pStyle w:val="BodyText"/>
      </w:pPr>
      <w:r>
        <w:t xml:space="preserve">第一条规诫（「你们应在主日和应守的庆日参与弥撒，并停止劳役性的工作」）要求信徒在应守的日子参与圣餐，参与纪念主、至圣童贞马利亚和诸圣奥秘的主要礼仪庆日，并借着停止那些可能妨碍这些日子成圣的工作和活动来守这规诫。</w:t>
      </w:r>
      <w:r>
        <w:rPr>
          <w:rStyle w:val="FootnoteReference"/>
        </w:rPr>
        <w:footnoteReference w:id="3177"/>
      </w:r>
      <w:r>
        <w:t xml:space="preserve">第二条规诫（「你们至少每年告解一次」）确保信徒借着领受和好圣事来为圣餐作准备；和好圣事延续洗礼在归正与赦免上的工作。</w:t>
      </w:r>
      <w:r>
        <w:rPr>
          <w:rStyle w:val="FootnoteReference"/>
        </w:rPr>
        <w:footnoteReference w:id="3178"/>
      </w:r>
      <w:r>
        <w:t xml:space="preserve">第三条规诫（「你们至少在复活节期领受一次圣餐」）至少保证信徒在逾越节庆期——这是基督徒礼仪的起源与中心——领受主的身体和血。</w:t>
      </w:r>
      <w:r>
        <w:rPr>
          <w:rStyle w:val="FootnoteReference"/>
        </w:rPr>
        <w:footnoteReference w:id="3179"/>
      </w:r>
    </w:p>
    <w:p>
      <w:pPr>
        <w:pStyle w:val="BodyText"/>
      </w:pPr>
      <w:r>
        <w:t xml:space="preserve">第四条规诫（「你们应遵守教会所规定的禁食与节制日」）确保有克苦操练与补赎的时期；这些时期为礼仪庆日作准备，并帮助我们掌控自己的本能，获得心的自由。</w:t>
      </w:r>
      <w:r>
        <w:rPr>
          <w:rStyle w:val="FootnoteReference"/>
        </w:rPr>
        <w:footnoteReference w:id="3180"/>
      </w:r>
      <w:r>
        <w:t xml:space="preserve">第五条规诫（「你们应当协助教会的需要」）意思是：信徒按各自能力，有义务协助教会的物质需要。</w:t>
      </w:r>
      <w:r>
        <w:rPr>
          <w:rStyle w:val="FootnoteReference"/>
        </w:rPr>
        <w:footnoteReference w:id="3181"/>
      </w:r>
    </w:p>
    <w:bookmarkEnd w:id="3182"/>
    <w:bookmarkStart w:id="3187" w:name="三道德生活与传教见证"/>
    <w:p>
      <w:pPr>
        <w:pStyle w:val="Heading5"/>
      </w:pPr>
      <w:r>
        <w:t xml:space="preserve">三、道德生活与传教见证</w:t>
      </w:r>
    </w:p>
    <w:p>
      <w:pPr>
        <w:pStyle w:val="FirstParagraph"/>
      </w:pPr>
      <w:r>
        <w:t xml:space="preserve">领受洗礼者的忠信，是宣讲福音和教会在世界中使命的首要条件。「以超自然的精神所做的基督徒生活见证与善行，有很大的力量把人吸引向信仰，并吸引向神。」</w:t>
      </w:r>
      <w:r>
        <w:rPr>
          <w:rStyle w:val="FootnoteReference"/>
        </w:rPr>
        <w:footnoteReference w:id="3183"/>
      </w:r>
    </w:p>
    <w:p>
      <w:pPr>
        <w:pStyle w:val="BodyText"/>
      </w:pPr>
      <w:r>
        <w:t xml:space="preserve">基督徒既是以基督为元首之身体的肢体，</w:t>
      </w:r>
      <w:r>
        <w:rPr>
          <w:rStyle w:val="FootnoteReference"/>
        </w:rPr>
        <w:footnoteReference w:id="3184"/>
      </w:r>
      <w:r>
        <w:t xml:space="preserve">就借着坚定的信念与道德生活，为建立教会作出贡献。教会借着信徒的圣德不断增长、成长并发展，直到「直等到我们众人在真道上同归于一，认识神的儿子，得以长大成人，满有基督长成的身量。」</w:t>
      </w:r>
      <w:r>
        <w:rPr>
          <w:rStyle w:val="FootnoteReference"/>
        </w:rPr>
        <w:footnoteReference w:id="3185"/>
      </w:r>
    </w:p>
    <w:p>
      <w:pPr>
        <w:pStyle w:val="BodyText"/>
      </w:pPr>
      <w:r>
        <w:t xml:space="preserve">基督徒以基督的心为心而生活，就加速神国的来临——「一个公义、仁爱与和平的国度」。</w:t>
      </w:r>
      <w:r>
        <w:rPr>
          <w:rStyle w:val="FootnoteReference"/>
        </w:rPr>
        <w:footnoteReference w:id="3186"/>
      </w:r>
      <w:r>
        <w:t xml:space="preserve">但这并不意味着他们放弃现世的工作；他们忠于自己的师傅，以正直、忍耐与爱来完成这些工作。</w:t>
      </w:r>
    </w:p>
    <w:bookmarkEnd w:id="3187"/>
    <w:bookmarkStart w:id="3188" w:name="综述-54"/>
    <w:p>
      <w:pPr>
        <w:pStyle w:val="Heading5"/>
      </w:pPr>
      <w:r>
        <w:t xml:space="preserve">综述</w:t>
      </w:r>
    </w:p>
    <w:p>
      <w:pPr>
        <w:pStyle w:val="FirstParagraph"/>
      </w:pPr>
      <w:r>
        <w:t xml:space="preserve">道德生活就是属灵的敬拜。基督徒的行动从礼仪和圣事的庆典中得到滋养。</w:t>
      </w:r>
    </w:p>
    <w:p>
      <w:pPr>
        <w:pStyle w:val="BodyText"/>
      </w:pPr>
      <w:r>
        <w:t xml:space="preserve">教会的规诫关乎与礼仪相连、并由礼仪滋养的道德生活与基督徒生活。</w:t>
      </w:r>
    </w:p>
    <w:p>
      <w:pPr>
        <w:pStyle w:val="BodyText"/>
      </w:pPr>
      <w:r>
        <w:t xml:space="preserve">教会牧者在道德事务上的训导权，通常借着教理讲授和讲道来行使，并以十诫为基础；十诫阐明对所有人都有效的道德生活原则。</w:t>
      </w:r>
    </w:p>
    <w:p>
      <w:pPr>
        <w:pStyle w:val="BodyText"/>
      </w:pPr>
      <w:r>
        <w:t xml:space="preserve">罗马教宗与主教们作为真正的导师，向神的子民宣讲应当被相信、并应当应用于道德生活的信仰。他们也有责任就属于自然律与理性的道德问题作出判断。</w:t>
      </w:r>
    </w:p>
    <w:p>
      <w:pPr>
        <w:pStyle w:val="BodyText"/>
      </w:pPr>
      <w:r>
        <w:t xml:space="preserve">教会牧者的训导权之无误性，延伸到教义的一切要素，包括道德教义；若没有这些要素，信仰中救人的真理就无法被保存、阐明或遵守。</w:t>
      </w:r>
    </w:p>
    <w:p>
      <w:r>
        <w:br w:type="page"/>
      </w:r>
    </w:p>
    <w:bookmarkEnd w:id="3188"/>
    <w:bookmarkEnd w:id="3189"/>
    <w:bookmarkEnd w:id="3190"/>
    <w:bookmarkEnd w:id="3191"/>
    <w:bookmarkStart w:id="3766" w:name="第二部分十诫"/>
    <w:p>
      <w:pPr>
        <w:pStyle w:val="Heading2"/>
      </w:pPr>
      <w:r>
        <w:t xml:space="preserve">第二部分：十诫</w:t>
      </w:r>
    </w:p>
    <w:p>
      <w:pPr>
        <w:pStyle w:val="FirstParagraph"/>
      </w:pPr>
      <w:r>
        <w:t xml:space="preserve">「老师，我该做什么……？」</w:t>
      </w:r>
    </w:p>
    <w:p>
      <w:pPr>
        <w:pStyle w:val="BodyText"/>
      </w:pPr>
      <w:r>
        <w:t xml:space="preserve">「夫子，我该做什么善事才能得永生？」对提出这问题的青年，耶稣先提到必须承认神是「只有一位是善的」，也就是至善与一切善的源头。随后耶稣告诉他：「你若要进入永生，就当遵守诫命。」然后他向问话的人列举那些关乎爱邻人的诫命：「不可杀人；不可奸淫；不可偷盗；不可作假见证；当孝敬父母。」最后，耶稣用积极的方式把这些诫命总结起来：「又当爱人如己。」</w:t>
      </w:r>
      <w:r>
        <w:rPr>
          <w:rStyle w:val="FootnoteReference"/>
        </w:rPr>
        <w:footnoteReference w:id="3192"/>
      </w:r>
    </w:p>
    <w:p>
      <w:pPr>
        <w:pStyle w:val="BodyText"/>
      </w:pPr>
      <w:r>
        <w:t xml:space="preserve">对这第一个回答，耶稣又加上第二个回答：「你若愿意作完全人，可去变卖你所有的，分给穷人，就必有财宝在天上；你还要来跟从我。」</w:t>
      </w:r>
      <w:r>
        <w:rPr>
          <w:rStyle w:val="FootnoteReference"/>
        </w:rPr>
        <w:footnoteReference w:id="3193"/>
      </w:r>
      <w:r>
        <w:t xml:space="preserve">这回答并没有废掉第一个回答：跟随耶稣基督包含遵守诫命。律法并未被废掉，</w:t>
      </w:r>
      <w:r>
        <w:rPr>
          <w:rStyle w:val="FootnoteReference"/>
        </w:rPr>
        <w:footnoteReference w:id="3194"/>
      </w:r>
      <w:r>
        <w:t xml:space="preserve">相反，人被邀请在他师傅的位格中重新发现律法；他正是律法的完美成全。在对观福音中，耶稣呼召那富有的少年人跟随他——以门徒的顺服并遵守诫命——也与呼召贫穷与贞洁相连。</w:t>
      </w:r>
      <w:r>
        <w:rPr>
          <w:rStyle w:val="FootnoteReference"/>
        </w:rPr>
        <w:footnoteReference w:id="3195"/>
      </w:r>
      <w:r>
        <w:t xml:space="preserve">福音劝谕与诫命不可分离。</w:t>
      </w:r>
    </w:p>
    <w:p>
      <w:pPr>
        <w:pStyle w:val="BodyText"/>
      </w:pPr>
      <w:r>
        <w:t xml:space="preserve">耶稣承认十诫，但他也显示出圣灵在其文字中运行的能力。他宣讲一种「你们的义若不胜于文士和法利赛人的义，断不能进天国」的义，</w:t>
      </w:r>
      <w:r>
        <w:rPr>
          <w:rStyle w:val="FootnoteReference"/>
        </w:rPr>
        <w:footnoteReference w:id="3196"/>
      </w:r>
      <w:r>
        <w:t xml:space="preserve">也胜过外邦人的义。</w:t>
      </w:r>
      <w:r>
        <w:rPr>
          <w:rStyle w:val="FootnoteReference"/>
        </w:rPr>
        <w:footnoteReference w:id="3197"/>
      </w:r>
      <w:r>
        <w:t xml:space="preserve">他展开了诫命的一切要求：「你们听见有吩咐古人的话，说：不可杀人；又说：凡杀人的难免受审判。只是我告诉你们，凡向弟兄动怒的，难免受审判。」</w:t>
      </w:r>
      <w:r>
        <w:rPr>
          <w:rStyle w:val="FootnoteReference"/>
        </w:rPr>
        <w:footnoteReference w:id="3198"/>
      </w:r>
    </w:p>
    <w:p>
      <w:pPr>
        <w:pStyle w:val="BodyText"/>
      </w:pPr>
      <w:r>
        <w:t xml:space="preserve">当有人问他：「夫子，律法上的诫命，那一条是最大的呢？」</w:t>
      </w:r>
      <w:r>
        <w:rPr>
          <w:rStyle w:val="FootnoteReference"/>
        </w:rPr>
        <w:footnoteReference w:id="3199"/>
      </w:r>
      <w:r>
        <w:t xml:space="preserve">耶稣回答说：「你要尽心、尽性、尽意爱主你的神。这是诫命中的第一，且是最大的。其次也相仿，就是要爱人如己。这两条诫命是律法和先知一切道理的总纲。」</w:t>
      </w:r>
      <w:r>
        <w:rPr>
          <w:rStyle w:val="FootnoteReference"/>
        </w:rPr>
        <w:footnoteReference w:id="3200"/>
      </w:r>
      <w:r>
        <w:t xml:space="preserve">十诫必须在这双重却又单一的爱之诫命之光中来理解；这爱之诫命是律法的圆满：</w:t>
      </w:r>
    </w:p>
    <w:p>
      <w:pPr>
        <w:pStyle w:val="BlockText"/>
      </w:pPr>
      <w:r>
        <w:t xml:space="preserve">像那不可奸淫、不可杀人、不可偷盗、不可贪婪，或有别的诫命，都包在「爱人如己」这一句话之内了。爱是不加害与人的，所以爱就完全了律法。</w:t>
      </w:r>
      <w:r>
        <w:rPr>
          <w:rStyle w:val="FootnoteReference"/>
        </w:rPr>
        <w:footnoteReference w:id="3201"/>
      </w:r>
    </w:p>
    <w:bookmarkStart w:id="3218" w:name="圣经中的十诫"/>
    <w:p>
      <w:pPr>
        <w:pStyle w:val="Heading3"/>
      </w:pPr>
      <w:r>
        <w:t xml:space="preserve">圣经中的十诫</w:t>
      </w:r>
    </w:p>
    <w:p>
      <w:pPr>
        <w:pStyle w:val="FirstParagraph"/>
      </w:pPr>
      <w:r>
        <w:t xml:space="preserve">「Decalogue」一词字面意思是「十句话」。</w:t>
      </w:r>
      <w:r>
        <w:rPr>
          <w:rStyle w:val="FootnoteReference"/>
        </w:rPr>
        <w:footnoteReference w:id="3202"/>
      </w:r>
      <w:r>
        <w:t xml:space="preserve">神在圣山上把这「十句话」启示给他的子民。它们是「用神的指头」写的，</w:t>
      </w:r>
      <w:r>
        <w:rPr>
          <w:rStyle w:val="FootnoteReference"/>
        </w:rPr>
        <w:footnoteReference w:id="3203"/>
      </w:r>
      <w:r>
        <w:t xml:space="preserve">不同于摩西写下的其他诫命。</w:t>
      </w:r>
      <w:r>
        <w:rPr>
          <w:rStyle w:val="FootnoteReference"/>
        </w:rPr>
        <w:footnoteReference w:id="3204"/>
      </w:r>
      <w:r>
        <w:t xml:space="preserve">它们特别是神的话。它们在出埃及记</w:t>
      </w:r>
      <w:r>
        <w:rPr>
          <w:rStyle w:val="FootnoteReference"/>
        </w:rPr>
        <w:footnoteReference w:id="3205"/>
      </w:r>
      <w:r>
        <w:t xml:space="preserve">和申命记</w:t>
      </w:r>
      <w:r>
        <w:rPr>
          <w:rStyle w:val="FootnoteReference"/>
        </w:rPr>
        <w:footnoteReference w:id="3206"/>
      </w:r>
      <w:r>
        <w:t xml:space="preserve">中传给我们。从旧约开始，圣书就提到这「十句话」；</w:t>
      </w:r>
      <w:r>
        <w:rPr>
          <w:rStyle w:val="FootnoteReference"/>
        </w:rPr>
        <w:footnoteReference w:id="3207"/>
      </w:r>
      <w:r>
        <w:t xml:space="preserve">但它们完整的意义将会在耶稣基督所立的新约中被启示出来。</w:t>
      </w:r>
    </w:p>
    <w:p>
      <w:pPr>
        <w:pStyle w:val="BodyText"/>
      </w:pPr>
      <w:r>
        <w:t xml:space="preserve">十诫首先必须在出埃及的脉络中理解；出埃及是神伟大的解放事件，也是旧约的核心。无论十诫被表述为否定性的诫命、禁止，还是表述为积极的命令，例如：「当孝敬父母」，「十句话」都指出一种脱离罪的奴役之后之生活的条件。十诫是一条生命之路：</w:t>
      </w:r>
    </w:p>
    <w:p>
      <w:pPr>
        <w:pStyle w:val="BlockText"/>
      </w:pPr>
      <w:r>
        <w:t xml:space="preserve">吩咐你爱耶和华你的神，遵行他的道，谨守他的诫命、律例、典章，使你可以存活，人数增多，耶和华你神就必在你所要进去得为业的地上赐福与你。</w:t>
      </w:r>
      <w:r>
        <w:rPr>
          <w:rStyle w:val="FootnoteReference"/>
        </w:rPr>
        <w:footnoteReference w:id="3208"/>
      </w:r>
    </w:p>
    <w:p>
      <w:pPr>
        <w:pStyle w:val="FirstParagraph"/>
      </w:pPr>
      <w:r>
        <w:t xml:space="preserve">十诫这种解放的能力，例如在关于安息日安息的诫命中显明出来；这诫命也针对寄居的外人和奴仆：</w:t>
      </w:r>
    </w:p>
    <w:p>
      <w:pPr>
        <w:pStyle w:val="BlockText"/>
      </w:pPr>
      <w:r>
        <w:t xml:space="preserve">你也要记念你在埃及地作过奴仆；耶和华你神用大能的手和伸出来的膀臂将你从那里领出来；因此，耶和华你神吩咐你守安息日。</w:t>
      </w:r>
      <w:r>
        <w:rPr>
          <w:rStyle w:val="FootnoteReference"/>
        </w:rPr>
        <w:footnoteReference w:id="3209"/>
      </w:r>
    </w:p>
    <w:p>
      <w:pPr>
        <w:pStyle w:val="FirstParagraph"/>
      </w:pPr>
      <w:r>
        <w:t xml:space="preserve">「十句话」总结并宣告神的律法：「这些话是耶和华在山上，从火中、云中、幽暗中，大声晓谕你们全会众的，此外并没有添别的话。他就把这话写在两块石版上，交给我了。」</w:t>
      </w:r>
      <w:r>
        <w:rPr>
          <w:rStyle w:val="FootnoteReference"/>
        </w:rPr>
        <w:footnoteReference w:id="3210"/>
      </w:r>
      <w:r>
        <w:t xml:space="preserve">因此，这两块石版被称为「法版」。事实上，它们包含神与他子民所立之约的条款。这些「法版」要放在「约柜」里。</w:t>
      </w:r>
      <w:r>
        <w:rPr>
          <w:rStyle w:val="FootnoteReference"/>
        </w:rPr>
        <w:footnoteReference w:id="3211"/>
      </w:r>
    </w:p>
    <w:p>
      <w:pPr>
        <w:pStyle w:val="BodyText"/>
      </w:pPr>
      <w:r>
        <w:t xml:space="preserve">「十句话」是在神显现时由神宣告的（「耶和华在山上，从火中，面对面与你们说话。」）。</w:t>
      </w:r>
      <w:r>
        <w:rPr>
          <w:rStyle w:val="FootnoteReference"/>
        </w:rPr>
        <w:footnoteReference w:id="3212"/>
      </w:r>
      <w:r>
        <w:t xml:space="preserve">它们属于神对他自己的启示，也属于他荣耀的启示。诫命的恩赐就是神自己以及他圣洁旨意的恩赐。神在使他的旨意为人所知时，也把他自己启示给他的子民。</w:t>
      </w:r>
    </w:p>
    <w:p>
      <w:pPr>
        <w:pStyle w:val="BodyText"/>
      </w:pPr>
      <w:r>
        <w:t xml:space="preserve">诫命与律法的恩赐属于神以自己的名所印证的约的一部分。在出埃及记中，「十句话」的启示是在约的提议</w:t>
      </w:r>
      <w:r>
        <w:rPr>
          <w:rStyle w:val="FootnoteReference"/>
        </w:rPr>
        <w:footnoteReference w:id="3213"/>
      </w:r>
      <w:r>
        <w:t xml:space="preserve">与约的缔结之间赐下的——那是在百姓承诺要「遵行」耶和华所说的一切，并且要「听从」之后。</w:t>
      </w:r>
      <w:r>
        <w:rPr>
          <w:rStyle w:val="FootnoteReference"/>
        </w:rPr>
        <w:footnoteReference w:id="3214"/>
      </w:r>
      <w:r>
        <w:t xml:space="preserve">十诫从来不是不先回忆这约就被传递的（「耶和华我们的神在何烈山与我们立约。」）。</w:t>
      </w:r>
      <w:r>
        <w:rPr>
          <w:rStyle w:val="FootnoteReference"/>
        </w:rPr>
        <w:footnoteReference w:id="3215"/>
      </w:r>
    </w:p>
    <w:p>
      <w:pPr>
        <w:pStyle w:val="BodyText"/>
      </w:pPr>
      <w:r>
        <w:t xml:space="preserve">诫命在约中获得完整的意义。按圣经，人的道德生活一切意义都在约里，并且通过约而获得意义。「十句话」的第一句话提醒人：神先爱了他的子民：</w:t>
      </w:r>
    </w:p>
    <w:p>
      <w:pPr>
        <w:pStyle w:val="BlockText"/>
      </w:pPr>
      <w:r>
        <w:t xml:space="preserve">由于罪的惩罚，人从自由的乐园过渡到这世界的奴役，因此十诫的开头，神诫命的第一句话，关乎自由：「我是耶和华你的神，曾将你从埃及地为奴之家领出来。」</w:t>
      </w:r>
      <w:r>
        <w:rPr>
          <w:rStyle w:val="FootnoteReference"/>
        </w:rPr>
        <w:footnoteReference w:id="3216"/>
      </w:r>
    </w:p>
    <w:p>
      <w:pPr>
        <w:pStyle w:val="FirstParagraph"/>
      </w:pPr>
      <w:r>
        <w:t xml:space="preserve">严格意义上的诫命排在第二：它们表达借着立约而归属于神的后果。道德存在是对主之爱之主动的回应。它是向神的承认与致敬，是一种感恩的敬拜。它也是与神在历史中所实行的计划相合作。</w:t>
      </w:r>
    </w:p>
    <w:p>
      <w:pPr>
        <w:pStyle w:val="BodyText"/>
      </w:pPr>
      <w:r>
        <w:t xml:space="preserve">神与人之间的约与对话也由这样一个事实作证：一切义务都用第一人称表达（「我是耶和华」），并且由神对另一个位格主体（「你」）说。在神的一切诫命中，单数的人称代词指向接受者。神向每一个人具体启示他的旨意，同时也向全体子民启示：</w:t>
      </w:r>
    </w:p>
    <w:p>
      <w:pPr>
        <w:pStyle w:val="BlockText"/>
      </w:pPr>
      <w:r>
        <w:t xml:space="preserve">主规定了爱神，也教导了向邻人的公义，好使人既不不公义，也不对神不配。因此，神借着十诫，预备人作他的朋友，并与邻人和睦同住……十诫的话同样也为我们基督徒而存留。它们绝没有被废掉；相反，因主在肉身中的来临，它们得到了扩展与发展。</w:t>
      </w:r>
      <w:r>
        <w:rPr>
          <w:rStyle w:val="FootnoteReference"/>
        </w:rPr>
        <w:footnoteReference w:id="3217"/>
      </w:r>
    </w:p>
    <w:bookmarkEnd w:id="3218"/>
    <w:bookmarkStart w:id="3222" w:name="教会传统中的十诫"/>
    <w:p>
      <w:pPr>
        <w:pStyle w:val="Heading3"/>
      </w:pPr>
      <w:r>
        <w:t xml:space="preserve">教会传统中的十诫</w:t>
      </w:r>
    </w:p>
    <w:p>
      <w:pPr>
        <w:pStyle w:val="FirstParagraph"/>
      </w:pPr>
      <w:r>
        <w:t xml:space="preserve">教会的传统忠于圣经，也符合耶稣的榜样，一直承认十诫的首要重要性与意义。</w:t>
      </w:r>
    </w:p>
    <w:p>
      <w:pPr>
        <w:pStyle w:val="BodyText"/>
      </w:pPr>
      <w:r>
        <w:t xml:space="preserve">自圣奥古斯丁以来，十诫在给受洗者与信徒的教理讲授中一直占据主要地位。到了十五世纪，人们形成一种习惯：用押韵、易背、且以肯定方式表达的公式来陈述十诫。这些公式至今仍在使用。教会的教理书常常按十诫的次序来阐释基督徒的道德生活。</w:t>
      </w:r>
    </w:p>
    <w:p>
      <w:pPr>
        <w:pStyle w:val="BodyText"/>
      </w:pPr>
      <w:r>
        <w:t xml:space="preserve">诫命的划分与编号在历史进程中有所不同。本《公教会教理》遵循圣奥古斯丁所确立的划分方式；这已成为公教会的传统做法。路德宗的认信也采取这种划分。希腊教父制定出一种略有不同的划分方式；这种方式见于东正教会与改革宗团体。</w:t>
      </w:r>
    </w:p>
    <w:p>
      <w:pPr>
        <w:pStyle w:val="BodyText"/>
      </w:pPr>
      <w:r>
        <w:t xml:space="preserve">十诫陈述爱神与爱邻人所要求的事。前三条关乎爱神，后七条关乎爱邻人。</w:t>
      </w:r>
    </w:p>
    <w:p>
      <w:pPr>
        <w:pStyle w:val="BlockText"/>
      </w:pPr>
      <w:r>
        <w:t xml:space="preserve">既然仁爱包含主用以关联整部律法和先知的两条诫命……十诫本身也写在两块法版上：三条写在一块上，七条写在另一块上。</w:t>
      </w:r>
      <w:r>
        <w:rPr>
          <w:rStyle w:val="FootnoteReference"/>
        </w:rPr>
        <w:footnoteReference w:id="3219"/>
      </w:r>
    </w:p>
    <w:p>
      <w:pPr>
        <w:pStyle w:val="FirstParagraph"/>
      </w:pPr>
      <w:r>
        <w:t xml:space="preserve">特利腾会议教导：十诫对基督徒仍有约束力，而称义的人仍受其约束，必须遵守。</w:t>
      </w:r>
      <w:r>
        <w:rPr>
          <w:rStyle w:val="FootnoteReference"/>
        </w:rPr>
        <w:footnoteReference w:id="3220"/>
      </w:r>
      <w:r>
        <w:t xml:space="preserve">梵二也确认：「主……把教导万民、向万民宣讲福音的使命，交给主教们——使徒的继承人——使众人能借着信心、洗礼以及遵守诫命而得救。」</w:t>
      </w:r>
      <w:r>
        <w:rPr>
          <w:rStyle w:val="FootnoteReference"/>
        </w:rPr>
        <w:footnoteReference w:id="3221"/>
      </w:r>
    </w:p>
    <w:bookmarkEnd w:id="3222"/>
    <w:bookmarkStart w:id="3224" w:name="十诫的合一"/>
    <w:p>
      <w:pPr>
        <w:pStyle w:val="Heading3"/>
      </w:pPr>
      <w:r>
        <w:t xml:space="preserve">十诫的合一</w:t>
      </w:r>
    </w:p>
    <w:p>
      <w:pPr>
        <w:pStyle w:val="FirstParagraph"/>
      </w:pPr>
      <w:r>
        <w:t xml:space="preserve">十诫构成一个连贯的整体。每一句「话」都指向其他每一句，也指向全部；它们彼此为条件。两块法版彼此照明，形成有机的合一。触犯一条诫命，就是违犯其余一切。</w:t>
      </w:r>
      <w:r>
        <w:rPr>
          <w:rStyle w:val="FootnoteReference"/>
        </w:rPr>
        <w:footnoteReference w:id="3223"/>
      </w:r>
      <w:r>
        <w:t xml:space="preserve">人不能在不颂赞神——他的造物主——的情况下尊敬他人。人不能在不爱所有人——神的受造物——的情况下敬拜神。十诫把人的宗教生活与社会生活统一起来。</w:t>
      </w:r>
    </w:p>
    <w:bookmarkEnd w:id="3224"/>
    <w:bookmarkStart w:id="3227" w:name="十诫与自然律"/>
    <w:p>
      <w:pPr>
        <w:pStyle w:val="Heading3"/>
      </w:pPr>
      <w:r>
        <w:t xml:space="preserve">十诫与自然律</w:t>
      </w:r>
    </w:p>
    <w:p>
      <w:pPr>
        <w:pStyle w:val="FirstParagraph"/>
      </w:pPr>
      <w:r>
        <w:t xml:space="preserve">十诫属于神的启示。同时，它们也教导我们人的真实人性。它们揭示那些基本义务，因此也间接揭示那内在于人的本性之基本权利。十诫包含对自然律一种特殊的表达：</w:t>
      </w:r>
    </w:p>
    <w:p>
      <w:pPr>
        <w:pStyle w:val="BlockText"/>
      </w:pPr>
      <w:r>
        <w:t xml:space="preserve">从起初起，神就把自然律的诫命植入人的心里。后来，他只需要提醒人这些诫命；这就是十诫。</w:t>
      </w:r>
      <w:r>
        <w:rPr>
          <w:rStyle w:val="FootnoteReference"/>
        </w:rPr>
        <w:footnoteReference w:id="3225"/>
      </w:r>
    </w:p>
    <w:p>
      <w:pPr>
        <w:pStyle w:val="FirstParagraph"/>
      </w:pPr>
      <w:r>
        <w:t xml:space="preserve">十诫的诫命虽然单凭理性也能认识，但仍被启示出来。为了对自然律的要求得到完整且确定的理解，有罪的人类需要这种启示：</w:t>
      </w:r>
    </w:p>
    <w:p>
      <w:pPr>
        <w:pStyle w:val="BlockText"/>
      </w:pPr>
      <w:r>
        <w:t xml:space="preserve">在罪的状态下，要对十诫的诫命作完整的阐释是必要的，因为理性的光已经昏暗，意志也已经偏离。</w:t>
      </w:r>
      <w:r>
        <w:rPr>
          <w:rStyle w:val="FootnoteReference"/>
        </w:rPr>
        <w:footnoteReference w:id="3226"/>
      </w:r>
    </w:p>
    <w:p>
      <w:pPr>
        <w:pStyle w:val="FirstParagraph"/>
      </w:pPr>
      <w:r>
        <w:t xml:space="preserve">我们借着教会向我们所提出的神的启示，也借着道德良知的声音，认识神的诫命。</w:t>
      </w:r>
    </w:p>
    <w:bookmarkEnd w:id="3227"/>
    <w:bookmarkStart w:id="3228" w:name="十诫的义务"/>
    <w:p>
      <w:pPr>
        <w:pStyle w:val="Heading3"/>
      </w:pPr>
      <w:r>
        <w:t xml:space="preserve">十诫的义务</w:t>
      </w:r>
    </w:p>
    <w:p>
      <w:pPr>
        <w:pStyle w:val="FirstParagraph"/>
      </w:pPr>
      <w:r>
        <w:t xml:space="preserve">十诫表达人对神与对邻人的基本义务，因此在其原初内容上揭示了重大的义务。它们根本上不可改变，并且在任何时候、任何地点都有约束力。没有人能免除遵守它们的义务。十诫是神刻在人心里的。</w:t>
      </w:r>
    </w:p>
    <w:p>
      <w:pPr>
        <w:pStyle w:val="BodyText"/>
      </w:pPr>
      <w:r>
        <w:t xml:space="preserve">遵守诫命也意味着，即使在本身属于轻微事项的事上，也有义务。因此，第五诫禁止辱骂的话，但只有在特定处境或冒犯者的意图使然时，才会构成严重的冒犯。</w:t>
      </w:r>
    </w:p>
    <w:bookmarkEnd w:id="3228"/>
    <w:bookmarkStart w:id="3232" w:name="离了我你们就不能做什么"/>
    <w:p>
      <w:pPr>
        <w:pStyle w:val="Heading3"/>
      </w:pPr>
      <w:r>
        <w:t xml:space="preserve">「离了我，你们就不能做什么」</w:t>
      </w:r>
    </w:p>
    <w:p>
      <w:pPr>
        <w:pStyle w:val="FirstParagraph"/>
      </w:pPr>
      <w:r>
        <w:t xml:space="preserve">耶稣说：「我是葡萄树，你们是枝子；常在我里面的，我也常在他里面，这人就多结果子；因为离了我，你们就不能做什么。」</w:t>
      </w:r>
      <w:r>
        <w:rPr>
          <w:rStyle w:val="FootnoteReference"/>
        </w:rPr>
        <w:footnoteReference w:id="3229"/>
      </w:r>
      <w:r>
        <w:t xml:space="preserve">这句话所说的「果子」，是指一种因与基督结合而结出果实的圣德生活。当我们信耶稣基督，参与他的奥秘，并遵守他的诫命时，救主自己就来到我们里面，在我们里面去爱他的父和他的弟兄，也就是我们的父和我们的弟兄。他的位格借着圣灵，成为我们行动中活的、内在的准则。「你们要彼此相爱，像我爱你们一样；这就是我的命令。」</w:t>
      </w:r>
      <w:r>
        <w:rPr>
          <w:rStyle w:val="FootnoteReference"/>
        </w:rPr>
        <w:footnoteReference w:id="3230"/>
      </w:r>
    </w:p>
    <w:bookmarkStart w:id="3231" w:name="综述-55"/>
    <w:p>
      <w:pPr>
        <w:pStyle w:val="Heading4"/>
      </w:pPr>
      <w:r>
        <w:t xml:space="preserve">综述</w:t>
      </w:r>
    </w:p>
    <w:p>
      <w:pPr>
        <w:pStyle w:val="FirstParagraph"/>
      </w:pPr>
      <w:r>
        <w:t xml:space="preserve">「夫子，我该作什么善事，才能得永生？」——「你若要进入永生，就当遵守诫命。」（太19:16-17）。</w:t>
      </w:r>
    </w:p>
    <w:p>
      <w:pPr>
        <w:pStyle w:val="BodyText"/>
      </w:pPr>
      <w:r>
        <w:t xml:space="preserve">耶稣借着他的生活与宣讲，证实十诫具有恒久的效力。</w:t>
      </w:r>
    </w:p>
    <w:p>
      <w:pPr>
        <w:pStyle w:val="BodyText"/>
      </w:pPr>
      <w:r>
        <w:t xml:space="preserve">十诫的恩赐是在神与他子民所立的约中赐下的。神的诫命在这约里，并且藉着这约，获得其真正的意义。</w:t>
      </w:r>
    </w:p>
    <w:p>
      <w:pPr>
        <w:pStyle w:val="BodyText"/>
      </w:pPr>
      <w:r>
        <w:t xml:space="preserve">教会的传统忠于圣经，也符合耶稣的榜样，始终承认十诫的首要重要性与意义。</w:t>
      </w:r>
    </w:p>
    <w:p>
      <w:pPr>
        <w:pStyle w:val="BodyText"/>
      </w:pPr>
      <w:r>
        <w:t xml:space="preserve">十诫构成一个有机的合一，其中每一句「话」或「诫命」都指向其他一切，并指向整体。触犯一条诫命，就是违犯整部律法（参雅2:10-11）。</w:t>
      </w:r>
    </w:p>
    <w:p>
      <w:pPr>
        <w:pStyle w:val="BodyText"/>
      </w:pPr>
      <w:r>
        <w:t xml:space="preserve">十诫包含对自然律一种特殊的表达。它借着神的启示，也借着人的理性，而为我们所知。</w:t>
      </w:r>
    </w:p>
    <w:p>
      <w:pPr>
        <w:pStyle w:val="BodyText"/>
      </w:pPr>
      <w:r>
        <w:t xml:space="preserve">十诫在其根本内容上陈述重大的义务。然而，遵守这些规定也意味着，即使在本身属于轻微事项的事上，也有义务。</w:t>
      </w:r>
    </w:p>
    <w:p>
      <w:pPr>
        <w:pStyle w:val="BodyText"/>
      </w:pPr>
      <w:r>
        <w:t xml:space="preserve">神所命令的，他借着恩典使之成为可能。</w:t>
      </w:r>
    </w:p>
    <w:p>
      <w:r>
        <w:br w:type="page"/>
      </w:r>
    </w:p>
    <w:bookmarkEnd w:id="3231"/>
    <w:bookmarkEnd w:id="3232"/>
    <w:bookmarkStart w:id="3372" w:name="第一章你要尽心尽性尽意爱主你的神"/>
    <w:p>
      <w:pPr>
        <w:pStyle w:val="Heading3"/>
      </w:pPr>
      <w:r>
        <w:t xml:space="preserve">第一章：「你要尽心、尽性、尽意爱主你的神」</w:t>
      </w:r>
    </w:p>
    <w:p>
      <w:pPr>
        <w:pStyle w:val="FirstParagraph"/>
      </w:pPr>
      <w:r>
        <w:t xml:space="preserve">耶稣用这句话总结人对神的责任：「你要尽心、尽性、尽意爱主你的神。」</w:t>
      </w:r>
      <w:r>
        <w:rPr>
          <w:rStyle w:val="FootnoteReference"/>
        </w:rPr>
        <w:footnoteReference w:id="3233"/>
      </w:r>
      <w:r>
        <w:t xml:space="preserve">这立刻呼应那庄严的呼召：「以色列啊，你要听！耶和华我们神是独一的主。」</w:t>
      </w:r>
      <w:r>
        <w:rPr>
          <w:rStyle w:val="FootnoteReference"/>
        </w:rPr>
        <w:footnoteReference w:id="3234"/>
      </w:r>
      <w:r>
        <w:t xml:space="preserve">神先爱了我们。对独一之神的爱，在「十句话」的第一句话里被提醒。随后，诫命把人被召要向神作出的爱之回应具体展开。</w:t>
      </w:r>
    </w:p>
    <w:p>
      <w:r>
        <w:br w:type="page"/>
      </w:r>
    </w:p>
    <w:bookmarkStart w:id="3307" w:name="第一条第一诫"/>
    <w:p>
      <w:pPr>
        <w:pStyle w:val="Heading4"/>
      </w:pPr>
      <w:r>
        <w:t xml:space="preserve">第一条：第一诫</w:t>
      </w:r>
    </w:p>
    <w:p>
      <w:pPr>
        <w:pStyle w:val="BlockText"/>
      </w:pPr>
      <w:r>
        <w:t xml:space="preserve">「我是耶和华你的神，曾将你从埃及地为奴之家领出来。</w:t>
      </w:r>
      <w:r>
        <w:t xml:space="preserve"> </w:t>
      </w:r>
      <w:r>
        <w:t xml:space="preserve">除了我以外，你不可有别的神。</w:t>
      </w:r>
      <w:r>
        <w:t xml:space="preserve"> </w:t>
      </w:r>
      <w:r>
        <w:t xml:space="preserve">不可为自己雕刻偶像，也不可作什么形像仿佛上天、下地，和地底下、水中的百物。</w:t>
      </w:r>
      <w:r>
        <w:t xml:space="preserve"> </w:t>
      </w:r>
      <w:r>
        <w:t xml:space="preserve">不可跪拜那些像，也不可事奉它们；」</w:t>
      </w:r>
      <w:r>
        <w:rPr>
          <w:rStyle w:val="FootnoteReference"/>
        </w:rPr>
        <w:footnoteReference w:id="3235"/>
      </w:r>
    </w:p>
    <w:p>
      <w:pPr>
        <w:pStyle w:val="BlockText"/>
      </w:pPr>
      <w:r>
        <w:t xml:space="preserve">经上记着说：「当拜主你的神，单要事奉他。」</w:t>
      </w:r>
      <w:r>
        <w:rPr>
          <w:rStyle w:val="FootnoteReference"/>
        </w:rPr>
        <w:footnoteReference w:id="3236"/>
      </w:r>
    </w:p>
    <w:bookmarkStart w:id="3245" w:name="一当拜主你的神单要事奉他"/>
    <w:p>
      <w:pPr>
        <w:pStyle w:val="Heading5"/>
      </w:pPr>
      <w:r>
        <w:t xml:space="preserve">一、「当拜主你的神，单要事奉他」</w:t>
      </w:r>
    </w:p>
    <w:p>
      <w:pPr>
        <w:pStyle w:val="FirstParagraph"/>
      </w:pPr>
      <w:r>
        <w:t xml:space="preserve">神借着回忆他在被他对话之人的历史中，那全能、慈爱并解放人的行动，使人认识他自己：「曾将你从埃及地为奴之家领出来。」第一句话包含律法的第一条诫命：「你要敬畏耶和华你的神，事奉他，指着他的名起誓。不可随从别神，就是你们四围国民的神。」</w:t>
      </w:r>
      <w:r>
        <w:rPr>
          <w:rStyle w:val="FootnoteReference"/>
        </w:rPr>
        <w:footnoteReference w:id="3237"/>
      </w:r>
      <w:r>
        <w:t xml:space="preserve">神的第一声呼召与公义的要求，是要人接纳他，并敬拜他。</w:t>
      </w:r>
    </w:p>
    <w:p>
      <w:pPr>
        <w:pStyle w:val="BodyText"/>
      </w:pPr>
      <w:r>
        <w:t xml:space="preserve">独一真实的神首先向以色列启示他的荣耀。</w:t>
      </w:r>
      <w:r>
        <w:rPr>
          <w:rStyle w:val="FootnoteReference"/>
        </w:rPr>
        <w:footnoteReference w:id="3238"/>
      </w:r>
      <w:r>
        <w:t xml:space="preserve">人的圣召与真理的启示，和神的启示紧密相连。人的圣召，是要借着按他「按神的形像和样式」的受造而行动，使神得以显明：</w:t>
      </w:r>
    </w:p>
    <w:p>
      <w:pPr>
        <w:pStyle w:val="BodyText"/>
      </w:pPr>
      <w:r>
        <w:t xml:space="preserve">「特来弗啊，永远不会有别的神；从世界开始以来，也没有别的神……只有那位创造并安排宇宙的神。我们并不认为我们的神和你们的神不同。他就是那位『用大能的手和伸出来的膀臂』领你们列祖出埃及的神。我们不把盼望放在别的神身上，因为并没有别的神；而是放在与你们相同的那位神身上：亚伯拉罕、以撒和雅各的神。」</w:t>
      </w:r>
      <w:r>
        <w:rPr>
          <w:rStyle w:val="FootnoteReference"/>
        </w:rPr>
        <w:footnoteReference w:id="3239"/>
      </w:r>
    </w:p>
    <w:p>
      <w:pPr>
        <w:pStyle w:val="BodyText"/>
      </w:pPr>
      <w:r>
        <w:t xml:space="preserve">「第一诫包含信心、盼望和仁爱。当我们说『神』时，我们宣认一位恒常、不变的存在：他永远同一，信实而公义，没有任何恶。因此，我们必然要接受他的话，对他有完全的信心，并承认他的权威。他全能、仁慈，并无限施惠。有谁不能把一切盼望都放在他身上呢？有谁在默想他倾注在我们身上的良善与慈爱之宝藏时，还不能爱他呢？因此，神在圣经里在他诫命的开始和结束所用的公式是：『我是耶和华。』」</w:t>
      </w:r>
      <w:r>
        <w:rPr>
          <w:rStyle w:val="FootnoteReference"/>
        </w:rPr>
        <w:footnoteReference w:id="3240"/>
      </w:r>
    </w:p>
    <w:p>
      <w:pPr>
        <w:pStyle w:val="BodyText"/>
      </w:pPr>
      <w:r>
        <w:rPr>
          <w:b/>
          <w:bCs/>
        </w:rPr>
        <w:t xml:space="preserve">信心</w:t>
      </w:r>
      <w:r>
        <w:t xml:space="preserve"> </w:t>
      </w:r>
      <w:r>
        <w:t xml:space="preserve">我们的道德生活源于对神的信心；神把他的爱启示给我们。圣保罗把「信道是从听道来的」</w:t>
      </w:r>
      <w:r>
        <w:rPr>
          <w:rStyle w:val="FootnoteReference"/>
        </w:rPr>
        <w:footnoteReference w:id="3241"/>
      </w:r>
      <w:r>
        <w:t xml:space="preserve">所要求的「信心的顺服」称为我们首要的义务。他指出，「不认识神」是一切道德偏差的原则和解释。</w:t>
      </w:r>
      <w:r>
        <w:rPr>
          <w:rStyle w:val="FootnoteReference"/>
        </w:rPr>
        <w:footnoteReference w:id="3242"/>
      </w:r>
      <w:r>
        <w:t xml:space="preserve">我们对神的义务，就是信他，并为他作见证。</w:t>
      </w:r>
    </w:p>
    <w:p>
      <w:pPr>
        <w:pStyle w:val="BodyText"/>
      </w:pPr>
      <w:r>
        <w:t xml:space="preserve">第一诫要求我们以明智与警醒来滋养并保护我们的信心，并拒绝一切与信心相反的事。有多种方式会得罪信心：</w:t>
      </w:r>
    </w:p>
    <w:p>
      <w:pPr>
        <w:pStyle w:val="BodyText"/>
      </w:pPr>
      <w:r>
        <w:t xml:space="preserve">对信心的自愿怀疑，是对神所启示、以及教会提出要人相信的真理不予理会，或拒绝把它当作真实。非自愿的怀疑，是指在相信上犹豫，在克服与信仰相关的反对意见上感到困难，或因信仰的幽暗而产生焦虑。若人故意培养怀疑，怀疑就会导致属灵的眼瞎。</w:t>
      </w:r>
    </w:p>
    <w:p>
      <w:pPr>
        <w:pStyle w:val="BodyText"/>
      </w:pPr>
      <w:r>
        <w:t xml:space="preserve">不信，是忽视启示的真理，或故意拒绝同意它。「异端是在领受洗礼之后，顽固否认某个必须以属神且大公的信心所信的真理，或同样顽固地怀疑该真理；背教是完全弃绝基督徒信仰；分裂是拒绝顺服罗马教宗，或拒绝与顺服他的教会成员共融。」</w:t>
      </w:r>
      <w:r>
        <w:rPr>
          <w:rStyle w:val="FootnoteReference"/>
        </w:rPr>
        <w:footnoteReference w:id="3243"/>
      </w:r>
    </w:p>
    <w:p>
      <w:pPr>
        <w:pStyle w:val="BodyText"/>
      </w:pPr>
      <w:r>
        <w:rPr>
          <w:b/>
          <w:bCs/>
        </w:rPr>
        <w:t xml:space="preserve">盼望</w:t>
      </w:r>
      <w:r>
        <w:t xml:space="preserve"> </w:t>
      </w:r>
      <w:r>
        <w:t xml:space="preserve">当神启示他自己并呼召人时，人不能凭自己的能力充分回应神的爱。他必须盼望神赐给他能力，使他能以爱回报神，并能按仁爱的诫命而行动。盼望就是对从神而来的祝福以及对见神之福乐的信赖期待；盼望也包含对冒犯神的爱、并招致惩罚的惧怕。</w:t>
      </w:r>
    </w:p>
    <w:p>
      <w:pPr>
        <w:pStyle w:val="BodyText"/>
      </w:pPr>
      <w:r>
        <w:t xml:space="preserve">第一诫也关乎得罪盼望的罪，也就是绝望与妄望：</w:t>
      </w:r>
    </w:p>
    <w:p>
      <w:pPr>
        <w:pStyle w:val="BodyText"/>
      </w:pPr>
      <w:r>
        <w:t xml:space="preserve">绝望使人不再盼望从神得着个人的救恩，不再盼望得着达到救恩的帮助，也不再盼望罪得赦免。绝望违背神的良善，也违背神的公义——因为主信实于他的应许——并且违背他的怜悯。</w:t>
      </w:r>
    </w:p>
    <w:p>
      <w:pPr>
        <w:pStyle w:val="BodyText"/>
      </w:pPr>
      <w:r>
        <w:t xml:space="preserve">妄望有两种。人要么妄凭自己的能力（盼望不用从上头来的帮助也能自救），要么妄凭神全能的权能或他的怜悯（盼望不必归正也能得赦免，不必有功劳也能得荣耀）。</w:t>
      </w:r>
    </w:p>
    <w:p>
      <w:pPr>
        <w:pStyle w:val="BodyText"/>
      </w:pPr>
      <w:r>
        <w:rPr>
          <w:b/>
          <w:bCs/>
        </w:rPr>
        <w:t xml:space="preserve">仁爱</w:t>
      </w:r>
      <w:r>
        <w:t xml:space="preserve"> </w:t>
      </w:r>
      <w:r>
        <w:t xml:space="preserve">对神之爱的信心包含一个呼召与义务：要以真诚的爱来回应出于神的仁爱。第一诫吩咐我们爱神胜过一切，并且为了神、也因为神而爱万有受造物。</w:t>
      </w:r>
      <w:r>
        <w:rPr>
          <w:rStyle w:val="FootnoteReference"/>
        </w:rPr>
        <w:footnoteReference w:id="3244"/>
      </w:r>
    </w:p>
    <w:p>
      <w:pPr>
        <w:pStyle w:val="BodyText"/>
      </w:pPr>
      <w:r>
        <w:t xml:space="preserve">人可以用多种方式得罪对神的爱：</w:t>
      </w:r>
    </w:p>
    <w:p>
      <w:pPr>
        <w:pStyle w:val="Compact"/>
        <w:numPr>
          <w:ilvl w:val="0"/>
          <w:numId w:val="1025"/>
        </w:numPr>
      </w:pPr>
      <w:r>
        <w:t xml:space="preserve">冷漠忽视或拒绝默想出于神的仁爱；它不顾念他先行的良善，并否认其能力。</w:t>
      </w:r>
    </w:p>
    <w:p>
      <w:pPr>
        <w:pStyle w:val="Compact"/>
        <w:numPr>
          <w:ilvl w:val="0"/>
          <w:numId w:val="1025"/>
        </w:numPr>
      </w:pPr>
      <w:r>
        <w:t xml:space="preserve">忘恩负义不承认或拒绝承认出于神的仁爱，也不把爱回报给他。</w:t>
      </w:r>
    </w:p>
    <w:p>
      <w:pPr>
        <w:pStyle w:val="Compact"/>
        <w:numPr>
          <w:ilvl w:val="0"/>
          <w:numId w:val="1025"/>
        </w:numPr>
      </w:pPr>
      <w:r>
        <w:t xml:space="preserve">冷淡是在回应出于神的爱时的犹豫或懈怠；它可能意味着拒绝把自己交给仁爱的催促。</w:t>
      </w:r>
    </w:p>
    <w:p>
      <w:pPr>
        <w:pStyle w:val="Compact"/>
        <w:numPr>
          <w:ilvl w:val="0"/>
          <w:numId w:val="1025"/>
        </w:numPr>
      </w:pPr>
      <w:r>
        <w:t xml:space="preserve">倦怠或属灵的懒惰甚至拒绝那从神而来的喜乐，并对神的良善感到厌恶。</w:t>
      </w:r>
    </w:p>
    <w:p>
      <w:pPr>
        <w:pStyle w:val="Compact"/>
        <w:numPr>
          <w:ilvl w:val="0"/>
          <w:numId w:val="1025"/>
        </w:numPr>
      </w:pPr>
      <w:r>
        <w:t xml:space="preserve">恨神出于骄傲。它违背爱神，因为它否认神的良善，并自以为可以咒诅那位禁止罪并施行惩罚的神。</w:t>
      </w:r>
    </w:p>
    <w:bookmarkEnd w:id="3245"/>
    <w:bookmarkStart w:id="3274" w:name="二单要事奉他"/>
    <w:p>
      <w:pPr>
        <w:pStyle w:val="Heading5"/>
      </w:pPr>
      <w:r>
        <w:t xml:space="preserve">二、「单要事奉他」</w:t>
      </w:r>
    </w:p>
    <w:p>
      <w:pPr>
        <w:pStyle w:val="FirstParagraph"/>
      </w:pPr>
      <w:r>
        <w:t xml:space="preserve">信心、盼望与仁爱这三种超自然德行塑造并赋予道德德行生命。因此，仁爱引导我们按公义把受造物所欠神的一切归还给神。宗教之德使我们倾向于持有这种态度。</w:t>
      </w:r>
    </w:p>
    <w:p>
      <w:pPr>
        <w:pStyle w:val="BodyText"/>
      </w:pPr>
      <w:r>
        <w:rPr>
          <w:b/>
          <w:bCs/>
        </w:rPr>
        <w:t xml:space="preserve">朝拜</w:t>
      </w:r>
    </w:p>
    <w:p>
      <w:pPr>
        <w:pStyle w:val="BodyText"/>
      </w:pPr>
      <w:r>
        <w:t xml:space="preserve">朝拜是宗教之德的第一种行动。朝拜神，就是承认他是神：他是造物主与救主，是一切存在之物的主与师傅，是无限而仁慈的爱。耶稣引用申命记说：「当拜主你的神，单要事奉他。」</w:t>
      </w:r>
      <w:r>
        <w:rPr>
          <w:rStyle w:val="FootnoteReference"/>
        </w:rPr>
        <w:footnoteReference w:id="3246"/>
      </w:r>
    </w:p>
    <w:p>
      <w:pPr>
        <w:pStyle w:val="BodyText"/>
      </w:pPr>
      <w:r>
        <w:t xml:space="preserve">朝拜神，就是在尊敬与绝对顺服中，承认「受造物的虚无」：若没有神，它就不能存在。朝拜神，就是赞美并尊崇他，并且谦卑自己；马利亚在尊主颂中就是如此，她满怀感恩地宣认：他为她成就大事，他的名为圣。</w:t>
      </w:r>
      <w:r>
        <w:rPr>
          <w:rStyle w:val="FootnoteReference"/>
        </w:rPr>
        <w:footnoteReference w:id="3247"/>
      </w:r>
      <w:r>
        <w:t xml:space="preserve">对独一之神的敬拜，使人脱离自我封闭，脱离罪的奴役，也脱离世界的偶像崇拜。</w:t>
      </w:r>
    </w:p>
    <w:p>
      <w:pPr>
        <w:pStyle w:val="BodyText"/>
      </w:pPr>
      <w:r>
        <w:rPr>
          <w:b/>
          <w:bCs/>
        </w:rPr>
        <w:t xml:space="preserve">祈祷</w:t>
      </w:r>
    </w:p>
    <w:p>
      <w:pPr>
        <w:pStyle w:val="BodyText"/>
      </w:pPr>
      <w:r>
        <w:t xml:space="preserve">第一诫所要求的信心、盼望和仁爱的行动，都在祈祷中完成。把心思举向神，是我们朝拜神的表达：赞美与感恩的祈祷，代祷与祈求的祈祷。祈祷是我们能够遵守神诫命不可或缺的条件。「要人常常祷告，不可灰心。」</w:t>
      </w:r>
      <w:r>
        <w:rPr>
          <w:rStyle w:val="FootnoteReference"/>
        </w:rPr>
        <w:footnoteReference w:id="3248"/>
      </w:r>
    </w:p>
    <w:p>
      <w:pPr>
        <w:pStyle w:val="BodyText"/>
      </w:pPr>
      <w:r>
        <w:rPr>
          <w:b/>
          <w:bCs/>
        </w:rPr>
        <w:t xml:space="preserve">祭献</w:t>
      </w:r>
    </w:p>
    <w:p>
      <w:pPr>
        <w:pStyle w:val="BodyText"/>
      </w:pPr>
      <w:r>
        <w:t xml:space="preserve">向神奉献祭献是合宜的，因为这是一种朝拜与感恩、祈求与共融的标记：「凡为着在圣洁的共融中与神相连，从而达到福乐而做的行动，都是真实的祭献。」</w:t>
      </w:r>
      <w:r>
        <w:rPr>
          <w:rStyle w:val="FootnoteReference"/>
        </w:rPr>
        <w:footnoteReference w:id="3249"/>
      </w:r>
    </w:p>
    <w:p>
      <w:pPr>
        <w:pStyle w:val="BodyText"/>
      </w:pPr>
      <w:r>
        <w:t xml:space="preserve">外在的祭献若要真实，就必须表达属灵的祭献：「神所要的祭就是忧伤的灵；」</w:t>
      </w:r>
      <w:r>
        <w:rPr>
          <w:rStyle w:val="FootnoteReference"/>
        </w:rPr>
        <w:footnoteReference w:id="3250"/>
      </w:r>
      <w:r>
        <w:t xml:space="preserve">旧约的先知常常谴责那些不是出于内心、或没有与爱邻人相连的祭献。</w:t>
      </w:r>
      <w:r>
        <w:rPr>
          <w:rStyle w:val="FootnoteReference"/>
        </w:rPr>
        <w:footnoteReference w:id="3251"/>
      </w:r>
      <w:r>
        <w:t xml:space="preserve">耶稣提醒人先知何西阿的话：「我喜爱怜恤，不喜爱祭祀。」</w:t>
      </w:r>
      <w:r>
        <w:rPr>
          <w:rStyle w:val="FootnoteReference"/>
        </w:rPr>
        <w:footnoteReference w:id="3252"/>
      </w:r>
      <w:r>
        <w:t xml:space="preserve">唯一完美的祭献，是基督在十字架上所奉献的祭献：他完全把自己奉献给父的爱，也为我们的救恩。</w:t>
      </w:r>
      <w:r>
        <w:rPr>
          <w:rStyle w:val="FootnoteReference"/>
        </w:rPr>
        <w:footnoteReference w:id="3253"/>
      </w:r>
      <w:r>
        <w:t xml:space="preserve">我们与他的祭献结合，就能使我们的生命成为献给神的祭献。</w:t>
      </w:r>
    </w:p>
    <w:p>
      <w:pPr>
        <w:pStyle w:val="BodyText"/>
      </w:pPr>
      <w:r>
        <w:rPr>
          <w:b/>
          <w:bCs/>
        </w:rPr>
        <w:t xml:space="preserve">许诺与誓愿</w:t>
      </w:r>
    </w:p>
    <w:p>
      <w:pPr>
        <w:pStyle w:val="BodyText"/>
      </w:pPr>
      <w:r>
        <w:t xml:space="preserve">在许多处境中，基督徒蒙召向神作出许诺。洗礼与坚振、婚姻与圣秩都包含许诺。出于个人的灵修，基督徒也可以向神许诺做这件事、做那次祈祷、做这次施舍、去那次朝圣，等等。忠于对神所作的许诺，是对神的威严所当有之敬意的标记，也是对那位信实之神的爱。</w:t>
      </w:r>
    </w:p>
    <w:p>
      <w:pPr>
        <w:pStyle w:val="BodyText"/>
      </w:pPr>
      <w:r>
        <w:t xml:space="preserve">「誓愿是人就一件可能且更美善的事，向神所作的慎重而自由的许诺；凭宗教之德的缘故，它必须履行。」</w:t>
      </w:r>
      <w:r>
        <w:rPr>
          <w:rStyle w:val="FootnoteReference"/>
        </w:rPr>
        <w:footnoteReference w:id="3254"/>
      </w:r>
      <w:r>
        <w:t xml:space="preserve">誓愿是一种灵修行动；基督徒在其中把自己奉献给神，或向神许诺某项善工。基督徒履行誓愿，就是把所许诺、也所奉献给神的归还给神。使徒行传向我们显示：圣保罗关切要履行他所许下的誓愿。</w:t>
      </w:r>
      <w:r>
        <w:rPr>
          <w:rStyle w:val="FootnoteReference"/>
        </w:rPr>
        <w:footnoteReference w:id="3255"/>
      </w:r>
    </w:p>
    <w:p>
      <w:pPr>
        <w:pStyle w:val="BodyText"/>
      </w:pPr>
      <w:r>
        <w:t xml:space="preserve">教会承认，为实践福音劝谕而立誓愿具有典范价值：</w:t>
      </w:r>
      <w:r>
        <w:rPr>
          <w:rStyle w:val="FootnoteReference"/>
        </w:rPr>
        <w:footnoteReference w:id="3256"/>
      </w:r>
    </w:p>
    <w:p>
      <w:pPr>
        <w:pStyle w:val="BlockText"/>
      </w:pPr>
      <w:r>
        <w:t xml:space="preserve">教会这位母亲欢喜看见：她里面有许多男女，更紧密地追随救主的虚己，也更清楚地把它显示出来；他们以神儿女的自由承担贫穷，并弃绝自己的意志：他们为神的缘故把自己交给人，从而在成全的事上超越诫命所要求的，更多使自己符合那顺服的基督。</w:t>
      </w:r>
      <w:r>
        <w:rPr>
          <w:rStyle w:val="FootnoteReference"/>
        </w:rPr>
        <w:footnoteReference w:id="3257"/>
      </w:r>
    </w:p>
    <w:p>
      <w:pPr>
        <w:pStyle w:val="FirstParagraph"/>
      </w:pPr>
      <w:r>
        <w:t xml:space="preserve">在某些情况并基于适当理由时，教会可以免除誓愿和许诺的义务。</w:t>
      </w:r>
      <w:r>
        <w:rPr>
          <w:rStyle w:val="FootnoteReference"/>
        </w:rPr>
        <w:footnoteReference w:id="3258"/>
      </w:r>
      <w:r>
        <w:t xml:space="preserve"> </w:t>
      </w:r>
      <w:r>
        <w:rPr>
          <w:b/>
          <w:bCs/>
        </w:rPr>
        <w:t xml:space="preserve">宗教的社会义务与宗教自由的权利</w:t>
      </w:r>
    </w:p>
    <w:p>
      <w:pPr>
        <w:pStyle w:val="BodyText"/>
      </w:pPr>
      <w:r>
        <w:t xml:space="preserve">「众人都应当寻求真理，尤其是那些关乎神和他的教会的真理；并且一旦认识了真理，就应当拥抱它并持守它。」</w:t>
      </w:r>
      <w:r>
        <w:rPr>
          <w:rStyle w:val="FootnoteReference"/>
        </w:rPr>
        <w:footnoteReference w:id="3259"/>
      </w:r>
      <w:r>
        <w:t xml:space="preserve">这义务源于「人的位格本身的尊严」。</w:t>
      </w:r>
      <w:r>
        <w:rPr>
          <w:rStyle w:val="FootnoteReference"/>
        </w:rPr>
        <w:footnoteReference w:id="3260"/>
      </w:r>
      <w:r>
        <w:t xml:space="preserve">这并不与对不同宗教的「真诚尊重」相矛盾；这些宗教常常「反映出那启照众人的真理之光的一线光辉」。</w:t>
      </w:r>
      <w:r>
        <w:rPr>
          <w:rStyle w:val="FootnoteReference"/>
        </w:rPr>
        <w:footnoteReference w:id="3261"/>
      </w:r>
      <w:r>
        <w:t xml:space="preserve">这也不与仁爱的要求相矛盾；仁爱敦促基督徒「以爱心、明智和耐心对待那些在信仰上有错误或无知的人」。</w:t>
      </w:r>
      <w:r>
        <w:rPr>
          <w:rStyle w:val="FootnoteReference"/>
        </w:rPr>
        <w:footnoteReference w:id="3262"/>
      </w:r>
    </w:p>
    <w:p>
      <w:pPr>
        <w:pStyle w:val="BodyText"/>
      </w:pPr>
      <w:r>
        <w:t xml:space="preserve">向神奉献真实敬拜的义务，既关乎个人，也关乎社会。这是「传统公教训导：个人与社会对真实宗教及基督唯一教会所负的道德义务」。</w:t>
      </w:r>
      <w:r>
        <w:rPr>
          <w:rStyle w:val="FootnoteReference"/>
        </w:rPr>
        <w:footnoteReference w:id="3263"/>
      </w:r>
      <w:r>
        <w:t xml:space="preserve">教会不断向人传福音，努力使他们「能把基督徒精神注入他们所生活之团体的思想与风俗、法律与结构之中」。</w:t>
      </w:r>
      <w:r>
        <w:rPr>
          <w:rStyle w:val="FootnoteReference"/>
        </w:rPr>
        <w:footnoteReference w:id="3264"/>
      </w:r>
      <w:r>
        <w:t xml:space="preserve">基督徒的社会义务，是尊重并唤醒每个人对真实与良善的爱。这要求他们使人认识那独一真实宗教的敬拜；这宗教存续于公教会、使徒的教会之中。</w:t>
      </w:r>
      <w:r>
        <w:rPr>
          <w:rStyle w:val="FootnoteReference"/>
        </w:rPr>
        <w:footnoteReference w:id="3265"/>
      </w:r>
      <w:r>
        <w:t xml:space="preserve">基督徒蒙召作世界的光。因此，教会彰显基督对一切受造物的君王权，尤其彰显他对人类社会的君王权。</w:t>
      </w:r>
      <w:r>
        <w:rPr>
          <w:rStyle w:val="FootnoteReference"/>
        </w:rPr>
        <w:footnoteReference w:id="3266"/>
      </w:r>
    </w:p>
    <w:p>
      <w:pPr>
        <w:pStyle w:val="BodyText"/>
      </w:pPr>
      <w:r>
        <w:t xml:space="preserve">「任何人都不可被强迫违背自己的信念而行动；同样，在适当范围内，任何人也不应在宗教事务上，无论在私人或公开场合、独自或与他人联合，都被阻止按自己的良知行事。」</w:t>
      </w:r>
      <w:r>
        <w:rPr>
          <w:rStyle w:val="FootnoteReference"/>
        </w:rPr>
        <w:footnoteReference w:id="3267"/>
      </w:r>
      <w:r>
        <w:t xml:space="preserve">这项权利建立在人的位格本性之上；人的尊严使他能自由同意那超越现世秩序的神圣真理。因此，这权利「即使在那些没有履行寻求真理并持守真理之义务的人身上，也仍然存在」。</w:t>
      </w:r>
      <w:r>
        <w:rPr>
          <w:rStyle w:val="FootnoteReference"/>
        </w:rPr>
        <w:footnoteReference w:id="3268"/>
      </w:r>
    </w:p>
    <w:p>
      <w:pPr>
        <w:pStyle w:val="BodyText"/>
      </w:pPr>
      <w:r>
        <w:t xml:space="preserve">「如果由于某一民族的特殊处境，在国家的宪制组织中，给予某个宗教团体特殊的民事承认，那么也必须承认并尊重所有公民和各宗教团体的宗教自由权。」</w:t>
      </w:r>
      <w:r>
        <w:rPr>
          <w:rStyle w:val="FootnoteReference"/>
        </w:rPr>
        <w:footnoteReference w:id="3269"/>
      </w:r>
    </w:p>
    <w:p>
      <w:pPr>
        <w:pStyle w:val="BodyText"/>
      </w:pPr>
      <w:r>
        <w:t xml:space="preserve">宗教自由权既不是在道德上持守错误的许可，也不是一种所谓的犯错权利，</w:t>
      </w:r>
      <w:r>
        <w:rPr>
          <w:rStyle w:val="FootnoteReference"/>
        </w:rPr>
        <w:footnoteReference w:id="3270"/>
      </w:r>
      <w:r>
        <w:t xml:space="preserve">而是人的位格对民事自由的一项自然权利，也就是在公正范围内，在宗教事务上免受政治权力外在强迫的权利。这项自然权利应当在社会的法制秩序中被承认，使之构成一项民事权利。</w:t>
      </w:r>
      <w:r>
        <w:rPr>
          <w:rStyle w:val="FootnoteReference"/>
        </w:rPr>
        <w:footnoteReference w:id="3271"/>
      </w:r>
    </w:p>
    <w:p>
      <w:pPr>
        <w:pStyle w:val="BodyText"/>
      </w:pPr>
      <w:r>
        <w:t xml:space="preserve">宗教自由权本身既不能是无限制的，也不能只以一种实证主义或自然主义方式理解的「公共秩序」来限制。</w:t>
      </w:r>
      <w:r>
        <w:rPr>
          <w:rStyle w:val="FootnoteReference"/>
        </w:rPr>
        <w:footnoteReference w:id="3272"/>
      </w:r>
      <w:r>
        <w:t xml:space="preserve">这项权利所固有的「适当范围」，必须按公益的要求，并依政治上的明智，为每一种社会处境加以确定；并应由民事权威按「符合客观道德秩序的法律原则」予以确认。</w:t>
      </w:r>
      <w:r>
        <w:rPr>
          <w:rStyle w:val="FootnoteReference"/>
        </w:rPr>
        <w:footnoteReference w:id="3273"/>
      </w:r>
    </w:p>
    <w:bookmarkEnd w:id="3274"/>
    <w:bookmarkStart w:id="3306" w:name="三除了我以外你不可有别的神"/>
    <w:p>
      <w:pPr>
        <w:pStyle w:val="Heading5"/>
      </w:pPr>
      <w:r>
        <w:t xml:space="preserve">三、「除了我以外，你不可有别的神」</w:t>
      </w:r>
    </w:p>
    <w:p>
      <w:pPr>
        <w:pStyle w:val="FirstParagraph"/>
      </w:pPr>
      <w:r>
        <w:t xml:space="preserve">第一诫禁止人尊崇那位向其子民启示自己的独一之主以外的神。它禁止迷信与不敬神。迷信在某种意义上是宗教的败坏性过度；不敬神则是与宗教之德相对、因缺失而产生的恶习。</w:t>
      </w:r>
    </w:p>
    <w:p>
      <w:pPr>
        <w:pStyle w:val="BodyText"/>
      </w:pPr>
      <w:r>
        <w:rPr>
          <w:b/>
          <w:bCs/>
        </w:rPr>
        <w:t xml:space="preserve">迷信</w:t>
      </w:r>
    </w:p>
    <w:p>
      <w:pPr>
        <w:pStyle w:val="BodyText"/>
      </w:pPr>
      <w:r>
        <w:t xml:space="preserve">迷信是宗教情感及其所要求之实践的偏离。它甚至会影响我们向真神所献的敬拜，例如：当人把某些本来合法或必要的实践，当作带有某种魔力般的重要性。若把祈祷或圣事标记的效力，归因于它们外在的执行本身，而不顾及它们所要求的内在准备，这就是陷入迷信。</w:t>
      </w:r>
      <w:r>
        <w:rPr>
          <w:rStyle w:val="FootnoteReference"/>
        </w:rPr>
        <w:footnoteReference w:id="3275"/>
      </w:r>
    </w:p>
    <w:p>
      <w:pPr>
        <w:pStyle w:val="BodyText"/>
      </w:pPr>
      <w:r>
        <w:rPr>
          <w:b/>
          <w:bCs/>
        </w:rPr>
        <w:t xml:space="preserve">偶像崇拜</w:t>
      </w:r>
    </w:p>
    <w:p>
      <w:pPr>
        <w:pStyle w:val="BodyText"/>
      </w:pPr>
      <w:r>
        <w:t xml:space="preserve">第一诫谴责多神崇拜。它要求人既不可相信、也不可敬奉独一真神以外的其他神明。圣经不断提醒人拒绝「他们的偶像是金的银的，是人手所造的。有口却不能言，有眼却不能看。……造他的要和他一样；凡靠他的也要如此。」</w:t>
      </w:r>
      <w:r>
        <w:rPr>
          <w:rStyle w:val="FootnoteReference"/>
        </w:rPr>
        <w:footnoteReference w:id="3276"/>
      </w:r>
      <w:r>
        <w:t xml:space="preserve">这些虚空的偶像使敬拜它们的人也变得虚空。然而，神是「永生神」</w:t>
      </w:r>
      <w:r>
        <w:rPr>
          <w:rStyle w:val="FootnoteReference"/>
        </w:rPr>
        <w:footnoteReference w:id="3277"/>
      </w:r>
      <w:r>
        <w:t xml:space="preserve">，他赐下生命，也介入历史。</w:t>
      </w:r>
    </w:p>
    <w:p>
      <w:pPr>
        <w:pStyle w:val="BodyText"/>
      </w:pPr>
      <w:r>
        <w:t xml:space="preserve">偶像崇拜不仅指虚假的外邦敬拜；它仍是信心持续的诱惑。偶像崇拜在于把不是神的事物当作神。人无论以神明或邪灵（例如撒但崇拜）、权力、享乐、种族、祖先、国家、金钱等取代神而尊崇并敬奉受造物时，就犯了偶像崇拜。耶稣说：「一个人不能事奉两个主……你们不能又事奉神，又事奉玛门。」</w:t>
      </w:r>
      <w:r>
        <w:rPr>
          <w:rStyle w:val="FootnoteReference"/>
        </w:rPr>
        <w:footnoteReference w:id="3278"/>
      </w:r>
      <w:r>
        <w:t xml:space="preserve">许多殉道者因拒绝敬拜「兽」而死，</w:t>
      </w:r>
      <w:r>
        <w:rPr>
          <w:rStyle w:val="FootnoteReference"/>
        </w:rPr>
        <w:footnoteReference w:id="3279"/>
      </w:r>
      <w:r>
        <w:t xml:space="preserve">甚至连假装敬拜都不肯。偶像崇拜拒绝神独一的主权，因此与与神的共融不相容。</w:t>
      </w:r>
      <w:r>
        <w:rPr>
          <w:rStyle w:val="FootnoteReference"/>
        </w:rPr>
        <w:footnoteReference w:id="3280"/>
      </w:r>
    </w:p>
    <w:p>
      <w:pPr>
        <w:pStyle w:val="BodyText"/>
      </w:pPr>
      <w:r>
        <w:t xml:space="preserve">人的生命在对独一之神的朝拜中获得合一。「单独敬拜主」的诫命使人的生命整合，并拯救他脱离无尽的分裂。偶像崇拜是人先天宗教感的扭曲。拜偶像的人，是把「他对神那不可毁灭的观念，转移到神以外的任何事物上」的人。</w:t>
      </w:r>
      <w:r>
        <w:rPr>
          <w:rStyle w:val="FootnoteReference"/>
        </w:rPr>
        <w:footnoteReference w:id="3281"/>
      </w:r>
    </w:p>
    <w:p>
      <w:pPr>
        <w:pStyle w:val="BodyText"/>
      </w:pPr>
      <w:r>
        <w:rPr>
          <w:b/>
          <w:bCs/>
        </w:rPr>
        <w:t xml:space="preserve">占卜与巫术</w:t>
      </w:r>
    </w:p>
    <w:p>
      <w:pPr>
        <w:pStyle w:val="BodyText"/>
      </w:pPr>
      <w:r>
        <w:t xml:space="preserve">神可以把未来启示给他的先知或其他圣徒。尽管如此，健全的基督徒态度，是对一切关乎未来的事都信赖地把自己交在神的护理手中，并放弃对未来一切不健康的好奇。然而，缺乏远见也可能构成不负责任。</w:t>
      </w:r>
    </w:p>
    <w:p>
      <w:pPr>
        <w:pStyle w:val="BodyText"/>
      </w:pPr>
      <w:r>
        <w:t xml:space="preserve">一切形式的占卜都应当拒绝：求助于撒但或邪灵、招魂，或其他被错误认为能「揭示」未来的做法。</w:t>
      </w:r>
      <w:r>
        <w:rPr>
          <w:rStyle w:val="FootnoteReference"/>
        </w:rPr>
        <w:footnoteReference w:id="3282"/>
      </w:r>
      <w:r>
        <w:t xml:space="preserve">询问星座、占星术、看手相、解梦与抽签、所谓的千里眼现象，以及求助于灵媒，这些都隐藏着一种欲望：想要掌控时间、历史，以及最终掌控他人；同时也想要安抚隐秘势力。这些做法违背我们唯独应当归于神的尊荣、敬意，以及充满爱的敬畏。</w:t>
      </w:r>
    </w:p>
    <w:p>
      <w:pPr>
        <w:pStyle w:val="BodyText"/>
      </w:pPr>
      <w:r>
        <w:t xml:space="preserve">一切巫术或法术的做法，都企图驯服隐秘势力，以便让它们为自己服务，并获得一种对他人的超自然能力——即使是为了恢复他人的健康——也严重违背宗教之德。当这些做法伴随伤害他人的意图，或求助于邪灵的介入时，更应当被谴责。佩戴符咒也应受责备。招魂术往往包含占卜或巫术的实践；教会也就此警告信徒。诉诸所谓的传统疗法，并不能使人因此就可以呼求邪恶势力，或利用他人的轻信。</w:t>
      </w:r>
    </w:p>
    <w:p>
      <w:pPr>
        <w:pStyle w:val="BodyText"/>
      </w:pPr>
      <w:r>
        <w:rPr>
          <w:b/>
          <w:bCs/>
        </w:rPr>
        <w:t xml:space="preserve">不敬神</w:t>
      </w:r>
    </w:p>
    <w:p>
      <w:pPr>
        <w:pStyle w:val="BodyText"/>
      </w:pPr>
      <w:r>
        <w:t xml:space="preserve">神的第一诫谴责不敬神的主要罪：试探神、亵渎，以及买卖圣职。</w:t>
      </w:r>
    </w:p>
    <w:p>
      <w:pPr>
        <w:pStyle w:val="BodyText"/>
      </w:pPr>
      <w:r>
        <w:t xml:space="preserve">试探神是指用言语或行为试验神的良善与全能。因此，撒但试图诱使耶稣从圣殿跳下去，并借此逼神采取行动。</w:t>
      </w:r>
      <w:r>
        <w:rPr>
          <w:rStyle w:val="FootnoteReference"/>
        </w:rPr>
        <w:footnoteReference w:id="3283"/>
      </w:r>
      <w:r>
        <w:t xml:space="preserve">耶稣用神的话抵挡撒但：「不可试探耶和华你的神。」</w:t>
      </w:r>
      <w:r>
        <w:rPr>
          <w:rStyle w:val="FootnoteReference"/>
        </w:rPr>
        <w:footnoteReference w:id="3284"/>
      </w:r>
      <w:r>
        <w:t xml:space="preserve">这种试探神的挑战伤害了我们对造物主和主所当有的尊敬与信赖；它总是隐藏着对他的爱、他的护理以及他的能力的怀疑。</w:t>
      </w:r>
      <w:r>
        <w:rPr>
          <w:rStyle w:val="FootnoteReference"/>
        </w:rPr>
        <w:footnoteReference w:id="3285"/>
      </w:r>
    </w:p>
    <w:p>
      <w:pPr>
        <w:pStyle w:val="BodyText"/>
      </w:pPr>
      <w:r>
        <w:t xml:space="preserve">亵渎是指亵污或以不配的方式对待圣事和其他礼仪行动，以及奉献给神的人、事、物或地点。亵渎是一种严重的罪，尤其当它针对圣餐而犯时更是如此，因为在这圣事中，基督真实的身体按本体为我们临在。</w:t>
      </w:r>
      <w:r>
        <w:rPr>
          <w:rStyle w:val="FootnoteReference"/>
        </w:rPr>
        <w:footnoteReference w:id="3286"/>
      </w:r>
    </w:p>
    <w:p>
      <w:pPr>
        <w:pStyle w:val="BodyText"/>
      </w:pPr>
      <w:r>
        <w:t xml:space="preserve">买卖圣职是指买卖属灵的事物。</w:t>
      </w:r>
      <w:r>
        <w:rPr>
          <w:rStyle w:val="FootnoteReference"/>
        </w:rPr>
        <w:footnoteReference w:id="3287"/>
      </w:r>
      <w:r>
        <w:t xml:space="preserve">行邪术的西门想要购买他在使徒身上看到的属灵能力时，圣彼得回答他说：「你的银子和你一同灭亡吧！因你想神的恩赐是可以用钱买的。」</w:t>
      </w:r>
      <w:r>
        <w:rPr>
          <w:rStyle w:val="FootnoteReference"/>
        </w:rPr>
        <w:footnoteReference w:id="3288"/>
      </w:r>
      <w:r>
        <w:t xml:space="preserve">彼得这样持守耶稣的话：「你们白白地得来，也要白白地舍去。」</w:t>
      </w:r>
      <w:r>
        <w:rPr>
          <w:rStyle w:val="FootnoteReference"/>
        </w:rPr>
        <w:footnoteReference w:id="3289"/>
      </w:r>
      <w:r>
        <w:t xml:space="preserve">人不可能把属灵的恩惠据为己有，并以主人的姿态对待它们，因为它们的源头在神。人只能白白从他领受。</w:t>
      </w:r>
    </w:p>
    <w:p>
      <w:pPr>
        <w:pStyle w:val="BodyText"/>
      </w:pPr>
      <w:r>
        <w:t xml:space="preserve">施行圣事的职务人员，除了按有权威者所规定的献仪外，不应为施行圣事索取任何东西，并且要常常谨慎，免得穷人因贫困而得不到圣事的帮助。</w:t>
      </w:r>
      <w:r>
        <w:rPr>
          <w:rStyle w:val="FootnoteReference"/>
        </w:rPr>
        <w:footnoteReference w:id="3290"/>
      </w:r>
      <w:r>
        <w:t xml:space="preserve">有权威者按这样的原则来规定这些「献仪」：基督徒子民应当分担供养教会职务人员的需要。「因为工人得饮食是应当的。」</w:t>
      </w:r>
      <w:r>
        <w:rPr>
          <w:rStyle w:val="FootnoteReference"/>
        </w:rPr>
        <w:footnoteReference w:id="3291"/>
      </w:r>
    </w:p>
    <w:p>
      <w:pPr>
        <w:pStyle w:val="BodyText"/>
      </w:pPr>
      <w:r>
        <w:rPr>
          <w:b/>
          <w:bCs/>
        </w:rPr>
        <w:t xml:space="preserve">无神论</w:t>
      </w:r>
    </w:p>
    <w:p>
      <w:pPr>
        <w:pStyle w:val="BodyText"/>
      </w:pPr>
      <w:r>
        <w:t xml:space="preserve">「我们当代许多人……要么完全觉察不到人对神这亲密而生命攸关的联系，要么明确拒绝它。因此，无神论必须被视为我们时代最严重的问题之一。」</w:t>
      </w:r>
      <w:r>
        <w:rPr>
          <w:rStyle w:val="FootnoteReference"/>
        </w:rPr>
        <w:footnoteReference w:id="3292"/>
      </w:r>
    </w:p>
    <w:p>
      <w:pPr>
        <w:pStyle w:val="BodyText"/>
      </w:pPr>
      <w:r>
        <w:t xml:space="preserve">「无神论」这个名称涵盖许多非常不同的现象。一个常见形式是实践性的唯物主义，它把自己的需要与渴望限制在空间与时间之内。无神论的人本主义错误地把人视为「他自己的目的，是自己历史唯一的创造者，并对其拥有最高的控制权」。</w:t>
      </w:r>
      <w:r>
        <w:rPr>
          <w:rStyle w:val="FootnoteReference"/>
        </w:rPr>
        <w:footnoteReference w:id="3293"/>
      </w:r>
      <w:r>
        <w:t xml:space="preserve">当代无神论的另一种形式，是试图通过经济与社会的解放来寻求人类的解放。「它认为宗教就其本性而言，会阻碍这种解放，因为宗教把人的盼望提高到来世，从而既欺骗他，也使他不愿为改善现世生活而努力。」</w:t>
      </w:r>
      <w:r>
        <w:rPr>
          <w:rStyle w:val="FootnoteReference"/>
        </w:rPr>
        <w:footnoteReference w:id="3294"/>
      </w:r>
    </w:p>
    <w:p>
      <w:pPr>
        <w:pStyle w:val="BodyText"/>
      </w:pPr>
      <w:r>
        <w:t xml:space="preserve">无神论既拒绝或否认神的存在，就构成得罪宗教之德的罪。</w:t>
      </w:r>
      <w:r>
        <w:rPr>
          <w:rStyle w:val="FootnoteReference"/>
        </w:rPr>
        <w:footnoteReference w:id="3295"/>
      </w:r>
      <w:r>
        <w:t xml:space="preserve">这罪的可归责性，可能因意图与处境而大大减轻。「信徒对无神论的兴起也不能说毫无责任。就他们忽视信仰教育，或错误呈现教义，甚至在宗教、道德或社会生活上失职而言，也可以说他们遮蔽而非显明神和宗教的真实面貌。」</w:t>
      </w:r>
      <w:r>
        <w:rPr>
          <w:rStyle w:val="FootnoteReference"/>
        </w:rPr>
        <w:footnoteReference w:id="3296"/>
      </w:r>
    </w:p>
    <w:p>
      <w:pPr>
        <w:pStyle w:val="BodyText"/>
      </w:pPr>
      <w:r>
        <w:t xml:space="preserve">无神论常常建立在一种对人的自主的错误理解上；这种自主被夸大到拒绝对神的任何依赖。</w:t>
      </w:r>
      <w:r>
        <w:rPr>
          <w:rStyle w:val="FootnoteReference"/>
        </w:rPr>
        <w:footnoteReference w:id="3297"/>
      </w:r>
      <w:r>
        <w:t xml:space="preserve">然而，「承认神绝不会反对人的尊严，因为人的尊严正是建立在神里面，并在神里面达到圆满……」</w:t>
      </w:r>
      <w:r>
        <w:rPr>
          <w:rStyle w:val="FootnoteReference"/>
        </w:rPr>
        <w:footnoteReference w:id="3298"/>
      </w:r>
      <w:r>
        <w:t xml:space="preserve">「因为教会非常清楚，她的信息与人心最深处的渴望相和谐。」</w:t>
      </w:r>
      <w:r>
        <w:rPr>
          <w:rStyle w:val="FootnoteReference"/>
        </w:rPr>
        <w:footnoteReference w:id="3299"/>
      </w:r>
    </w:p>
    <w:p>
      <w:pPr>
        <w:pStyle w:val="BodyText"/>
      </w:pPr>
      <w:r>
        <w:rPr>
          <w:b/>
          <w:bCs/>
        </w:rPr>
        <w:t xml:space="preserve">不可知论</w:t>
      </w:r>
    </w:p>
    <w:p>
      <w:pPr>
        <w:pStyle w:val="BodyText"/>
      </w:pPr>
      <w:r>
        <w:t xml:space="preserve">不可知论有多种形式。在某些情况下，不可知论者并不否认神；相反，他假设存在一位超越的存在者，但这存在者无法启示自己，人对他也无从言说。在另一些情况下，不可知论者对神是否存在不作判断，宣称无法证明，甚至无法肯定或否定。</w:t>
      </w:r>
    </w:p>
    <w:p>
      <w:pPr>
        <w:pStyle w:val="BodyText"/>
      </w:pPr>
      <w:r>
        <w:t xml:space="preserve">不可知论有时包含某种对神的寻求，但同样也可能表达冷漠，是对存在之终极问题的逃避，以及迟钝的道德良知。不可知论往往等同于实践性的无神论。</w:t>
      </w:r>
    </w:p>
    <w:p>
      <w:pPr>
        <w:pStyle w:val="BodyText"/>
      </w:pPr>
      <w:r>
        <w:rPr>
          <w:b/>
          <w:bCs/>
        </w:rPr>
        <w:t xml:space="preserve">「不可为自己雕刻偶像……」</w:t>
      </w:r>
    </w:p>
    <w:p>
      <w:pPr>
        <w:pStyle w:val="BodyText"/>
      </w:pPr>
      <w:r>
        <w:t xml:space="preserve">这条出于神的命令包含对人手所作之神的任何图像的禁止。申命记解释说：「那日耶和华从火中对你们说话，你们没有看见什么形像……所以你们要分外谨慎，免得你们败坏自己，雕刻偶像，仿佛什么形像……」</w:t>
      </w:r>
      <w:r>
        <w:rPr>
          <w:rStyle w:val="FootnoteReference"/>
        </w:rPr>
        <w:footnoteReference w:id="3300"/>
      </w:r>
      <w:r>
        <w:t xml:space="preserve">这位绝对超越的神向以色列启示了他自己。他「就是一切」，同时「又超越他的一切工程」。</w:t>
      </w:r>
      <w:r>
        <w:rPr>
          <w:rStyle w:val="FootnoteReference"/>
        </w:rPr>
        <w:footnoteReference w:id="3301"/>
      </w:r>
      <w:r>
        <w:t xml:space="preserve">他是「美的创造者」。</w:t>
      </w:r>
      <w:r>
        <w:rPr>
          <w:rStyle w:val="FootnoteReference"/>
        </w:rPr>
        <w:footnoteReference w:id="3302"/>
      </w:r>
    </w:p>
    <w:p>
      <w:pPr>
        <w:pStyle w:val="BodyText"/>
      </w:pPr>
      <w:r>
        <w:t xml:space="preserve">尽管如此，在旧约中，神已经命令或允许制造一些图像；这些图像以象征的方式指向那借着成了肉身的道而来的救恩，例如铜蛇、约柜和基路伯。</w:t>
      </w:r>
      <w:r>
        <w:rPr>
          <w:rStyle w:val="FootnoteReference"/>
        </w:rPr>
        <w:footnoteReference w:id="3303"/>
      </w:r>
    </w:p>
    <w:p>
      <w:pPr>
        <w:pStyle w:val="BodyText"/>
      </w:pPr>
      <w:r>
        <w:t xml:space="preserve">教会以成了肉身之道的奥秘为基础，尼西亚第七次大公会议（787年）反驳破坏圣像者，为敬奉圣像辩护：包括基督的圣像，也包括神之母、天使以及诸圣的圣像。神子成为肉身，使圣像进入一种新的「安排」。</w:t>
      </w:r>
    </w:p>
    <w:p>
      <w:pPr>
        <w:pStyle w:val="BodyText"/>
      </w:pPr>
      <w:r>
        <w:t xml:space="preserve">基督徒对圣像的敬奉并不违背第一诫对偶像的禁止。的确，「对图像所表达的敬意会归于其原型」，并且「谁敬奉图像，谁就是敬奉图像所描绘的那位。」</w:t>
      </w:r>
      <w:r>
        <w:rPr>
          <w:rStyle w:val="FootnoteReference"/>
        </w:rPr>
        <w:footnoteReference w:id="3304"/>
      </w:r>
      <w:r>
        <w:t xml:space="preserve">对圣像所表达的敬意是一种「尊敬的敬奉」，而不是唯独应当归于神的朝拜：</w:t>
      </w:r>
    </w:p>
    <w:p>
      <w:pPr>
        <w:pStyle w:val="BlockText"/>
      </w:pPr>
      <w:r>
        <w:t xml:space="preserve">宗教敬拜并不是指向图像本身——把它当作单纯的东西——而是就其作为图像、引导我们走向成了肉身之神的那一面而言。指向图像的行动并不停留在图像本身作为图像的层面，而是趋向那位图像所指向者。</w:t>
      </w:r>
      <w:r>
        <w:rPr>
          <w:rStyle w:val="FootnoteReference"/>
        </w:rPr>
        <w:footnoteReference w:id="3305"/>
      </w:r>
    </w:p>
    <w:bookmarkEnd w:id="3306"/>
    <w:bookmarkEnd w:id="3307"/>
    <w:bookmarkStart w:id="3308" w:name="综述-56"/>
    <w:p>
      <w:pPr>
        <w:pStyle w:val="Heading4"/>
      </w:pPr>
      <w:r>
        <w:t xml:space="preserve">综述</w:t>
      </w:r>
    </w:p>
    <w:p>
      <w:pPr>
        <w:pStyle w:val="FirstParagraph"/>
      </w:pPr>
      <w:r>
        <w:t xml:space="preserve">「你要尽心、尽性、尽力爱耶和华你的神。」（申6:5）。</w:t>
      </w:r>
    </w:p>
    <w:p>
      <w:pPr>
        <w:pStyle w:val="BodyText"/>
      </w:pPr>
      <w:r>
        <w:t xml:space="preserve">第一诫呼召人信神，盼望神，并爱神胜过一切。</w:t>
      </w:r>
    </w:p>
    <w:p>
      <w:pPr>
        <w:pStyle w:val="BodyText"/>
      </w:pPr>
      <w:r>
        <w:t xml:space="preserve">「当拜主你的神」（太4:10）。朝拜神、向他祈祷、把属于他的敬拜献给他，以及履行向他所作的许诺与誓愿，都是宗教之德的行动，属于对第一诫的顺服。</w:t>
      </w:r>
    </w:p>
    <w:p>
      <w:pPr>
        <w:pStyle w:val="BodyText"/>
      </w:pPr>
      <w:r>
        <w:t xml:space="preserve">向神奉献真实敬拜的义务，既关乎个人，也关乎社会。</w:t>
      </w:r>
    </w:p>
    <w:p>
      <w:pPr>
        <w:pStyle w:val="BodyText"/>
      </w:pPr>
      <w:r>
        <w:t xml:space="preserve">「现代人愿意在私人和公开场合自由宣认自己的宗教」（DH 15）。</w:t>
      </w:r>
    </w:p>
    <w:p>
      <w:pPr>
        <w:pStyle w:val="BodyText"/>
      </w:pPr>
      <w:r>
        <w:t xml:space="preserve">迷信是偏离我们向真神所献的敬拜。它表现在偶像崇拜上，也表现在各种占卜与巫术的形式上。</w:t>
      </w:r>
    </w:p>
    <w:p>
      <w:pPr>
        <w:pStyle w:val="BodyText"/>
      </w:pPr>
      <w:r>
        <w:t xml:space="preserve">用言语或行为试探神、亵渎，以及买卖圣职，是第一诫所禁止的不敬神之罪。</w:t>
      </w:r>
    </w:p>
    <w:p>
      <w:pPr>
        <w:pStyle w:val="BodyText"/>
      </w:pPr>
      <w:r>
        <w:t xml:space="preserve">无神论既拒绝或否认神的存在，就构成得罪第一诫的罪。</w:t>
      </w:r>
    </w:p>
    <w:p>
      <w:pPr>
        <w:pStyle w:val="BodyText"/>
      </w:pPr>
      <w:r>
        <w:t xml:space="preserve">对圣像的敬奉建立在神的道成肉身奥秘之上。它不违背第一诫。</w:t>
      </w:r>
    </w:p>
    <w:p>
      <w:r>
        <w:br w:type="page"/>
      </w:r>
    </w:p>
    <w:bookmarkEnd w:id="3308"/>
    <w:bookmarkStart w:id="3330" w:name="第二条第二诫"/>
    <w:p>
      <w:pPr>
        <w:pStyle w:val="Heading4"/>
      </w:pPr>
      <w:r>
        <w:t xml:space="preserve">第二条：第二诫</w:t>
      </w:r>
    </w:p>
    <w:p>
      <w:pPr>
        <w:pStyle w:val="BlockText"/>
      </w:pPr>
      <w:r>
        <w:t xml:space="preserve">不可妄称耶和华你神的名。</w:t>
      </w:r>
      <w:r>
        <w:rPr>
          <w:rStyle w:val="FootnoteReference"/>
        </w:rPr>
        <w:footnoteReference w:id="3309"/>
      </w:r>
    </w:p>
    <w:p>
      <w:pPr>
        <w:pStyle w:val="BlockText"/>
      </w:pPr>
      <w:r>
        <w:t xml:space="preserve">「你们又听见有吩咐古人的话，说：不可背誓，所起的誓总要向主谨守。只是我告诉你们，什么誓都不可起。」</w:t>
      </w:r>
      <w:r>
        <w:rPr>
          <w:rStyle w:val="FootnoteReference"/>
        </w:rPr>
        <w:footnoteReference w:id="3310"/>
      </w:r>
    </w:p>
    <w:bookmarkStart w:id="3318" w:name="一主的名是圣的"/>
    <w:p>
      <w:pPr>
        <w:pStyle w:val="Heading5"/>
      </w:pPr>
      <w:r>
        <w:t xml:space="preserve">一、主的名是圣的</w:t>
      </w:r>
    </w:p>
    <w:p>
      <w:pPr>
        <w:pStyle w:val="FirstParagraph"/>
      </w:pPr>
      <w:r>
        <w:t xml:space="preserve">第二诫规定人应当尊敬主的名。它和第一诫一样，属于宗教之德，且更具体地说，它治理我们在神圣之事上的言语使用。</w:t>
      </w:r>
    </w:p>
    <w:p>
      <w:pPr>
        <w:pStyle w:val="BodyText"/>
      </w:pPr>
      <w:r>
        <w:t xml:space="preserve">在启示的一切言语中，有一句是独特的：神所启示的名。神把他的名托付给信他的人；他把他自己在其位格奥秘中启示给他们。名字的恩赐属于信赖与亲密的秩序。「耶和华的名是圣的。」因此，人不可滥用这名。他必须在静默而充满爱的朝拜中，把这名铭记在心。他不应在自己的言语里随意提起这名，除非是为称颂、赞美并光荣它。</w:t>
      </w:r>
      <w:r>
        <w:rPr>
          <w:rStyle w:val="FootnoteReference"/>
        </w:rPr>
        <w:footnoteReference w:id="3311"/>
      </w:r>
    </w:p>
    <w:p>
      <w:pPr>
        <w:pStyle w:val="BodyText"/>
      </w:pPr>
      <w:r>
        <w:t xml:space="preserve">对他名的尊敬，是对神自身奥秘、以及这名所唤起的一切神圣现实所当有之敬意的表达。对神圣之事的意识属于宗教之德的一部分：</w:t>
      </w:r>
    </w:p>
    <w:p>
      <w:pPr>
        <w:pStyle w:val="BlockText"/>
      </w:pPr>
      <w:r>
        <w:t xml:space="preserve">这些惧怕与敬畏的感受是基督徒的感受吗？……因此我说，我想没有人能合理地反对：若我们真的是亲眼看见全能的神，我们就应当有这种感受——是的，而且应当极其强烈；因此，若我们意识到他临在，我们也会有这种感受。我们越相信他临在，就越会有这种感受；若没有这种感受，就是没有意识到，也就是不相信他临在。</w:t>
      </w:r>
      <w:r>
        <w:rPr>
          <w:rStyle w:val="FootnoteReference"/>
        </w:rPr>
        <w:footnoteReference w:id="3312"/>
      </w:r>
    </w:p>
    <w:p>
      <w:pPr>
        <w:pStyle w:val="FirstParagraph"/>
      </w:pPr>
      <w:r>
        <w:t xml:space="preserve">信徒应当借着宣认信仰来为主的名作见证，而不向惧怕让步。</w:t>
      </w:r>
      <w:r>
        <w:rPr>
          <w:rStyle w:val="FootnoteReference"/>
        </w:rPr>
        <w:footnoteReference w:id="3313"/>
      </w:r>
      <w:r>
        <w:t xml:space="preserve">宣讲和教理讲授都应当充满对我们主耶稣基督之名的朝拜与尊敬。</w:t>
      </w:r>
    </w:p>
    <w:p>
      <w:pPr>
        <w:pStyle w:val="BodyText"/>
      </w:pPr>
      <w:r>
        <w:t xml:space="preserve">第二诫禁止滥用神的名，也就是对神、耶稣基督之名，以及对童贞马利亚和众圣之名的一切不当使用。</w:t>
      </w:r>
    </w:p>
    <w:p>
      <w:pPr>
        <w:pStyle w:val="BodyText"/>
      </w:pPr>
      <w:r>
        <w:t xml:space="preserve">奉神的名对他人所作的许诺，会牵涉到神的尊荣、信实、真实与权威。按公义，这些许诺必须被尊重。对这些许诺不忠，就是滥用神的名，并在某种意义上把神说成是说谎的。</w:t>
      </w:r>
      <w:r>
        <w:rPr>
          <w:rStyle w:val="FootnoteReference"/>
        </w:rPr>
        <w:footnoteReference w:id="3314"/>
      </w:r>
    </w:p>
    <w:p>
      <w:pPr>
        <w:pStyle w:val="BodyText"/>
      </w:pPr>
      <w:r>
        <w:t xml:space="preserve">亵渎直接违背第二诫。它包括：在内心或外在用憎恨、责难或挑衅的话攻击神；说神的坏话；在言语上缺少对神的尊敬；滥用神的名。圣雅各谴责那些「亵渎你们所敬奉的尊名」的人。</w:t>
      </w:r>
      <w:r>
        <w:rPr>
          <w:rStyle w:val="FootnoteReference"/>
        </w:rPr>
        <w:footnoteReference w:id="3315"/>
      </w:r>
      <w:r>
        <w:t xml:space="preserve">禁止亵渎也延伸到攻击基督的教会、圣徒以及神圣之物的言语。用神的名来掩盖犯罪行为、使民族沦为奴役、拷打人或把人处死，也是亵渎。用神的名去犯罪，会引发他人弃绝宗教。</w:t>
      </w:r>
    </w:p>
    <w:p>
      <w:pPr>
        <w:pStyle w:val="BodyText"/>
      </w:pPr>
      <w:r>
        <w:t xml:space="preserve">亵渎违背对神及其圣名所当有的尊敬。亵渎本身就是严重的罪。</w:t>
      </w:r>
      <w:r>
        <w:rPr>
          <w:rStyle w:val="FootnoteReference"/>
        </w:rPr>
        <w:footnoteReference w:id="3316"/>
      </w:r>
    </w:p>
    <w:p>
      <w:pPr>
        <w:pStyle w:val="BodyText"/>
      </w:pPr>
      <w:r>
        <w:t xml:space="preserve">滥用神名的誓言，即便没有亵渎的意图，也显示出对主缺少尊敬。第二诫也禁止以神的名作巫术用途。</w:t>
      </w:r>
    </w:p>
    <w:p>
      <w:pPr>
        <w:pStyle w:val="BlockText"/>
      </w:pPr>
      <w:r>
        <w:t xml:space="preserve">人带着对他威严的尊敬说出神的名时，神的名就是尊大的；人怀着敬奉并惧怕冒犯他的心说出神的名时，神的名就是圣的。</w:t>
      </w:r>
      <w:r>
        <w:rPr>
          <w:rStyle w:val="FootnoteReference"/>
        </w:rPr>
        <w:footnoteReference w:id="3317"/>
      </w:r>
    </w:p>
    <w:bookmarkEnd w:id="3318"/>
    <w:bookmarkStart w:id="3323" w:name="二妄称主的名"/>
    <w:p>
      <w:pPr>
        <w:pStyle w:val="Heading5"/>
      </w:pPr>
      <w:r>
        <w:t xml:space="preserve">二、妄称主的名</w:t>
      </w:r>
    </w:p>
    <w:p>
      <w:pPr>
        <w:pStyle w:val="FirstParagraph"/>
      </w:pPr>
      <w:r>
        <w:t xml:space="preserve">第二诫禁止虚假的誓言。起誓或发誓，就是以神作为自己所断言之事的见证，就是求神的真实作为自己真实的担保。誓言牵涉到主的名：「你要敬畏耶和华你的神，事奉他，指着他的名起誓。」</w:t>
      </w:r>
      <w:r>
        <w:rPr>
          <w:rStyle w:val="FootnoteReference"/>
        </w:rPr>
        <w:footnoteReference w:id="3319"/>
      </w:r>
    </w:p>
    <w:p>
      <w:pPr>
        <w:pStyle w:val="BodyText"/>
      </w:pPr>
      <w:r>
        <w:t xml:space="preserve">拒绝虚假的誓言，是人对神的义务。神是造物主与主，因此是一切真理的尺度。人的言语要么与那真理本身的神相符，要么与他相违。当誓言真实且合法时，誓言凸显人的言语与神的真理之间的关系。虚假的誓言则是求神为谎言作见证。</w:t>
      </w:r>
    </w:p>
    <w:p>
      <w:pPr>
        <w:pStyle w:val="BodyText"/>
      </w:pPr>
      <w:r>
        <w:t xml:space="preserve">人若在誓言下许诺，却本无意履行；或在誓言下许诺之后不履行，就是犯伪誓。伪誓是对一切言语之主的严重不敬。人若以誓言担保自己要做一件恶事，就违背神名的圣洁。</w:t>
      </w:r>
    </w:p>
    <w:p>
      <w:pPr>
        <w:pStyle w:val="BodyText"/>
      </w:pPr>
      <w:r>
        <w:t xml:space="preserve">在登山宝训中，耶稣解释了第二诫：「你们又听见有吩咐古人的话，说：不可背誓……只是我告诉你们，什么誓都不可起。」并且：「你们的话，是，就说是；不是，就说不是；若再多说，就是出于那恶者。」</w:t>
      </w:r>
      <w:r>
        <w:rPr>
          <w:rStyle w:val="FootnoteReference"/>
        </w:rPr>
        <w:footnoteReference w:id="3320"/>
      </w:r>
      <w:r>
        <w:t xml:space="preserve">耶稣教导：每个誓言都牵涉到神；因此，一切言语都必须尊崇神的临在与他的真理。人若要谨慎地呼求神，就必须对他的临在有一种敬畏的意识；我们一切断言不是为此作见证，就是在嘲弄此事。</w:t>
      </w:r>
    </w:p>
    <w:p>
      <w:pPr>
        <w:pStyle w:val="BodyText"/>
      </w:pPr>
      <w:r>
        <w:t xml:space="preserve">教会传统跟随圣保罗，</w:t>
      </w:r>
      <w:r>
        <w:rPr>
          <w:rStyle w:val="FootnoteReference"/>
        </w:rPr>
        <w:footnoteReference w:id="3321"/>
      </w:r>
      <w:r>
        <w:t xml:space="preserve">理解耶稣的话并不排除在重大且正当理由下所起的誓（例如在法庭上）。「誓言，即以神的名作真理的见证，除非按真实、按判断、按公义，否则不可起誓。」</w:t>
      </w:r>
      <w:r>
        <w:rPr>
          <w:rStyle w:val="FootnoteReference"/>
        </w:rPr>
        <w:footnoteReference w:id="3322"/>
      </w:r>
    </w:p>
    <w:p>
      <w:pPr>
        <w:pStyle w:val="BodyText"/>
      </w:pPr>
      <w:r>
        <w:t xml:space="preserve">神名的圣洁要求我们既不可为琐碎的事使用它，也不可在某些处境下起誓，以致誓言会被理解为赞同某个不公义地要求人起誓的权威。当誓言是由不合法的民事权威所要求时，人可以拒绝。当誓言被要求用于违背人的尊严或违背教会共融的目的时，就必须拒绝。</w:t>
      </w:r>
    </w:p>
    <w:bookmarkEnd w:id="3323"/>
    <w:bookmarkStart w:id="3329" w:name="三基督徒的名字"/>
    <w:p>
      <w:pPr>
        <w:pStyle w:val="Heading5"/>
      </w:pPr>
      <w:r>
        <w:t xml:space="preserve">三、基督徒的名字</w:t>
      </w:r>
    </w:p>
    <w:p>
      <w:pPr>
        <w:pStyle w:val="FirstParagraph"/>
      </w:pPr>
      <w:r>
        <w:t xml:space="preserve">洗礼圣事是「奉父、子、圣灵的名」施行的。</w:t>
      </w:r>
      <w:r>
        <w:rPr>
          <w:rStyle w:val="FootnoteReference"/>
        </w:rPr>
        <w:footnoteReference w:id="3324"/>
      </w:r>
      <w:r>
        <w:t xml:space="preserve">在洗礼中，主的名使人成圣，基督徒在教会里领受自己的名字。这名字可以是一位圣徒的名字，也就是一位门徒的名字；这门徒以对主的典范忠信度过一生。主保圣徒为仁爱提供榜样；我们也确信他为我们代祷。「洗名」也可以表达一个基督徒奥秘或一种基督徒德行。「父母、代父母与牧者应当留意，不可取与基督徒情怀不相符的名字。」</w:t>
      </w:r>
      <w:r>
        <w:rPr>
          <w:rStyle w:val="FootnoteReference"/>
        </w:rPr>
        <w:footnoteReference w:id="3325"/>
      </w:r>
    </w:p>
    <w:p>
      <w:pPr>
        <w:pStyle w:val="BodyText"/>
      </w:pPr>
      <w:r>
        <w:t xml:space="preserve">基督徒以十字圣号开始自己的一天、自己的祈祷和自己的工作：「奉父、子、圣灵之名。阿们。」领受洗礼的人把这一天奉献给神的光荣，并呼求救主的恩典；这恩典使他在圣灵里像父的儿女那样行动。十字圣号在诱惑与困难中坚固我们。</w:t>
      </w:r>
    </w:p>
    <w:p>
      <w:pPr>
        <w:pStyle w:val="BodyText"/>
      </w:pPr>
      <w:r>
        <w:t xml:space="preserve">神按名字呼召每一个人。</w:t>
      </w:r>
      <w:r>
        <w:rPr>
          <w:rStyle w:val="FootnoteReference"/>
        </w:rPr>
        <w:footnoteReference w:id="3326"/>
      </w:r>
      <w:r>
        <w:t xml:space="preserve">每个人的名字都是神圣的。名字是位格的圣像。作为承载这名字之人的尊严标记，名字要求人尊重。</w:t>
      </w:r>
    </w:p>
    <w:p>
      <w:pPr>
        <w:pStyle w:val="BodyText"/>
      </w:pPr>
      <w:r>
        <w:t xml:space="preserve">人所领受的名字是为永恒而有的名字。在天国里，每个被神的名所标记之人的奥秘与独特性，将在光荣中闪耀：「得胜的，我必将那隐藏的吗哪赐给他，并赐他一块白石，石上写着新名；除了那领受的以外，没有人能认识。」</w:t>
      </w:r>
      <w:r>
        <w:rPr>
          <w:rStyle w:val="FootnoteReference"/>
        </w:rPr>
        <w:footnoteReference w:id="3327"/>
      </w:r>
      <w:r>
        <w:t xml:space="preserve">「我又观看，见羔羊站在锡安山，同他又有十四万四千人，都有他的名和他父的名写在额上。」</w:t>
      </w:r>
      <w:r>
        <w:rPr>
          <w:rStyle w:val="FootnoteReference"/>
        </w:rPr>
        <w:footnoteReference w:id="3328"/>
      </w:r>
    </w:p>
    <w:bookmarkEnd w:id="3329"/>
    <w:bookmarkEnd w:id="3330"/>
    <w:bookmarkStart w:id="3331" w:name="综述-57"/>
    <w:p>
      <w:pPr>
        <w:pStyle w:val="Heading4"/>
      </w:pPr>
      <w:r>
        <w:t xml:space="preserve">综述</w:t>
      </w:r>
    </w:p>
    <w:p>
      <w:pPr>
        <w:pStyle w:val="FirstParagraph"/>
      </w:pPr>
      <w:r>
        <w:t xml:space="preserve">「耶和华我们的主啊，你的名在全地何其美！」（诗8:1）！</w:t>
      </w:r>
    </w:p>
    <w:p>
      <w:pPr>
        <w:pStyle w:val="BodyText"/>
      </w:pPr>
      <w:r>
        <w:t xml:space="preserve">第二诫吩咐人尊敬主的名。主的名是圣的。</w:t>
      </w:r>
    </w:p>
    <w:p>
      <w:pPr>
        <w:pStyle w:val="BodyText"/>
      </w:pPr>
      <w:r>
        <w:t xml:space="preserve">第二诫禁止一切对神名的不当使用。亵渎，就是以冒犯的方式使用神的名、耶稣基督的名、童贞马利亚的名，以及众圣的名。</w:t>
      </w:r>
    </w:p>
    <w:p>
      <w:pPr>
        <w:pStyle w:val="BodyText"/>
      </w:pPr>
      <w:r>
        <w:t xml:space="preserve">虚假的誓言是求神为谎言作见证。伪誓是对主的严重冒犯，因为主对他的应许永远信实。</w:t>
      </w:r>
    </w:p>
    <w:p>
      <w:pPr>
        <w:pStyle w:val="BodyText"/>
      </w:pPr>
      <w:r>
        <w:t xml:space="preserve">「无论指着造物主起誓，还是指着任何受造物起誓，都不可起誓；除非是出于真实、出于必要，并且怀着敬意。」（圣依纳爵·罗耀拉，</w:t>
      </w:r>
      <w:r>
        <w:rPr>
          <w:i/>
          <w:iCs/>
        </w:rPr>
        <w:t xml:space="preserve">神操</w:t>
      </w:r>
      <w:r>
        <w:t xml:space="preserve">，38）。</w:t>
      </w:r>
    </w:p>
    <w:p>
      <w:pPr>
        <w:pStyle w:val="BodyText"/>
      </w:pPr>
      <w:r>
        <w:t xml:space="preserve">在洗礼中，基督徒在教会里领受自己的名字。父母、代父母与牧者应当留意，让他取一个基督徒的名字。主保圣徒提供仁爱的榜样，并保证他为我们代祷。</w:t>
      </w:r>
    </w:p>
    <w:p>
      <w:pPr>
        <w:pStyle w:val="BodyText"/>
      </w:pPr>
      <w:r>
        <w:t xml:space="preserve">基督徒以十字圣号开始自己的祈祷和工作：「奉父、子、圣灵的名。阿们。」</w:t>
      </w:r>
    </w:p>
    <w:p>
      <w:pPr>
        <w:pStyle w:val="BodyText"/>
      </w:pPr>
      <w:r>
        <w:t xml:space="preserve">神按名字呼召每一个人（参赛43:1）。</w:t>
      </w:r>
    </w:p>
    <w:p>
      <w:r>
        <w:br w:type="page"/>
      </w:r>
    </w:p>
    <w:bookmarkEnd w:id="3331"/>
    <w:bookmarkStart w:id="3370" w:name="第三条第三诫"/>
    <w:p>
      <w:pPr>
        <w:pStyle w:val="Heading4"/>
      </w:pPr>
      <w:r>
        <w:t xml:space="preserve">第三条：第三诫</w:t>
      </w:r>
    </w:p>
    <w:p>
      <w:pPr>
        <w:pStyle w:val="BlockText"/>
      </w:pPr>
      <w:r>
        <w:t xml:space="preserve">当记念安息日，守为圣日。六日要劳碌作你一切的工，但第七日是向耶和华你神当守的安息日。这一日你和你的儿女、仆婢、牲畜，并你城里寄居的客旅，无论何工都不可作。</w:t>
      </w:r>
      <w:r>
        <w:rPr>
          <w:rStyle w:val="FootnoteReference"/>
        </w:rPr>
        <w:footnoteReference w:id="3332"/>
      </w:r>
    </w:p>
    <w:p>
      <w:pPr>
        <w:pStyle w:val="BlockText"/>
      </w:pPr>
      <w:r>
        <w:t xml:space="preserve">又对他们说：安息日是为人设立的，人不是为安息日设立的。所以人子也是安息日的主。</w:t>
      </w:r>
      <w:r>
        <w:rPr>
          <w:rStyle w:val="FootnoteReference"/>
        </w:rPr>
        <w:footnoteReference w:id="3333"/>
      </w:r>
    </w:p>
    <w:bookmarkStart w:id="3345" w:name="一安息日"/>
    <w:p>
      <w:pPr>
        <w:pStyle w:val="Heading5"/>
      </w:pPr>
      <w:r>
        <w:t xml:space="preserve">一、安息日</w:t>
      </w:r>
    </w:p>
    <w:p>
      <w:pPr>
        <w:pStyle w:val="FirstParagraph"/>
      </w:pPr>
      <w:r>
        <w:t xml:space="preserve">十诫中的第三诫提醒安息日的圣洁：「但第七日是安息圣日，是向耶和华守为圣的。」</w:t>
      </w:r>
      <w:r>
        <w:rPr>
          <w:rStyle w:val="FootnoteReference"/>
        </w:rPr>
        <w:footnoteReference w:id="3334"/>
      </w:r>
    </w:p>
    <w:p>
      <w:pPr>
        <w:pStyle w:val="BodyText"/>
      </w:pPr>
      <w:r>
        <w:t xml:space="preserve">圣经在谈到安息日时也回忆创造：「因为六日之内，耶和华造天地海和其中的万物，第七日便安息，所以耶和华赐福与安息日，定为圣日。」</w:t>
      </w:r>
      <w:r>
        <w:rPr>
          <w:rStyle w:val="FootnoteReference"/>
        </w:rPr>
        <w:footnoteReference w:id="3335"/>
      </w:r>
    </w:p>
    <w:p>
      <w:pPr>
        <w:pStyle w:val="BodyText"/>
      </w:pPr>
      <w:r>
        <w:t xml:space="preserve">圣经也在主日里启示以色列从埃及为奴之地得释放的纪念：「你也要记念你在埃及地作过奴仆；耶和华你神用大能的手和伸出来的膀臂将你从那里领出来；因此，耶和华你神吩咐你守安息日。」</w:t>
      </w:r>
      <w:r>
        <w:rPr>
          <w:rStyle w:val="FootnoteReference"/>
        </w:rPr>
        <w:footnoteReference w:id="3336"/>
      </w:r>
    </w:p>
    <w:p>
      <w:pPr>
        <w:pStyle w:val="BodyText"/>
      </w:pPr>
      <w:r>
        <w:t xml:space="preserve">神把安息日托付给以色列，叫他们遵守，作为不可撤回之约的标记。</w:t>
      </w:r>
      <w:r>
        <w:rPr>
          <w:rStyle w:val="FootnoteReference"/>
        </w:rPr>
        <w:footnoteReference w:id="3337"/>
      </w:r>
      <w:r>
        <w:t xml:space="preserve">安息日是为主而设，是圣的，是分别出来为赞美神、赞美他创造的工程，以及他为以色列所行的救恩行动而设。</w:t>
      </w:r>
    </w:p>
    <w:p>
      <w:pPr>
        <w:pStyle w:val="BodyText"/>
      </w:pPr>
      <w:r>
        <w:t xml:space="preserve">神的行动是人的行动的榜样。神在第七日「便安息舒畅」，人也应当「安息」，也应让他人，尤其是穷人，「可以舒畅」。</w:t>
      </w:r>
      <w:r>
        <w:rPr>
          <w:rStyle w:val="FootnoteReference"/>
        </w:rPr>
        <w:footnoteReference w:id="3338"/>
      </w:r>
      <w:r>
        <w:t xml:space="preserve">安息日使日常工作停下，给人喘息的时间。它也是对工作之奴役和拜金的抗议之日。</w:t>
      </w:r>
      <w:r>
        <w:rPr>
          <w:rStyle w:val="FootnoteReference"/>
        </w:rPr>
        <w:footnoteReference w:id="3339"/>
      </w:r>
    </w:p>
    <w:p>
      <w:pPr>
        <w:pStyle w:val="BodyText"/>
      </w:pPr>
      <w:r>
        <w:t xml:space="preserve">福音记载许多事件：耶稣被指控违反安息日的律法。但耶稣从不失于尊重这日的圣洁。</w:t>
      </w:r>
      <w:r>
        <w:rPr>
          <w:rStyle w:val="FootnoteReference"/>
        </w:rPr>
        <w:footnoteReference w:id="3340"/>
      </w:r>
      <w:r>
        <w:t xml:space="preserve">他为这律法给出真实且权威的解释：「安息日是为人设立的，人不是为安息日设立的。」</w:t>
      </w:r>
      <w:r>
        <w:rPr>
          <w:rStyle w:val="FootnoteReference"/>
        </w:rPr>
        <w:footnoteReference w:id="3341"/>
      </w:r>
      <w:r>
        <w:t xml:space="preserve">基督出于怜悯宣告：安息日是为行善而不是作恶，是为救命而不是害命。</w:t>
      </w:r>
      <w:r>
        <w:rPr>
          <w:rStyle w:val="FootnoteReference"/>
        </w:rPr>
        <w:footnoteReference w:id="3342"/>
      </w:r>
      <w:r>
        <w:t xml:space="preserve">安息日是怜悯之主的日子，也是尊崇神的日子。</w:t>
      </w:r>
      <w:r>
        <w:rPr>
          <w:rStyle w:val="FootnoteReference"/>
        </w:rPr>
        <w:footnoteReference w:id="3343"/>
      </w:r>
      <w:r>
        <w:t xml:space="preserve">「所以人子也是安息日的主。」</w:t>
      </w:r>
      <w:r>
        <w:rPr>
          <w:rStyle w:val="FootnoteReference"/>
        </w:rPr>
        <w:footnoteReference w:id="3344"/>
      </w:r>
    </w:p>
    <w:bookmarkEnd w:id="3345"/>
    <w:bookmarkStart w:id="3369" w:name="二主日"/>
    <w:p>
      <w:pPr>
        <w:pStyle w:val="Heading5"/>
      </w:pPr>
      <w:r>
        <w:t xml:space="preserve">二、主日</w:t>
      </w:r>
    </w:p>
    <w:p>
      <w:pPr>
        <w:pStyle w:val="BlockText"/>
      </w:pPr>
      <w:r>
        <w:t xml:space="preserve">这是耶和华所定的日子，我们在其中要高兴欢喜！</w:t>
      </w:r>
      <w:r>
        <w:rPr>
          <w:rStyle w:val="FootnoteReference"/>
        </w:rPr>
        <w:footnoteReference w:id="3346"/>
      </w:r>
    </w:p>
    <w:p>
      <w:pPr>
        <w:pStyle w:val="FirstParagraph"/>
      </w:pPr>
      <w:r>
        <w:rPr>
          <w:b/>
          <w:bCs/>
        </w:rPr>
        <w:t xml:space="preserve">复活之日：新的创造</w:t>
      </w:r>
    </w:p>
    <w:p>
      <w:pPr>
        <w:pStyle w:val="BodyText"/>
      </w:pPr>
      <w:r>
        <w:t xml:space="preserve">耶稣「七日的第一日」从死里复活。</w:t>
      </w:r>
      <w:r>
        <w:rPr>
          <w:rStyle w:val="FootnoteReference"/>
        </w:rPr>
        <w:footnoteReference w:id="3347"/>
      </w:r>
      <w:r>
        <w:t xml:space="preserve">因为这是「第一日」，基督复活之日让人想起第一次创造。因为这是安息日之后的「第八日」，</w:t>
      </w:r>
      <w:r>
        <w:rPr>
          <w:rStyle w:val="FootnoteReference"/>
        </w:rPr>
        <w:footnoteReference w:id="3348"/>
      </w:r>
      <w:r>
        <w:t xml:space="preserve">它象征基督复活所开启的新的创造。对基督徒来说，这日成了万日之首、万节之首，也就是主日（he kuriake hemera，dies dominica），星期日：</w:t>
      </w:r>
    </w:p>
    <w:p>
      <w:pPr>
        <w:pStyle w:val="BlockText"/>
      </w:pPr>
      <w:r>
        <w:t xml:space="preserve">我们都在太阳日聚集，因为这是第一日：这是在犹太人的安息日之后的第一日，也是神把物质从黑暗中分开、创造世界的第一日；并且就在这同一天，我们的救主耶稣基督从死里复活。</w:t>
      </w:r>
      <w:r>
        <w:rPr>
          <w:rStyle w:val="FootnoteReference"/>
        </w:rPr>
        <w:footnoteReference w:id="3349"/>
      </w:r>
    </w:p>
    <w:p>
      <w:pPr>
        <w:pStyle w:val="FirstParagraph"/>
      </w:pPr>
      <w:r>
        <w:rPr>
          <w:b/>
          <w:bCs/>
        </w:rPr>
        <w:t xml:space="preserve">主日——安息日的成全</w:t>
      </w:r>
    </w:p>
    <w:p>
      <w:pPr>
        <w:pStyle w:val="BodyText"/>
      </w:pPr>
      <w:r>
        <w:t xml:space="preserve">主日与每周按次序紧随其后的安息日明确区分开来；对基督徒而言，主日的礼仪性遵守取代了安息日的遵守。在基督的逾越中，主日成全犹太安息日的属灵真理，并宣告人在神里面的永恒安息。在律法之下的敬拜为基督的奥秘作了准备，而在那里所做的事预示了基督的一些面向。</w:t>
      </w:r>
      <w:r>
        <w:rPr>
          <w:rStyle w:val="FootnoteReference"/>
        </w:rPr>
        <w:footnoteReference w:id="3350"/>
      </w:r>
    </w:p>
    <w:p>
      <w:pPr>
        <w:pStyle w:val="BlockText"/>
      </w:pPr>
      <w:r>
        <w:t xml:space="preserve">那些按旧秩序生活的人，已经进入新的盼望：不再守安息日，而是守主日；在这日里，我们的生命因他并因他的死而得祝福。</w:t>
      </w:r>
      <w:r>
        <w:rPr>
          <w:rStyle w:val="FootnoteReference"/>
        </w:rPr>
        <w:footnoteReference w:id="3351"/>
      </w:r>
    </w:p>
    <w:p>
      <w:pPr>
        <w:pStyle w:val="FirstParagraph"/>
      </w:pPr>
      <w:r>
        <w:t xml:space="preserve">主日的庆祝遵守那刻在人的本性、写在人心里的道德诫命：要向神献上外在、可见、公开并定期的敬拜，「作为他向万人普施恩惠的标记」。</w:t>
      </w:r>
      <w:r>
        <w:rPr>
          <w:rStyle w:val="FootnoteReference"/>
        </w:rPr>
        <w:footnoteReference w:id="3352"/>
      </w:r>
      <w:r>
        <w:t xml:space="preserve">主日敬拜成全旧约的道德命令，并在每周庆祝造物主与救赎者的礼仪中，承接其节律与精神。</w:t>
      </w:r>
    </w:p>
    <w:p>
      <w:pPr>
        <w:pStyle w:val="BodyText"/>
      </w:pPr>
      <w:r>
        <w:rPr>
          <w:b/>
          <w:bCs/>
        </w:rPr>
        <w:t xml:space="preserve">主日的圣餐</w:t>
      </w:r>
    </w:p>
    <w:p>
      <w:pPr>
        <w:pStyle w:val="BodyText"/>
      </w:pPr>
      <w:r>
        <w:t xml:space="preserve">主日的庆祝——主日及其圣餐——处于教会生活的中心。「主日是按使徒传统庆祝逾越奥秘的日子，并且应当在普世教会中作为首要应守的庆日来遵守。」</w:t>
      </w:r>
      <w:r>
        <w:rPr>
          <w:rStyle w:val="FootnoteReference"/>
        </w:rPr>
        <w:footnoteReference w:id="3353"/>
      </w:r>
    </w:p>
    <w:p>
      <w:pPr>
        <w:pStyle w:val="BodyText"/>
      </w:pPr>
      <w:r>
        <w:t xml:space="preserve">「也应当遵守的庆日有：我们的主耶稣基督圣诞节、主显节、基督升天节、基督圣体圣血节、神之母马利亚庆日、圣母无原罪始胎节、圣母升天节、圣约瑟节、圣使徒彼得及保罗节，以及诸圣节。」</w:t>
      </w:r>
      <w:r>
        <w:rPr>
          <w:rStyle w:val="FootnoteReference"/>
        </w:rPr>
        <w:footnoteReference w:id="3354"/>
      </w:r>
    </w:p>
    <w:p>
      <w:pPr>
        <w:pStyle w:val="BodyText"/>
      </w:pPr>
      <w:r>
        <w:t xml:space="preserve">基督徒会众的这种实践，可追溯到使徒时代之初。</w:t>
      </w:r>
      <w:r>
        <w:rPr>
          <w:rStyle w:val="FootnoteReference"/>
        </w:rPr>
        <w:footnoteReference w:id="3355"/>
      </w:r>
      <w:r>
        <w:t xml:space="preserve">希伯来书提醒信徒「你们不可停止聚会，好像那些停止惯了的人，倒要彼此劝勉」。</w:t>
      </w:r>
      <w:r>
        <w:rPr>
          <w:rStyle w:val="FootnoteReference"/>
        </w:rPr>
        <w:footnoteReference w:id="3356"/>
      </w:r>
    </w:p>
    <w:p>
      <w:pPr>
        <w:pStyle w:val="BlockText"/>
      </w:pPr>
      <w:r>
        <w:t xml:space="preserve">传统保留了一段历久常新的劝勉：要早早到教会来，亲近主，承认你的罪，在祈祷中悔改……要在神圣的礼仪中出席，完成它的祈祷，不要在解散之前离开……我们常说：「这日赐给你，是为祈祷与安息。这是耶和华所定的日子，我们在其中要高兴欢喜！」</w:t>
      </w:r>
      <w:r>
        <w:rPr>
          <w:rStyle w:val="FootnoteReference"/>
        </w:rPr>
        <w:footnoteReference w:id="3357"/>
      </w:r>
    </w:p>
    <w:p>
      <w:pPr>
        <w:pStyle w:val="FirstParagraph"/>
      </w:pPr>
      <w:r>
        <w:t xml:space="preserve">「堂区是在某一地方教会内，以稳定方式设立的基督徒信徒之特定团体；堂区的牧灵照顾在教区主教权下，托付给本堂祭司，作为其自己的牧人。」</w:t>
      </w:r>
      <w:r>
        <w:rPr>
          <w:rStyle w:val="FootnoteReference"/>
        </w:rPr>
        <w:footnoteReference w:id="3358"/>
      </w:r>
      <w:r>
        <w:t xml:space="preserve">这里是所有信徒可以聚集，一同庆祝主日圣餐的地方。堂区引导基督徒子民进入礼仪生活的日常表达：把他们聚集来庆祝；教导基督救人的教义；并在善工与弟兄之爱中实践主的仁爱：</w:t>
      </w:r>
    </w:p>
    <w:p>
      <w:pPr>
        <w:pStyle w:val="BlockText"/>
      </w:pPr>
      <w:r>
        <w:t xml:space="preserve">你在家里不能像在教会里那样祈祷：教会里有许多人，从一颗大心向神呼喊；并且还有更多：心思的合一、灵魂的和谐、仁爱的纽带，以及祭司们的祈祷。</w:t>
      </w:r>
      <w:r>
        <w:rPr>
          <w:rStyle w:val="FootnoteReference"/>
        </w:rPr>
        <w:footnoteReference w:id="3359"/>
      </w:r>
    </w:p>
    <w:p>
      <w:pPr>
        <w:pStyle w:val="FirstParagraph"/>
      </w:pPr>
      <w:r>
        <w:rPr>
          <w:b/>
          <w:bCs/>
        </w:rPr>
        <w:t xml:space="preserve">主日的义务</w:t>
      </w:r>
    </w:p>
    <w:p>
      <w:pPr>
        <w:pStyle w:val="BodyText"/>
      </w:pPr>
      <w:r>
        <w:t xml:space="preserve">教会的规诫更具体地说明主的律法：「在主日和其他应守庆日，信徒有义务参与弥撒。」</w:t>
      </w:r>
      <w:r>
        <w:rPr>
          <w:rStyle w:val="FootnoteReference"/>
        </w:rPr>
        <w:footnoteReference w:id="3360"/>
      </w:r>
      <w:r>
        <w:t xml:space="preserve">「参与弥撒的义务，只要在应守庆日当天，或前一日傍晚，在任何地方以任何公教礼式所举行的弥撒中出席，即算完成。」</w:t>
      </w:r>
      <w:r>
        <w:rPr>
          <w:rStyle w:val="FootnoteReference"/>
        </w:rPr>
        <w:footnoteReference w:id="3361"/>
      </w:r>
    </w:p>
    <w:p>
      <w:pPr>
        <w:pStyle w:val="BodyText"/>
      </w:pPr>
      <w:r>
        <w:t xml:space="preserve">主日圣餐是全部基督徒实践的根基与坚固。因此，信徒在应守庆日有义务参与圣餐，除非有严重理由而获豁免（例如疾病、照顾婴儿），或由其本堂祭司免除。</w:t>
      </w:r>
      <w:r>
        <w:rPr>
          <w:rStyle w:val="FootnoteReference"/>
        </w:rPr>
        <w:footnoteReference w:id="3362"/>
      </w:r>
      <w:r>
        <w:t xml:space="preserve">故意不履行这义务的人，犯了严重的罪。</w:t>
      </w:r>
    </w:p>
    <w:p>
      <w:pPr>
        <w:pStyle w:val="BodyText"/>
      </w:pPr>
      <w:r>
        <w:t xml:space="preserve">参与主日圣餐的团体庆祝，是一种见证：见证自己属于基督，并忠于基督及他的教会。信徒借此见证他们在信心与仁爱中的共融。他们一同见证神的圣洁，以及他们得救的盼望。他们在圣灵的带领下彼此坚固。</w:t>
      </w:r>
    </w:p>
    <w:p>
      <w:pPr>
        <w:pStyle w:val="BodyText"/>
      </w:pPr>
      <w:r>
        <w:t xml:space="preserve">「若因缺少圣职人员或其他重大原因，无法参与圣餐庆典，特别建议信徒：若堂区教堂或其他圣地按教区主教规定举行道的礼仪，应当参与；或以适当的时间个人祈祷，或家庭祈祷，或视情况与数个家庭一同祈祷。」</w:t>
      </w:r>
      <w:r>
        <w:rPr>
          <w:rStyle w:val="FootnoteReference"/>
        </w:rPr>
        <w:footnoteReference w:id="3363"/>
      </w:r>
    </w:p>
    <w:p>
      <w:pPr>
        <w:pStyle w:val="BodyText"/>
      </w:pPr>
      <w:r>
        <w:rPr>
          <w:b/>
          <w:bCs/>
        </w:rPr>
        <w:t xml:space="preserve">恩典之日与停止工作之日</w:t>
      </w:r>
    </w:p>
    <w:p>
      <w:pPr>
        <w:pStyle w:val="BodyText"/>
      </w:pPr>
      <w:r>
        <w:t xml:space="preserve">正如神「就在第七日歇了他一切的工，安息了」，</w:t>
      </w:r>
      <w:r>
        <w:rPr>
          <w:rStyle w:val="FootnoteReference"/>
        </w:rPr>
        <w:footnoteReference w:id="3364"/>
      </w:r>
      <w:r>
        <w:t xml:space="preserve">人的生命也有工作与休息的节律。主日的制度帮助每个人享有足够的休息与闲暇，好培育他们的家庭、文化、社会与宗教生活。</w:t>
      </w:r>
      <w:r>
        <w:rPr>
          <w:rStyle w:val="FootnoteReference"/>
        </w:rPr>
        <w:footnoteReference w:id="3365"/>
      </w:r>
    </w:p>
    <w:p>
      <w:pPr>
        <w:pStyle w:val="BodyText"/>
      </w:pPr>
      <w:r>
        <w:t xml:space="preserve">在主日和其他应守庆日，信徒应当避免从事那些妨碍向神应献的敬拜、妨碍主日特有的喜乐、妨碍实行慈悲善工、以及妨碍身心适当休息的工作或活动。</w:t>
      </w:r>
      <w:r>
        <w:rPr>
          <w:rStyle w:val="FootnoteReference"/>
        </w:rPr>
        <w:footnoteReference w:id="3366"/>
      </w:r>
      <w:r>
        <w:t xml:space="preserve">家庭需要或重要的社会服务可以正当地免除主日休息的义务。信徒应当留意：正当的理由不应导致损害宗教生活、家庭生活与健康的习惯。</w:t>
      </w:r>
    </w:p>
    <w:p>
      <w:pPr>
        <w:pStyle w:val="BlockText"/>
      </w:pPr>
      <w:r>
        <w:t xml:space="preserve">真理的仁爱追求圣洁的闲暇——仁爱的需要接受公义的工作。</w:t>
      </w:r>
      <w:r>
        <w:rPr>
          <w:rStyle w:val="FootnoteReference"/>
        </w:rPr>
        <w:footnoteReference w:id="3367"/>
      </w:r>
    </w:p>
    <w:p>
      <w:pPr>
        <w:pStyle w:val="FirstParagraph"/>
      </w:pPr>
      <w:r>
        <w:t xml:space="preserve">有闲暇的基督徒应当记得：他们的弟兄也有同样的需要与同样的权利，却因贫穷与困苦而无法停止工作。按基督徒的敬虔传统，主日通常奉献给善工，以及以谦卑的服务照顾病人、体弱者与老人。基督徒也会藉着把时间与关怀献给家人和亲属来使主日成圣，而这些往往在一周其他日子里难以做到。主日也是反省、静默、陶冶心智与默想的时间，这些都有助于基督徒内在生活的成长。</w:t>
      </w:r>
    </w:p>
    <w:p>
      <w:pPr>
        <w:pStyle w:val="BodyText"/>
      </w:pPr>
      <w:r>
        <w:t xml:space="preserve">使主日和应守庆日成圣，需要共同的努力。每个基督徒都应避免对他人提出不必要的要求，以免妨碍他们遵守主日。传统活动（运动、餐馆等）与社会需要（公共服务等）使一些人在主日必须工作；但每个人仍应留意给自己留出足够的闲暇时间。信徒以节制与仁爱，应当避免那种有时与大众娱乐活动相连的过度与暴力。尽管有经济限制，公共权力仍应确保公民有一段为休息与敬拜神而设的时间。雇主对其雇员也有类似的义务。</w:t>
      </w:r>
    </w:p>
    <w:p>
      <w:pPr>
        <w:pStyle w:val="BodyText"/>
      </w:pPr>
      <w:r>
        <w:t xml:space="preserve">基督徒在尊重宗教自由并兼顾众人的公益时，应当争取使主日和教会的应守庆日获得法定假日的承认。他们必须向众人作出祈祷、尊敬与喜乐的公开榜样，并捍卫他们的传统，把它们视为对社会属灵生活的宝贵贡献。如果某国的立法或其他原因要求主日工作，这一天仍应当作为我们得释放的日子来生活，使我们能分享这「总会」，这「名录在天上诸长子之会所共聚的总会」。</w:t>
      </w:r>
      <w:r>
        <w:rPr>
          <w:rStyle w:val="FootnoteReference"/>
        </w:rPr>
        <w:footnoteReference w:id="3368"/>
      </w:r>
    </w:p>
    <w:bookmarkEnd w:id="3369"/>
    <w:bookmarkEnd w:id="3370"/>
    <w:bookmarkStart w:id="3371" w:name="综述-58"/>
    <w:p>
      <w:pPr>
        <w:pStyle w:val="Heading4"/>
      </w:pPr>
      <w:r>
        <w:t xml:space="preserve">综述</w:t>
      </w:r>
    </w:p>
    <w:p>
      <w:pPr>
        <w:pStyle w:val="FirstParagraph"/>
      </w:pPr>
      <w:r>
        <w:t xml:space="preserve">「当照耶和华你神所吩咐的守安息日为圣日。」（申5:12）「但第七日是安息圣日，是向耶和华守为圣的。」（出31:15）。</w:t>
      </w:r>
    </w:p>
    <w:p>
      <w:pPr>
        <w:pStyle w:val="BodyText"/>
      </w:pPr>
      <w:r>
        <w:t xml:space="preserve">安息日象征第一次创造的完成，已由主日所取代；主日让人想起基督复活所开启的新的创造。</w:t>
      </w:r>
    </w:p>
    <w:p>
      <w:pPr>
        <w:pStyle w:val="BodyText"/>
      </w:pPr>
      <w:r>
        <w:t xml:space="preserve">教会在「第八日」——主日——庆祝基督复活之日；这日理当被称为主日（参SC 106）。</w:t>
      </w:r>
    </w:p>
    <w:p>
      <w:pPr>
        <w:pStyle w:val="BodyText"/>
      </w:pPr>
      <w:r>
        <w:t xml:space="preserve">「主日是按使徒传统庆祝逾越奥秘的日子，并且应当在普世教会中作为首要应守的庆日来遵守」（CIC，第1246条1项）。「在主日和其他应守庆日，信徒有义务参与弥撒」（CIC，第1247条）。</w:t>
      </w:r>
    </w:p>
    <w:p>
      <w:pPr>
        <w:pStyle w:val="BodyText"/>
      </w:pPr>
      <w:r>
        <w:t xml:space="preserve">「在主日和其他应守庆日，信徒有义务……避免那些妨碍向神应献的敬拜、妨碍主日特有的喜乐、以及妨碍身心适当休息的劳役与事务」（CIC，第1247条）。</w:t>
      </w:r>
    </w:p>
    <w:p>
      <w:pPr>
        <w:pStyle w:val="BodyText"/>
      </w:pPr>
      <w:r>
        <w:t xml:space="preserve">主日的制度帮助众人「享有足够的休息与闲暇，好培育他们的家庭、文化、社会与宗教生活」（GS 67 § 3）。</w:t>
      </w:r>
    </w:p>
    <w:p>
      <w:pPr>
        <w:pStyle w:val="BodyText"/>
      </w:pPr>
      <w:r>
        <w:t xml:space="preserve">每个基督徒都应避免对他人提出不必要的要求，以免妨碍他们遵守主日。</w:t>
      </w:r>
    </w:p>
    <w:p>
      <w:r>
        <w:br w:type="page"/>
      </w:r>
    </w:p>
    <w:bookmarkEnd w:id="3371"/>
    <w:bookmarkEnd w:id="3372"/>
    <w:bookmarkStart w:id="3765" w:name="第二章要爱人如己"/>
    <w:p>
      <w:pPr>
        <w:pStyle w:val="Heading3"/>
      </w:pPr>
      <w:r>
        <w:t xml:space="preserve">第二章：「要爱人如己」</w:t>
      </w:r>
    </w:p>
    <w:p>
      <w:pPr>
        <w:pStyle w:val="FirstParagraph"/>
      </w:pPr>
      <w:r>
        <w:t xml:space="preserve">耶稣对门徒说：「我赐给你们一条新命令，乃是叫你们彼此相爱；我怎样爱你们，你们也要怎样相爱。」</w:t>
      </w:r>
      <w:r>
        <w:rPr>
          <w:rStyle w:val="FootnoteReference"/>
        </w:rPr>
        <w:footnoteReference w:id="3373"/>
      </w:r>
    </w:p>
    <w:p>
      <w:pPr>
        <w:pStyle w:val="BodyText"/>
      </w:pPr>
      <w:r>
        <w:t xml:space="preserve">耶稣在回答有关诫命中第一条的问题时说：「第一要紧的就是说：以色列啊，你要听，主我们神是独一的主。你要尽心、尽性、尽意、尽力爱主你的神。其次就是说：要爱人如己。再没有比这两条诫命更大的了。」</w:t>
      </w:r>
      <w:r>
        <w:rPr>
          <w:rStyle w:val="FootnoteReference"/>
        </w:rPr>
        <w:footnoteReference w:id="3374"/>
      </w:r>
      <w:r>
        <w:t xml:space="preserve">使徒保罗也提醒我们：「凡事都不可亏欠人，惟有彼此相爱，要常以为亏欠，因为爱人的就完全了律法。像那不可奸淫、不可杀人、不可偷盗、不可贪婪，或有别的诫命，都包在『爱人如己』这一句话之内了。爱是不加害与人的，所以爱就完全了律法。」</w:t>
      </w:r>
      <w:r>
        <w:rPr>
          <w:rStyle w:val="FootnoteReference"/>
        </w:rPr>
        <w:footnoteReference w:id="3375"/>
      </w:r>
    </w:p>
    <w:p>
      <w:r>
        <w:br w:type="page"/>
      </w:r>
    </w:p>
    <w:bookmarkStart w:id="3431" w:name="第四条第四诫"/>
    <w:p>
      <w:pPr>
        <w:pStyle w:val="Heading4"/>
      </w:pPr>
      <w:r>
        <w:t xml:space="preserve">第四条：第四诫</w:t>
      </w:r>
    </w:p>
    <w:p>
      <w:pPr>
        <w:pStyle w:val="BlockText"/>
      </w:pPr>
      <w:r>
        <w:t xml:space="preserve">当孝敬父母，使你的日子在耶和华你神所赐你的地上得以长久。</w:t>
      </w:r>
      <w:r>
        <w:rPr>
          <w:rStyle w:val="FootnoteReference"/>
        </w:rPr>
        <w:footnoteReference w:id="3376"/>
      </w:r>
    </w:p>
    <w:p>
      <w:pPr>
        <w:pStyle w:val="BlockText"/>
      </w:pPr>
      <w:r>
        <w:t xml:space="preserve">并且顺从他们。</w:t>
      </w:r>
      <w:r>
        <w:rPr>
          <w:rStyle w:val="FootnoteReference"/>
        </w:rPr>
        <w:footnoteReference w:id="3377"/>
      </w:r>
    </w:p>
    <w:p>
      <w:pPr>
        <w:pStyle w:val="BlockText"/>
      </w:pPr>
      <w:r>
        <w:t xml:space="preserve">主耶稣自己也提起这「神的诫命」的力量。</w:t>
      </w:r>
      <w:r>
        <w:rPr>
          <w:rStyle w:val="FootnoteReference"/>
        </w:rPr>
        <w:footnoteReference w:id="3378"/>
      </w:r>
      <w:r>
        <w:t xml:space="preserve">使徒教导说：「你们作儿女的，要在主里听从父母，这是理所当然的。要孝敬父母，（这是第一条带应许的诫命）要叫你得福，在世长寿。」</w:t>
      </w:r>
      <w:r>
        <w:rPr>
          <w:rStyle w:val="FootnoteReference"/>
        </w:rPr>
        <w:footnoteReference w:id="3379"/>
      </w:r>
    </w:p>
    <w:p>
      <w:pPr>
        <w:pStyle w:val="FirstParagraph"/>
      </w:pPr>
      <w:r>
        <w:t xml:space="preserve">第四诫开启十诫的第二块法版。它向我们显示仁爱的秩序。神愿意我们在尊崇他之后，也尊崇父母；我们欠他们生命，他们也把对神的认识传给我们。我们也有义务尊崇并尊敬一切为我们益处而领受神所赋权柄的人。</w:t>
      </w:r>
    </w:p>
    <w:p>
      <w:pPr>
        <w:pStyle w:val="BodyText"/>
      </w:pPr>
      <w:r>
        <w:t xml:space="preserve">这条诫命以积极的方式表述应尽的责任。它引出后续的诫命；后续诫命关乎对生命、婚姻、现世财物以及言语的特别尊重。这条诫命构成教会社会教导的基础之一。</w:t>
      </w:r>
    </w:p>
    <w:p>
      <w:pPr>
        <w:pStyle w:val="BodyText"/>
      </w:pPr>
      <w:r>
        <w:t xml:space="preserve">第四诫明确指向子女与父母之间的关系，因为这关系最普遍。它同样也关乎大家族成员之间的亲属关系。它要求人尊敬、爱戴并感恩长者与祖先。最后，它延伸到：学生对教师、雇员对雇主、下属对上级、公民对国家，以及对管理或治理国家的人所应尽的义务。这条诫命包含并预设父母、教育者、教师、领导者、司法官、执政者，以及一切对他人或对一个团体行使权柄之人的义务。</w:t>
      </w:r>
    </w:p>
    <w:p>
      <w:pPr>
        <w:pStyle w:val="BodyText"/>
      </w:pPr>
      <w:r>
        <w:t xml:space="preserve">遵守第四诫带来它的赏报：「当孝敬父母，使你的日子在耶和华你神所赐你的地上得以长久。」</w:t>
      </w:r>
      <w:r>
        <w:rPr>
          <w:rStyle w:val="FootnoteReference"/>
        </w:rPr>
        <w:footnoteReference w:id="3380"/>
      </w:r>
      <w:r>
        <w:t xml:space="preserve">遵守这诫命除了带来属灵的果实，也带来现世的和平与兴盛。相反，不遵守会给团体与个人带来巨大的伤害。</w:t>
      </w:r>
    </w:p>
    <w:bookmarkStart w:id="3384" w:name="一神计划中的家庭"/>
    <w:p>
      <w:pPr>
        <w:pStyle w:val="Heading5"/>
      </w:pPr>
      <w:r>
        <w:t xml:space="preserve">一、神计划中的家庭</w:t>
      </w:r>
    </w:p>
    <w:p>
      <w:pPr>
        <w:pStyle w:val="FirstParagraph"/>
      </w:pPr>
      <w:r>
        <w:rPr>
          <w:b/>
          <w:bCs/>
        </w:rPr>
        <w:t xml:space="preserve">家庭的本质</w:t>
      </w:r>
    </w:p>
    <w:p>
      <w:pPr>
        <w:pStyle w:val="BodyText"/>
      </w:pPr>
      <w:r>
        <w:t xml:space="preserve">夫妻团体建立在配偶双方的同意之上。婚姻与家庭指向配偶的益处，也指向生育并教育子女。配偶的爱与子女的诞生，在同一家庭的成员之间建立人格关系与原初的责任。</w:t>
      </w:r>
    </w:p>
    <w:p>
      <w:pPr>
        <w:pStyle w:val="BodyText"/>
      </w:pPr>
      <w:r>
        <w:t xml:space="preserve">一男一女在婚姻中结合，并与他们的子女一起构成家庭。这个制度先于任何公共权力的承认；公共权力有义务承认它。它应当被视为评估各种家庭关系形式的正常参照点。</w:t>
      </w:r>
    </w:p>
    <w:p>
      <w:pPr>
        <w:pStyle w:val="BodyText"/>
      </w:pPr>
      <w:r>
        <w:t xml:space="preserve">神在创造男女时，设立了人类家庭，并赋予它基本的结构。家庭成员都是位格，在尊严上平等。为了成员与社会的公益，家庭必然拥有多方面的责任、权利与义务。</w:t>
      </w:r>
    </w:p>
    <w:p>
      <w:pPr>
        <w:pStyle w:val="BodyText"/>
      </w:pPr>
      <w:r>
        <w:rPr>
          <w:b/>
          <w:bCs/>
        </w:rPr>
        <w:t xml:space="preserve">基督徒家庭</w:t>
      </w:r>
    </w:p>
    <w:p>
      <w:pPr>
        <w:pStyle w:val="BodyText"/>
      </w:pPr>
      <w:r>
        <w:t xml:space="preserve">「基督徒家庭构成对教会共融的一种特殊启示与实现，因此它能够、也应当被称为家庭教会。」</w:t>
      </w:r>
      <w:r>
        <w:rPr>
          <w:rStyle w:val="FootnoteReference"/>
        </w:rPr>
        <w:footnoteReference w:id="3381"/>
      </w:r>
      <w:r>
        <w:t xml:space="preserve">它是信心、盼望与仁爱的团体；它在教会中具有独特的重要性，这在新约中清楚可见。</w:t>
      </w:r>
      <w:r>
        <w:rPr>
          <w:rStyle w:val="FootnoteReference"/>
        </w:rPr>
        <w:footnoteReference w:id="3382"/>
      </w:r>
    </w:p>
    <w:p>
      <w:pPr>
        <w:pStyle w:val="BodyText"/>
      </w:pPr>
      <w:r>
        <w:t xml:space="preserve">基督徒家庭是位格的共融，是父与子在圣灵中的共融的标记与肖像。在生育并教育子女上，它反映圣父创造的工作。它蒙召参与基督的祈祷与祭献。日常祈祷与诵读神的道，使它在仁爱中坚固。基督徒家庭有传福音与传教的任务。</w:t>
      </w:r>
    </w:p>
    <w:p>
      <w:pPr>
        <w:pStyle w:val="BodyText"/>
      </w:pPr>
      <w:r>
        <w:t xml:space="preserve">家庭内部的关系带来一种情感、爱意与利益上的亲近，尤其源于成员彼此的尊重。家庭是一种特殊的团体，蒙召实现「夫妻之间的思想分享与共同商议，以及他们作为父母在子女教养上的热切合作」。</w:t>
      </w:r>
      <w:r>
        <w:rPr>
          <w:rStyle w:val="FootnoteReference"/>
        </w:rPr>
        <w:footnoteReference w:id="3383"/>
      </w:r>
    </w:p>
    <w:bookmarkEnd w:id="3384"/>
    <w:bookmarkStart w:id="3389" w:name="二家庭与社会"/>
    <w:p>
      <w:pPr>
        <w:pStyle w:val="Heading5"/>
      </w:pPr>
      <w:r>
        <w:t xml:space="preserve">二、家庭与社会</w:t>
      </w:r>
    </w:p>
    <w:p>
      <w:pPr>
        <w:pStyle w:val="FirstParagraph"/>
      </w:pPr>
      <w:r>
        <w:t xml:space="preserve">家庭是社会生活的原始细胞。它是自然的社会，在其中夫妻蒙召在爱中把自己交给对方，并把生命当作恩赐交出来。家庭内部的权威、稳定，以及关系性的生活，构成社会中自由、安全与手足情谊的基础。家庭也是一个团体：人在童年就能在其中学习道德价值，开始尊崇神，并善用自由。家庭生活是进入社会生活的入门。</w:t>
      </w:r>
    </w:p>
    <w:p>
      <w:pPr>
        <w:pStyle w:val="BodyText"/>
      </w:pPr>
      <w:r>
        <w:t xml:space="preserve">家庭的生活应当使其成员学习照顾并承担责任，尤其是对年幼者、年长者、病者、残障者与穷人。有许多家庭在某些时候无法提供这类帮助；这时就应由其他个人、其他家庭，并以辅助的方式由社会来满足他们的需要：「在神我们的父面前，那清洁没有玷污的虔诚就是看顾在患难中的孤儿寡妇，并且保守自己不沾染世俗。」</w:t>
      </w:r>
      <w:r>
        <w:rPr>
          <w:rStyle w:val="FootnoteReference"/>
        </w:rPr>
        <w:footnoteReference w:id="3385"/>
      </w:r>
    </w:p>
    <w:p>
      <w:pPr>
        <w:pStyle w:val="BodyText"/>
      </w:pPr>
      <w:r>
        <w:t xml:space="preserve">家庭应当借着适当的社会措施得到帮助与保护。当家庭不能履行其责任时，其他社会团体就有义务帮助他们，并支持家庭制度。按辅助性原则，更大的团体应当留意，不可侵夺家庭的特权，也不可干预家庭生活。</w:t>
      </w:r>
    </w:p>
    <w:p>
      <w:pPr>
        <w:pStyle w:val="BodyText"/>
      </w:pPr>
      <w:r>
        <w:t xml:space="preserve">家庭对社会的生活与福祉具有重要性，</w:t>
      </w:r>
      <w:r>
        <w:rPr>
          <w:rStyle w:val="FootnoteReference"/>
        </w:rPr>
        <w:footnoteReference w:id="3386"/>
      </w:r>
      <w:r>
        <w:t xml:space="preserve">因此社会对支持并坚固婚姻与家庭负有特殊责任。民事权力应当把以下视为严重义务：「承认婚姻与家庭的真实本质，保护并促进它们，维护公共道德，并促进家庭的兴盛。」</w:t>
      </w:r>
      <w:r>
        <w:rPr>
          <w:rStyle w:val="FootnoteReference"/>
        </w:rPr>
        <w:footnoteReference w:id="3387"/>
      </w:r>
    </w:p>
    <w:p>
      <w:pPr>
        <w:pStyle w:val="BodyText"/>
      </w:pPr>
      <w:r>
        <w:t xml:space="preserve">政治团体有义务尊崇家庭，协助家庭，并尤其确保：</w:t>
      </w:r>
    </w:p>
    <w:p>
      <w:pPr>
        <w:pStyle w:val="Compact"/>
        <w:numPr>
          <w:ilvl w:val="0"/>
          <w:numId w:val="1026"/>
        </w:numPr>
      </w:pPr>
      <w:r>
        <w:t xml:space="preserve">建立家庭、生育子女，并按家庭自身的道德与宗教信念抚养子女的自由；</w:t>
      </w:r>
    </w:p>
    <w:p>
      <w:pPr>
        <w:pStyle w:val="Compact"/>
        <w:numPr>
          <w:ilvl w:val="0"/>
          <w:numId w:val="1026"/>
        </w:numPr>
      </w:pPr>
      <w:r>
        <w:t xml:space="preserve">保护婚姻纽带与家庭制度的稳定；</w:t>
      </w:r>
    </w:p>
    <w:p>
      <w:pPr>
        <w:pStyle w:val="Compact"/>
        <w:numPr>
          <w:ilvl w:val="0"/>
          <w:numId w:val="1026"/>
        </w:numPr>
      </w:pPr>
      <w:r>
        <w:t xml:space="preserve">自由宣认信仰、传递信仰，并用必要的资源与制度在信仰中抚养子女的自由；</w:t>
      </w:r>
    </w:p>
    <w:p>
      <w:pPr>
        <w:pStyle w:val="Compact"/>
        <w:numPr>
          <w:ilvl w:val="0"/>
          <w:numId w:val="1026"/>
        </w:numPr>
      </w:pPr>
      <w:r>
        <w:t xml:space="preserve">私有财产权、自由企业权、获得工作与住房的权利，以及移民的权利；</w:t>
      </w:r>
    </w:p>
    <w:p>
      <w:pPr>
        <w:pStyle w:val="Compact"/>
        <w:numPr>
          <w:ilvl w:val="0"/>
          <w:numId w:val="1026"/>
        </w:numPr>
      </w:pPr>
      <w:r>
        <w:t xml:space="preserve">按国家制度，享有医疗照护、老人照护，以及家庭津贴的权利；</w:t>
      </w:r>
    </w:p>
    <w:p>
      <w:pPr>
        <w:pStyle w:val="Compact"/>
        <w:numPr>
          <w:ilvl w:val="0"/>
          <w:numId w:val="1026"/>
        </w:numPr>
      </w:pPr>
      <w:r>
        <w:t xml:space="preserve">保护安全与健康，尤其防范毒品、淫秽作品、酗酒等危险；</w:t>
      </w:r>
    </w:p>
    <w:p>
      <w:pPr>
        <w:pStyle w:val="Compact"/>
        <w:numPr>
          <w:ilvl w:val="0"/>
          <w:numId w:val="1026"/>
        </w:numPr>
      </w:pPr>
      <w:r>
        <w:t xml:space="preserve">与其他家庭自由结社，并因此在民事权力面前获得代表权。</w:t>
      </w:r>
      <w:r>
        <w:rPr>
          <w:rStyle w:val="FootnoteReference"/>
        </w:rPr>
        <w:footnoteReference w:id="3388"/>
      </w:r>
    </w:p>
    <w:p>
      <w:pPr>
        <w:pStyle w:val="FirstParagraph"/>
      </w:pPr>
      <w:r>
        <w:t xml:space="preserve">第四诫也照亮社会中的其他关系。我们在弟兄姊妹身上，看见父母的子女；在表亲身上，看见祖先的后裔；在同胞身上，看见国家的子女；在领受洗礼者身上，看见教会这位母亲的子女；在每一个人身上，看见那位愿意被称为「我们的父」之神的儿女。这样，我们就认识到：我们与邻人的关系本质上是人格性的。邻人不是人群集体中的一个「单位」；他是「某个人」，他因其可知的出身而配得特别的关注与尊重。</w:t>
      </w:r>
    </w:p>
    <w:p>
      <w:pPr>
        <w:pStyle w:val="BodyText"/>
      </w:pPr>
      <w:r>
        <w:t xml:space="preserve">人类团体由位格组成。把团体治理好，并不只在于保障权利与履行义务，例如履行合同。雇主与雇员之间、执政者与公民之间的正当关系，预设一种符合位格尊严、关切公义与手足情谊的自然善意。</w:t>
      </w:r>
    </w:p>
    <w:bookmarkEnd w:id="3389"/>
    <w:bookmarkStart w:id="3413" w:name="三家庭成员的义务"/>
    <w:p>
      <w:pPr>
        <w:pStyle w:val="Heading5"/>
      </w:pPr>
      <w:r>
        <w:t xml:space="preserve">三、家庭成员的义务</w:t>
      </w:r>
    </w:p>
    <w:p>
      <w:pPr>
        <w:pStyle w:val="FirstParagraph"/>
      </w:pPr>
      <w:r>
        <w:rPr>
          <w:b/>
          <w:bCs/>
        </w:rPr>
        <w:t xml:space="preserve">子女的义务</w:t>
      </w:r>
    </w:p>
    <w:p>
      <w:pPr>
        <w:pStyle w:val="BodyText"/>
      </w:pPr>
      <w:r>
        <w:t xml:space="preserve">神的父性是人的父性的源头，</w:t>
      </w:r>
      <w:r>
        <w:rPr>
          <w:rStyle w:val="FootnoteReference"/>
        </w:rPr>
        <w:footnoteReference w:id="3390"/>
      </w:r>
      <w:r>
        <w:t xml:space="preserve">这构成对父母应尽之尊敬的基础。无论年幼或成年，子女对父母的尊敬</w:t>
      </w:r>
      <w:r>
        <w:rPr>
          <w:rStyle w:val="FootnoteReference"/>
        </w:rPr>
        <w:footnoteReference w:id="3391"/>
      </w:r>
      <w:r>
        <w:t xml:space="preserve">由那把他们联结在一起的关系所生出的自然爱所滋养。这是神的诫命所要求的。</w:t>
      </w:r>
      <w:r>
        <w:rPr>
          <w:rStyle w:val="FootnoteReference"/>
        </w:rPr>
        <w:footnoteReference w:id="3392"/>
      </w:r>
    </w:p>
    <w:p>
      <w:pPr>
        <w:pStyle w:val="BodyText"/>
      </w:pPr>
      <w:r>
        <w:t xml:space="preserve">对父母的尊敬（孝爱）源于感恩：父母借着生命的恩赐、他们的爱与他们的工作，把子女带到世上，并使他们在身量、智慧与恩典上成长。「你要全心孝敬你父亲，不要忘记你母亲的生产之苦。你要记住，你是由他们所生；你能用什么回报他们，能与他们给你的相比呢？」</w:t>
      </w:r>
      <w:r>
        <w:rPr>
          <w:rStyle w:val="FootnoteReference"/>
        </w:rPr>
        <w:footnoteReference w:id="3393"/>
      </w:r>
    </w:p>
    <w:p>
      <w:pPr>
        <w:pStyle w:val="BodyText"/>
      </w:pPr>
      <w:r>
        <w:t xml:space="preserve">孝敬通过真实的顺从与听从表达出来。「我儿，要谨守你父亲的诫命，不可离弃你母亲的训诲……你行走，它必引导你；你躺卧，它必保守你；你睡醒，它必与你谈论。」</w:t>
      </w:r>
      <w:r>
        <w:rPr>
          <w:rStyle w:val="FootnoteReference"/>
        </w:rPr>
        <w:footnoteReference w:id="3394"/>
      </w:r>
      <w:r>
        <w:t xml:space="preserve">「智慧子听父亲的教训；亵慢人不听责备。」</w:t>
      </w:r>
      <w:r>
        <w:rPr>
          <w:rStyle w:val="FootnoteReference"/>
        </w:rPr>
        <w:footnoteReference w:id="3395"/>
      </w:r>
    </w:p>
    <w:p>
      <w:pPr>
        <w:pStyle w:val="BodyText"/>
      </w:pPr>
      <w:r>
        <w:t xml:space="preserve">只要子女仍与父母同住，当父母为子女的益处或为家庭的益处而要求子女时，子女就应在一切事上听从父母。「你们作儿女的，要凡事听从父母，因为这是主所喜悦的。」</w:t>
      </w:r>
      <w:r>
        <w:rPr>
          <w:rStyle w:val="FootnoteReference"/>
        </w:rPr>
        <w:footnoteReference w:id="3396"/>
      </w:r>
      <w:r>
        <w:t xml:space="preserve">子女也应听从教师合理的指引，以及父母托付他们的人。但如果子女按良知确信：听从某个命令在道德上是错误的，就不可去做。子女长大后仍应继续尊敬父母，应当体贴父母的心意，乐意征求他们的意见，并接受他们公正的劝戒。子女脱离父母后，对父母的听从便停止；但尊敬不会停止，因为尊敬永远是当有的。这尊敬根植于敬畏神，这是圣灵的恩赐之一。</w:t>
      </w:r>
    </w:p>
    <w:p>
      <w:pPr>
        <w:pStyle w:val="BodyText"/>
      </w:pPr>
      <w:r>
        <w:t xml:space="preserve">第四诫提醒成年子女对父母的责任。他们应尽其所能，在父母年老或在患病、孤独、困苦的时候，给他们物质与道德上的支持。耶稣也提醒人这感恩的义务。</w:t>
      </w:r>
      <w:r>
        <w:rPr>
          <w:rStyle w:val="FootnoteReference"/>
        </w:rPr>
        <w:footnoteReference w:id="3397"/>
      </w:r>
    </w:p>
    <w:p>
      <w:pPr>
        <w:pStyle w:val="BlockText"/>
      </w:pPr>
      <w:r>
        <w:t xml:space="preserve">上主使父亲受到儿女的尊敬，又使母亲在儿子身上有权威。孝敬父亲的，赎补罪过；光荣母亲的，积蓄财宝。孝敬父亲的，必因自己的子女而喜乐；他祈祷时，也必蒙应允。光荣父亲的，必享长寿；听从上主的，必使母亲欣慰。</w:t>
      </w:r>
      <w:r>
        <w:rPr>
          <w:rStyle w:val="FootnoteReference"/>
        </w:rPr>
        <w:footnoteReference w:id="3398"/>
      </w:r>
    </w:p>
    <w:p>
      <w:pPr>
        <w:pStyle w:val="BlockText"/>
      </w:pPr>
      <w:r>
        <w:t xml:space="preserve">我儿，在你父亲年老时要扶助他；他活着的时候，不可使他忧伤；即使他失去理解力，也要容忍他；你尽力不可轻视他……遗弃父亲的，好像亵渎的人；使母亲发怒的，必为上主所诅咒。</w:t>
      </w:r>
      <w:r>
        <w:rPr>
          <w:rStyle w:val="FootnoteReference"/>
        </w:rPr>
        <w:footnoteReference w:id="3399"/>
      </w:r>
    </w:p>
    <w:p>
      <w:pPr>
        <w:pStyle w:val="FirstParagraph"/>
      </w:pPr>
      <w:r>
        <w:t xml:space="preserve">孝敬父母促进全家生活的和睦；它也关乎兄弟姊妹之间的关系。对父母的尊敬使家充满光明与温暖。「子孙为老人的冠冕。」</w:t>
      </w:r>
      <w:r>
        <w:rPr>
          <w:rStyle w:val="FootnoteReference"/>
        </w:rPr>
        <w:footnoteReference w:id="3400"/>
      </w:r>
      <w:r>
        <w:t xml:space="preserve">「凡事谦虚、温柔、忍耐，用爱心互相宽容。」</w:t>
      </w:r>
      <w:r>
        <w:rPr>
          <w:rStyle w:val="FootnoteReference"/>
        </w:rPr>
        <w:footnoteReference w:id="3401"/>
      </w:r>
    </w:p>
    <w:p>
      <w:pPr>
        <w:pStyle w:val="BodyText"/>
      </w:pPr>
      <w:r>
        <w:t xml:space="preserve">对基督徒来说，特别应当感谢那些把信心的恩赐、洗礼的恩典，以及在教会里的生命赐给他们的人。这些人可能包括父母、祖父母、其他亲属、牧者、教理讲授者，以及其他教师或朋友。「想到你心里无伪之信，这信是先在你外祖母罗以和你母亲友尼基心里的，我深信也在你的心里。」</w:t>
      </w:r>
      <w:r>
        <w:rPr>
          <w:rStyle w:val="FootnoteReference"/>
        </w:rPr>
        <w:footnoteReference w:id="3402"/>
      </w:r>
    </w:p>
    <w:p>
      <w:pPr>
        <w:pStyle w:val="BodyText"/>
      </w:pPr>
      <w:r>
        <w:rPr>
          <w:b/>
          <w:bCs/>
        </w:rPr>
        <w:t xml:space="preserve">父母的义务</w:t>
      </w:r>
    </w:p>
    <w:p>
      <w:pPr>
        <w:pStyle w:val="BodyText"/>
      </w:pPr>
      <w:r>
        <w:t xml:space="preserve">夫妻之爱的丰饶性不能只被缩减为生育子女，也必须延伸到子女的道德教育与属灵培育。「父母在教育上的角色如此重要，以致几乎不可能找到足以替代的东西。」</w:t>
      </w:r>
      <w:r>
        <w:rPr>
          <w:rStyle w:val="FootnoteReference"/>
        </w:rPr>
        <w:footnoteReference w:id="3403"/>
      </w:r>
      <w:r>
        <w:t xml:space="preserve">父母教育子女的权利与义务是首要的，也是不可剥夺的。</w:t>
      </w:r>
      <w:r>
        <w:rPr>
          <w:rStyle w:val="FootnoteReference"/>
        </w:rPr>
        <w:footnoteReference w:id="3404"/>
      </w:r>
    </w:p>
    <w:p>
      <w:pPr>
        <w:pStyle w:val="BodyText"/>
      </w:pPr>
      <w:r>
        <w:t xml:space="preserve">父母必须把子女看作神的儿女，并尊重他们作为人的位格。父母自己顺服天上父的旨意，并教育子女去成全神的律法。</w:t>
      </w:r>
    </w:p>
    <w:p>
      <w:pPr>
        <w:pStyle w:val="BodyText"/>
      </w:pPr>
      <w:r>
        <w:t xml:space="preserve">父母对教育子女负有首要责任。他们首先借着营造一个家庭来为此作见证：在这个家里，温柔、宽恕、尊敬、忠诚与无私的服务是常态。家是培养德行的合宜之处。这需要训练克己、健全判断与自我掌控——这些是真自由的一切前提。父母应当教导子女，使「物质与本能的层面顺服于内在与属灵的层面」。</w:t>
      </w:r>
      <w:r>
        <w:rPr>
          <w:rStyle w:val="FootnoteReference"/>
        </w:rPr>
        <w:footnoteReference w:id="3405"/>
      </w:r>
      <w:r>
        <w:t xml:space="preserve">父母有重大责任向子女作好榜样。父母若懂得向子女承认自己的过失，就更能引导并纠正他们：</w:t>
      </w:r>
    </w:p>
    <w:p>
      <w:pPr>
        <w:pStyle w:val="BlockText"/>
      </w:pPr>
      <w:r>
        <w:t xml:space="preserve">爱儿子的，必随时责打。……管教儿子的，必因他得益处。</w:t>
      </w:r>
      <w:r>
        <w:rPr>
          <w:rStyle w:val="FootnoteReference"/>
        </w:rPr>
        <w:footnoteReference w:id="3406"/>
      </w:r>
    </w:p>
    <w:p>
      <w:pPr>
        <w:pStyle w:val="BlockText"/>
      </w:pPr>
      <w:r>
        <w:t xml:space="preserve">你们作父亲的，不要惹儿女的气，只要照着主的教训和警戒养育他们。</w:t>
      </w:r>
      <w:r>
        <w:rPr>
          <w:rStyle w:val="FootnoteReference"/>
        </w:rPr>
        <w:footnoteReference w:id="3407"/>
      </w:r>
    </w:p>
    <w:p>
      <w:pPr>
        <w:pStyle w:val="FirstParagraph"/>
      </w:pPr>
      <w:r>
        <w:t xml:space="preserve">家是引导人学习团结与团体责任的自然环境。父母应当教导子女躲避那些威胁人类社会、使人妥协并使人堕落的影响。</w:t>
      </w:r>
    </w:p>
    <w:p>
      <w:pPr>
        <w:pStyle w:val="BodyText"/>
      </w:pPr>
      <w:r>
        <w:t xml:space="preserve">借着婚姻圣事的恩典，父母领受向子女传福音的责任与特权。父母应当在子女年幼时就引导他们进入信仰的奥秘；父母对自己的子女来说，是「首位宣讲者」。父母应当从子女最幼小的时候，就把他们与教会的生活联系起来。</w:t>
      </w:r>
      <w:r>
        <w:rPr>
          <w:rStyle w:val="FootnoteReference"/>
        </w:rPr>
        <w:footnoteReference w:id="3408"/>
      </w:r>
      <w:r>
        <w:t xml:space="preserve">健全的家庭生活能培育内在的倾向，使人真正为活的信心作准备，并且在一生中持续支持这信心。</w:t>
      </w:r>
    </w:p>
    <w:p>
      <w:pPr>
        <w:pStyle w:val="BodyText"/>
      </w:pPr>
      <w:r>
        <w:t xml:space="preserve">父母对信仰的教育应当从子女最幼年的时候就开始。当家庭成员借着符合福音的基督徒生活见证，彼此帮助在信心上成长时，这已经在发生。家庭教理讲授先于、伴随并丰富其他形式的信仰教导。父母有使命教导子女祈祷，并帮助他们发现自己作为神儿女的圣召。</w:t>
      </w:r>
      <w:r>
        <w:rPr>
          <w:rStyle w:val="FootnoteReference"/>
        </w:rPr>
        <w:footnoteReference w:id="3409"/>
      </w:r>
      <w:r>
        <w:t xml:space="preserve">堂区是圣餐团体，也是基督徒家庭礼仪生活的中心；它是为子女和父母进行教理讲授的特殊场所。</w:t>
      </w:r>
    </w:p>
    <w:p>
      <w:pPr>
        <w:pStyle w:val="BodyText"/>
      </w:pPr>
      <w:r>
        <w:t xml:space="preserve">子女也反过来促进父母在圣德上的成长。</w:t>
      </w:r>
      <w:r>
        <w:rPr>
          <w:rStyle w:val="FootnoteReference"/>
        </w:rPr>
        <w:footnoteReference w:id="3410"/>
      </w:r>
      <w:r>
        <w:t xml:space="preserve">每个人都应当慷慨且不知疲倦地彼此宽恕冒犯、争吵、不公与忽视。彼此的爱意会推动这样做。基督的仁爱也要求这样做。</w:t>
      </w:r>
      <w:r>
        <w:rPr>
          <w:rStyle w:val="FootnoteReference"/>
        </w:rPr>
        <w:footnoteReference w:id="3411"/>
      </w:r>
    </w:p>
    <w:p>
      <w:pPr>
        <w:pStyle w:val="BodyText"/>
      </w:pPr>
      <w:r>
        <w:t xml:space="preserve">父母的尊重与爱护，体现在他们对年幼子女养育上的关怀与关注上，也体现在他们为子女的身心需要所作的供给上。随着子女长大，同样的尊重与奉献也引导父母教育子女正确使用理性与自由。</w:t>
      </w:r>
    </w:p>
    <w:p>
      <w:pPr>
        <w:pStyle w:val="BodyText"/>
      </w:pPr>
      <w:r>
        <w:t xml:space="preserve">父母作为对子女教育负首要责任的人，有权为子女选择与自己信念相符的学校。这权利是根本性的。父母也尽可能有义务选择那些最能帮助他们完成基督徒教育者任务的学校。</w:t>
      </w:r>
      <w:r>
        <w:rPr>
          <w:rStyle w:val="FootnoteReference"/>
        </w:rPr>
        <w:footnoteReference w:id="3412"/>
      </w:r>
      <w:r>
        <w:t xml:space="preserve">公共权力有义务保障父母这项权利，并确保其行使的具体条件。</w:t>
      </w:r>
    </w:p>
    <w:p>
      <w:pPr>
        <w:pStyle w:val="BodyText"/>
      </w:pPr>
      <w:r>
        <w:t xml:space="preserve">子女成年后，有权利也有义务选择自己的职业与生活身份。他们应当在与父母彼此信赖的关系中承担新的责任，乐意请教并接受父母的建议与劝告。父母应当小心，不可在子女选择职业或配偶时施加压力。这必要的克制并不妨碍他们——恰恰相反——向子女提供明智的建议，尤其在子女计划建立家庭时更应如此。</w:t>
      </w:r>
    </w:p>
    <w:p>
      <w:pPr>
        <w:pStyle w:val="BodyText"/>
      </w:pPr>
      <w:r>
        <w:t xml:space="preserve">有些人放弃婚姻，为照顾父母或兄弟姊妹，或为更完全地投入职业，或为服务其他可敬的目标。他们能为人类家庭的益处作出重大贡献。</w:t>
      </w:r>
    </w:p>
    <w:bookmarkEnd w:id="3413"/>
    <w:bookmarkStart w:id="3416" w:name="四家庭与天国"/>
    <w:p>
      <w:pPr>
        <w:pStyle w:val="Heading5"/>
      </w:pPr>
      <w:r>
        <w:t xml:space="preserve">四、家庭与天国</w:t>
      </w:r>
    </w:p>
    <w:p>
      <w:pPr>
        <w:pStyle w:val="FirstParagraph"/>
      </w:pPr>
      <w:r>
        <w:t xml:space="preserve">家庭关系重要，但不是绝对的。正如子女在成长中逐渐成熟，在人的自主与属灵的自主上日渐发展，他那从神而来的独特圣召也会更清楚、更有力地显明出来。父母应当尊重这呼召，并鼓励子女跟随它。他们必须确信：基督徒的第一圣召就是跟随耶稣：「爱父母过于爱我的，不配作我的门徒；爱儿女过于爱我的，不配作我的门徒。」</w:t>
      </w:r>
      <w:r>
        <w:rPr>
          <w:rStyle w:val="FootnoteReference"/>
        </w:rPr>
        <w:footnoteReference w:id="3414"/>
      </w:r>
    </w:p>
    <w:p>
      <w:pPr>
        <w:pStyle w:val="BodyText"/>
      </w:pPr>
      <w:r>
        <w:t xml:space="preserve">成为耶稣的门徒，就是接受邀请，归属于神的家庭，并按他的生活方式而生活：「凡遵行我天父旨意的人，就是我的弟兄姊妹和母亲了。」</w:t>
      </w:r>
      <w:r>
        <w:rPr>
          <w:rStyle w:val="FootnoteReference"/>
        </w:rPr>
        <w:footnoteReference w:id="3415"/>
      </w:r>
    </w:p>
    <w:p>
      <w:pPr>
        <w:pStyle w:val="BodyText"/>
      </w:pPr>
      <w:r>
        <w:t xml:space="preserve">当主呼召他们的某个子女为天国的缘故，在献身生活中或在祭司职务中，以童身跟随他时，父母应当以喜乐与感恩来迎接并尊重这呼召。</w:t>
      </w:r>
    </w:p>
    <w:bookmarkEnd w:id="3416"/>
    <w:bookmarkStart w:id="3430" w:name="五民事社会中的权柄"/>
    <w:p>
      <w:pPr>
        <w:pStyle w:val="Heading5"/>
      </w:pPr>
      <w:r>
        <w:t xml:space="preserve">五、民事社会中的权柄</w:t>
      </w:r>
    </w:p>
    <w:p>
      <w:pPr>
        <w:pStyle w:val="FirstParagraph"/>
      </w:pPr>
      <w:r>
        <w:t xml:space="preserve">神的第四诫也吩咐我们尊崇一切为我们益处而从神领受社会权柄的人。它澄清那些行使权柄者的义务，以及那些从权柄中得益者的义务。</w:t>
      </w:r>
    </w:p>
    <w:p>
      <w:pPr>
        <w:pStyle w:val="BodyText"/>
      </w:pPr>
      <w:r>
        <w:rPr>
          <w:b/>
          <w:bCs/>
        </w:rPr>
        <w:t xml:space="preserve">民事权柄的义务</w:t>
      </w:r>
    </w:p>
    <w:p>
      <w:pPr>
        <w:pStyle w:val="BodyText"/>
      </w:pPr>
      <w:r>
        <w:t xml:space="preserve">行使权柄的人应当把权柄当作服务来行使。「你们中间谁愿为大，就必作你们的用人。」</w:t>
      </w:r>
      <w:r>
        <w:rPr>
          <w:rStyle w:val="FootnoteReference"/>
        </w:rPr>
        <w:footnoteReference w:id="3417"/>
      </w:r>
      <w:r>
        <w:t xml:space="preserve">权柄的行使在道德上要按其来自神的根源、其合乎理性的性质，以及其特定对象来衡量。没有人可以命令或制定违背人的尊严与自然律的事。</w:t>
      </w:r>
    </w:p>
    <w:p>
      <w:pPr>
        <w:pStyle w:val="BodyText"/>
      </w:pPr>
      <w:r>
        <w:t xml:space="preserve">权柄的行使旨在把正当的价值等级在外在表达出来，以便促进每个人自由与责任的实践。掌权者应当明智地实行分配的公义，顾及每个人的需要与贡献，以达成和谐与和平。他们也应留意：他们所制定的规章与措施，不可使个人利益与团体利益对立，从而成为诱惑的来源。</w:t>
      </w:r>
      <w:r>
        <w:rPr>
          <w:rStyle w:val="FootnoteReference"/>
        </w:rPr>
        <w:footnoteReference w:id="3418"/>
      </w:r>
    </w:p>
    <w:p>
      <w:pPr>
        <w:pStyle w:val="BodyText"/>
      </w:pPr>
      <w:r>
        <w:t xml:space="preserve">政治权柄有义务尊重人的基本权利。他们应当以人道的方式施行公义，尊重每个人的权利，尤其是家庭与弱势者的权利。与公民身份相连的政治权利能够、也应当按公益的要求予以赋予。若没有正当且相称的理由，公共权力不可暂停这些权利。政治权利应当为国家与人类团体的公益而行使。</w:t>
      </w:r>
    </w:p>
    <w:p>
      <w:pPr>
        <w:pStyle w:val="BodyText"/>
      </w:pPr>
      <w:r>
        <w:rPr>
          <w:b/>
          <w:bCs/>
        </w:rPr>
        <w:t xml:space="preserve">公民的义务</w:t>
      </w:r>
    </w:p>
    <w:p>
      <w:pPr>
        <w:pStyle w:val="BodyText"/>
      </w:pPr>
      <w:r>
        <w:t xml:space="preserve">在权柄之下的人应当把掌权者看作神的代表；神使他们作他恩赐的管家。</w:t>
      </w:r>
      <w:r>
        <w:rPr>
          <w:rStyle w:val="FootnoteReference"/>
        </w:rPr>
        <w:footnoteReference w:id="3419"/>
      </w:r>
      <w:r>
        <w:t xml:space="preserve">「你们为主的缘故，要顺服人的一切制度……你们虽是自由的，却不可借着自由遮盖恶毒，总要作神的仆人。」</w:t>
      </w:r>
      <w:r>
        <w:rPr>
          <w:rStyle w:val="FootnoteReference"/>
        </w:rPr>
        <w:footnoteReference w:id="3420"/>
      </w:r>
      <w:r>
        <w:t xml:space="preserve">他们忠诚的合作也包括一项权利，并且有时包括一项义务：对那些似乎损害人的尊严、损害团体公益的事，提出公正的批评。</w:t>
      </w:r>
    </w:p>
    <w:p>
      <w:pPr>
        <w:pStyle w:val="BodyText"/>
      </w:pPr>
      <w:r>
        <w:t xml:space="preserve">公民有义务以真实、公义、团结与自由的精神，与民事权力一起促进社会的益处。爱国与服务国家源于感恩的义务，并属于仁爱的秩序。顺服合法权柄并服务公益，要求公民在政治团体的生活中履行自己的角色。</w:t>
      </w:r>
    </w:p>
    <w:p>
      <w:pPr>
        <w:pStyle w:val="BodyText"/>
      </w:pPr>
      <w:r>
        <w:t xml:space="preserve">顺服权柄并共同为公益负责，使人有道德义务纳税、行使投票权，并保卫国家：</w:t>
      </w:r>
    </w:p>
    <w:p>
      <w:pPr>
        <w:pStyle w:val="BlockText"/>
      </w:pPr>
      <w:r>
        <w:t xml:space="preserve">凡人所当得的，就给他；该纳粮的，纳粮给他；该上税的，上税给他；该惧怕的，惧怕他；该恭敬的，恭敬他。</w:t>
      </w:r>
      <w:r>
        <w:rPr>
          <w:rStyle w:val="FootnoteReference"/>
        </w:rPr>
        <w:footnoteReference w:id="3421"/>
      </w:r>
    </w:p>
    <w:p>
      <w:pPr>
        <w:pStyle w:val="BlockText"/>
      </w:pPr>
      <w:r>
        <w:t xml:space="preserve">基督徒住在各自的国家里，却像寄居者。他们作为公民参与一切，却如同外人忍受一切……他们顺服既定的法律，而他们的生活方式又超过法律……神把他们安置在如此高贵的地位上，他们不被允许离弃。</w:t>
      </w:r>
      <w:r>
        <w:rPr>
          <w:rStyle w:val="FootnoteReference"/>
        </w:rPr>
        <w:footnoteReference w:id="3422"/>
      </w:r>
    </w:p>
    <w:p>
      <w:pPr>
        <w:pStyle w:val="FirstParagraph"/>
      </w:pPr>
      <w:r>
        <w:t xml:space="preserve">使徒劝勉我们要为君王和一切在位的祈祷并献上感谢，「使我们可以敬虔、端正、平安无事地度日」。</w:t>
      </w:r>
      <w:r>
        <w:rPr>
          <w:rStyle w:val="FootnoteReference"/>
        </w:rPr>
        <w:footnoteReference w:id="3423"/>
      </w:r>
    </w:p>
    <w:p>
      <w:pPr>
        <w:pStyle w:val="BodyText"/>
      </w:pPr>
      <w:r>
        <w:t xml:space="preserve">较富裕的国家有义务在力所能及的范围内，接纳那些寻求安全与生计资源的外侨，因为他们在原居之地找不到这些。公共权力应当确保一种自然权利得到尊重：使客旅处于接纳他的人之保护下。政治权柄为其所负责的公益之故，可以按各种法律条件来规范移民权利的行使，尤其是关于移民对其接纳国的义务。移民有义务以感恩的心尊重接纳国的物质与属灵遗产，遵守其法律，并分担公民负担。</w:t>
      </w:r>
    </w:p>
    <w:p>
      <w:pPr>
        <w:pStyle w:val="BodyText"/>
      </w:pPr>
      <w:r>
        <w:t xml:space="preserve">当民事权力的指示违背道德秩序的要求、违背人的基本权利或违背福音的教导时，公民按良知有义务不去遵从。民事权力的要求若与正直良知的要求相违，拒绝顺服的正当性在于：事奉神与事奉政治团体之间有所区分。「该撒的物当归给该撒；神的物当归给神。」</w:t>
      </w:r>
      <w:r>
        <w:rPr>
          <w:rStyle w:val="FootnoteReference"/>
        </w:rPr>
        <w:footnoteReference w:id="3424"/>
      </w:r>
      <w:r>
        <w:t xml:space="preserve">「顺从神，不顺从人，是应当的」：</w:t>
      </w:r>
      <w:r>
        <w:rPr>
          <w:rStyle w:val="FootnoteReference"/>
        </w:rPr>
        <w:footnoteReference w:id="3425"/>
      </w:r>
    </w:p>
    <w:p>
      <w:pPr>
        <w:pStyle w:val="BlockText"/>
      </w:pPr>
      <w:r>
        <w:t xml:space="preserve">当公民在一个超越其权限的公共权力压迫之下时，仍不应拒绝把客观上为公益所要求之事给予或去做；但他们在自然律与福音律法的范围内，捍卫自己和同胞的权利，以对抗这种权力的滥用，是正当的。</w:t>
      </w:r>
      <w:r>
        <w:rPr>
          <w:rStyle w:val="FootnoteReference"/>
        </w:rPr>
        <w:footnoteReference w:id="3426"/>
      </w:r>
    </w:p>
    <w:p>
      <w:pPr>
        <w:pStyle w:val="FirstParagraph"/>
      </w:pPr>
      <w:r>
        <w:t xml:space="preserve">对政治权力压迫的武装抵抗并不正当，除非同时满足以下所有条件：1）基本权利确实遭到严重且长期的侵犯；2）所有其他补救方式都已用尽；3）这种抵抗不会引发更糟的动乱；4）有充分理由盼望成功；5）在理性上无法预见任何更好的解决方案。</w:t>
      </w:r>
    </w:p>
    <w:p>
      <w:pPr>
        <w:pStyle w:val="BodyText"/>
      </w:pPr>
      <w:r>
        <w:rPr>
          <w:b/>
          <w:bCs/>
        </w:rPr>
        <w:t xml:space="preserve">政治团体与教会</w:t>
      </w:r>
    </w:p>
    <w:p>
      <w:pPr>
        <w:pStyle w:val="BodyText"/>
      </w:pPr>
      <w:r>
        <w:t xml:space="preserve">每一个制度至少在隐含意义上，都受到一种关于人及其归宿的观念所启发；它从这观念得出判断的参照点、价值等级，以及行动路线。多数社会在承认人高于物的一种优先性之下，形成了自己的制度。只有神所启示的宗教，才清楚认识到：人的起源与归宿在神里面——那位创造者与救赎者。教会邀请政治权柄以这关乎神与人的受启示真理来衡量他们的判断与决定：</w:t>
      </w:r>
    </w:p>
    <w:p>
      <w:pPr>
        <w:pStyle w:val="BlockText"/>
      </w:pPr>
      <w:r>
        <w:t xml:space="preserve">那些不承认这种观念，或以独立于神为名而拒绝它的社会，就会被迫在自身里寻找判断的标准与目标，或向某种意识形态借用。由于他们不承认人能够为善与恶辩护一个客观的标准，他们就把一种明确或隐含的极权力量僭取到自己手中，掌控人及其归宿，如历史所显示的那样。</w:t>
      </w:r>
      <w:r>
        <w:rPr>
          <w:rStyle w:val="FootnoteReference"/>
        </w:rPr>
        <w:footnoteReference w:id="3427"/>
      </w:r>
    </w:p>
    <w:p>
      <w:pPr>
        <w:pStyle w:val="FirstParagraph"/>
      </w:pPr>
      <w:r>
        <w:t xml:space="preserve">教会因其使命与权限，绝不可与政治团体混为一谈。她既是人的位格之超越性特质的标记，也是其保障。「教会尊重并鼓励公民的政治自由与责任。」</w:t>
      </w:r>
      <w:r>
        <w:rPr>
          <w:rStyle w:val="FootnoteReference"/>
        </w:rPr>
        <w:footnoteReference w:id="3428"/>
      </w:r>
    </w:p>
    <w:p>
      <w:pPr>
        <w:pStyle w:val="BodyText"/>
      </w:pPr>
      <w:r>
        <w:t xml:space="preserve">教会使命的一部分是：「当人的基本权利或灵魂得救所要求时，即使在与政治相关的事务上，也要作出道德判断。她所能使用的手段——且是唯一的手段——是那些符合福音，并按不同的时代与处境而有利于所有人的手段。」</w:t>
      </w:r>
      <w:r>
        <w:rPr>
          <w:rStyle w:val="FootnoteReference"/>
        </w:rPr>
        <w:footnoteReference w:id="3429"/>
      </w:r>
    </w:p>
    <w:bookmarkEnd w:id="3430"/>
    <w:bookmarkEnd w:id="3431"/>
    <w:bookmarkStart w:id="3432" w:name="综述-59"/>
    <w:p>
      <w:pPr>
        <w:pStyle w:val="Heading4"/>
      </w:pPr>
      <w:r>
        <w:t xml:space="preserve">综述</w:t>
      </w:r>
    </w:p>
    <w:p>
      <w:pPr>
        <w:pStyle w:val="FirstParagraph"/>
      </w:pPr>
      <w:r>
        <w:t xml:space="preserve">「当孝敬父母。」（申5:16；可7:10）。</w:t>
      </w:r>
    </w:p>
    <w:p>
      <w:pPr>
        <w:pStyle w:val="BodyText"/>
      </w:pPr>
      <w:r>
        <w:t xml:space="preserve">按第四诫，神愿意我们在尊崇他之后，也尊崇父母，以及一切为我们益处而领受神所赋权柄的人。</w:t>
      </w:r>
    </w:p>
    <w:p>
      <w:pPr>
        <w:pStyle w:val="BodyText"/>
      </w:pPr>
      <w:r>
        <w:t xml:space="preserve">夫妻团体建立在配偶双方的盟约与同意之上。婚姻与家庭指向配偶的益处，也指向生育并教育子女。</w:t>
      </w:r>
    </w:p>
    <w:p>
      <w:pPr>
        <w:pStyle w:val="BodyText"/>
      </w:pPr>
      <w:r>
        <w:t xml:space="preserve">「个人以及人类与基督徒社会的福祉，与婚姻与家庭生活的健全状况密切相连」（GS 47 § 1）。</w:t>
      </w:r>
    </w:p>
    <w:p>
      <w:pPr>
        <w:pStyle w:val="BodyText"/>
      </w:pPr>
      <w:r>
        <w:t xml:space="preserve">子女欠父母尊敬、感恩、公正的听从与帮助。孝敬促进全家生活的和睦。</w:t>
      </w:r>
    </w:p>
    <w:p>
      <w:pPr>
        <w:pStyle w:val="BodyText"/>
      </w:pPr>
      <w:r>
        <w:t xml:space="preserve">父母对教育子女的信仰、祈祷与一切德行负有首要责任。他们也有义务尽可能供给子女身心的需要。</w:t>
      </w:r>
    </w:p>
    <w:p>
      <w:pPr>
        <w:pStyle w:val="BodyText"/>
      </w:pPr>
      <w:r>
        <w:t xml:space="preserve">父母应当尊重并鼓励子女的圣召。他们应当记得并教导：基督徒的第一呼召就是跟随耶稣。</w:t>
      </w:r>
    </w:p>
    <w:p>
      <w:pPr>
        <w:pStyle w:val="BodyText"/>
      </w:pPr>
      <w:r>
        <w:t xml:space="preserve">公共权力有义务尊重人的基本权利，以及行使自由的条件。</w:t>
      </w:r>
    </w:p>
    <w:p>
      <w:pPr>
        <w:pStyle w:val="BodyText"/>
      </w:pPr>
      <w:r>
        <w:t xml:space="preserve">公民有义务以真实、公义、团结与自由的精神，与民事权力一起建设社会。</w:t>
      </w:r>
    </w:p>
    <w:p>
      <w:pPr>
        <w:pStyle w:val="BodyText"/>
      </w:pPr>
      <w:r>
        <w:t xml:space="preserve">当民事权力的指示违背道德秩序的要求时，公民按良知有义务不去遵从。「顺从神，不顺从人，是应当的」（徒5:29）。</w:t>
      </w:r>
    </w:p>
    <w:p>
      <w:pPr>
        <w:pStyle w:val="BodyText"/>
      </w:pPr>
      <w:r>
        <w:t xml:space="preserve">每个社会的判断与行为都反映一种关于人及其归宿的观念。没有福音对神与人所投射的光，社会就容易走向极权。</w:t>
      </w:r>
    </w:p>
    <w:p>
      <w:r>
        <w:br w:type="page"/>
      </w:r>
    </w:p>
    <w:bookmarkEnd w:id="3432"/>
    <w:bookmarkStart w:id="3495" w:name="第五条第五诫"/>
    <w:p>
      <w:pPr>
        <w:pStyle w:val="Heading4"/>
      </w:pPr>
      <w:r>
        <w:t xml:space="preserve">第五条：第五诫</w:t>
      </w:r>
    </w:p>
    <w:p>
      <w:pPr>
        <w:pStyle w:val="BlockText"/>
      </w:pPr>
      <w:r>
        <w:t xml:space="preserve">不可杀人。</w:t>
      </w:r>
      <w:r>
        <w:rPr>
          <w:rStyle w:val="FootnoteReference"/>
        </w:rPr>
        <w:footnoteReference w:id="3433"/>
      </w:r>
    </w:p>
    <w:p>
      <w:pPr>
        <w:pStyle w:val="BlockText"/>
      </w:pPr>
      <w:r>
        <w:t xml:space="preserve">「你们听见有吩咐古人的话，说：不可杀人；又说：凡杀人的，难免受审判。只是我告诉你们，凡向弟兄动怒的，难免受审判。」</w:t>
      </w:r>
      <w:r>
        <w:rPr>
          <w:rStyle w:val="FootnoteReference"/>
        </w:rPr>
        <w:footnoteReference w:id="3434"/>
      </w:r>
    </w:p>
    <w:p>
      <w:pPr>
        <w:pStyle w:val="FirstParagraph"/>
      </w:pPr>
      <w:r>
        <w:t xml:space="preserve">「人的生命是神圣不可侵犯的，因为从生命的开始，它就牵涉到神的创造行动，并且永远与造物主保持一种特殊关系；造物主是它唯一的终向。从其开始到其终结，只有神是生命的主：任何人在任何情况下，都不能为自己宣称有权直接毁灭一个无辜的人。」</w:t>
      </w:r>
      <w:r>
        <w:rPr>
          <w:rStyle w:val="FootnoteReference"/>
        </w:rPr>
        <w:footnoteReference w:id="3435"/>
      </w:r>
    </w:p>
    <w:bookmarkStart w:id="3465" w:name="一尊重人的生命"/>
    <w:p>
      <w:pPr>
        <w:pStyle w:val="Heading5"/>
      </w:pPr>
      <w:r>
        <w:t xml:space="preserve">一、尊重人的生命</w:t>
      </w:r>
    </w:p>
    <w:p>
      <w:pPr>
        <w:pStyle w:val="FirstParagraph"/>
      </w:pPr>
      <w:r>
        <w:rPr>
          <w:b/>
          <w:bCs/>
        </w:rPr>
        <w:t xml:space="preserve">圣史的见证</w:t>
      </w:r>
    </w:p>
    <w:p>
      <w:pPr>
        <w:pStyle w:val="BodyText"/>
      </w:pPr>
      <w:r>
        <w:t xml:space="preserve">在记述该隐杀害他兄弟亚伯的事上，</w:t>
      </w:r>
      <w:r>
        <w:rPr>
          <w:rStyle w:val="FootnoteReference"/>
        </w:rPr>
        <w:footnoteReference w:id="3436"/>
      </w:r>
      <w:r>
        <w:t xml:space="preserve">圣经从人类历史的一开始就揭示：怒气与嫉妒存在于人里面，这是原罪的后果。人已经成了同类的仇敌。神宣告这杀兄之罪的邪恶：「耶和华说：你作了什么事呢？你兄弟的血，有声音从地里向我哀告。地开了口，从你手里接受你兄弟的血。现在你必从这地受咒诅。」</w:t>
      </w:r>
      <w:r>
        <w:rPr>
          <w:rStyle w:val="FootnoteReference"/>
        </w:rPr>
        <w:footnoteReference w:id="3437"/>
      </w:r>
    </w:p>
    <w:p>
      <w:pPr>
        <w:pStyle w:val="BodyText"/>
      </w:pPr>
      <w:r>
        <w:t xml:space="preserve">神与人类之间的约，总是与神赐下人的生命、以及人致命的暴力之提醒交织在一起：</w:t>
      </w:r>
    </w:p>
    <w:p>
      <w:pPr>
        <w:pStyle w:val="BlockText"/>
      </w:pPr>
      <w:r>
        <w:t xml:space="preserve">「流你们血、害你们命的……凡流人血的，他的血也必被人所流，因为神造人是照自己的形像造的。」</w:t>
      </w:r>
      <w:r>
        <w:rPr>
          <w:rStyle w:val="FootnoteReference"/>
        </w:rPr>
        <w:footnoteReference w:id="3438"/>
      </w:r>
    </w:p>
    <w:p>
      <w:pPr>
        <w:pStyle w:val="FirstParagraph"/>
      </w:pPr>
      <w:r>
        <w:t xml:space="preserve">旧约一直把血视为生命的圣洁标记。</w:t>
      </w:r>
      <w:r>
        <w:rPr>
          <w:rStyle w:val="FootnoteReference"/>
        </w:rPr>
        <w:footnoteReference w:id="3439"/>
      </w:r>
      <w:r>
        <w:t xml:space="preserve">这项教导在任何时代都仍然必要。</w:t>
      </w:r>
    </w:p>
    <w:p>
      <w:pPr>
        <w:pStyle w:val="BodyText"/>
      </w:pPr>
      <w:r>
        <w:t xml:space="preserve">圣经明确说明第五诫所包含的禁令：「不可杀无辜和有义的人。」</w:t>
      </w:r>
      <w:r>
        <w:rPr>
          <w:rStyle w:val="FootnoteReference"/>
        </w:rPr>
        <w:footnoteReference w:id="3440"/>
      </w:r>
      <w:r>
        <w:t xml:space="preserve">蓄意谋杀无辜的人，严重违背人的尊严，违背黄金法则，也违背造物主的圣洁。这条禁止的律法具有普遍效力：它约束每一个人，无论何时何地。</w:t>
      </w:r>
    </w:p>
    <w:p>
      <w:pPr>
        <w:pStyle w:val="BodyText"/>
      </w:pPr>
      <w:r>
        <w:t xml:space="preserve">在登山宝训中，主重申诫命：「不可杀人」，</w:t>
      </w:r>
      <w:r>
        <w:rPr>
          <w:rStyle w:val="FootnoteReference"/>
        </w:rPr>
        <w:footnoteReference w:id="3441"/>
      </w:r>
      <w:r>
        <w:t xml:space="preserve">并在其上加上对怒气、仇恨和报复的禁止。更进一步，基督要求他的门徒被打时转过另一边脸，并爱他们的仇敌。</w:t>
      </w:r>
      <w:r>
        <w:rPr>
          <w:rStyle w:val="FootnoteReference"/>
        </w:rPr>
        <w:footnoteReference w:id="3442"/>
      </w:r>
      <w:r>
        <w:t xml:space="preserve">他没有为自己辩护，并告诉彼得把刀收回刀鞘。</w:t>
      </w:r>
      <w:r>
        <w:rPr>
          <w:rStyle w:val="FootnoteReference"/>
        </w:rPr>
        <w:footnoteReference w:id="3443"/>
      </w:r>
    </w:p>
    <w:p>
      <w:pPr>
        <w:pStyle w:val="BodyText"/>
      </w:pPr>
      <w:r>
        <w:rPr>
          <w:b/>
          <w:bCs/>
        </w:rPr>
        <w:t xml:space="preserve">合法防卫</w:t>
      </w:r>
    </w:p>
    <w:p>
      <w:pPr>
        <w:pStyle w:val="BodyText"/>
      </w:pPr>
      <w:r>
        <w:t xml:space="preserve">对个人与社会的合法防卫，并不是对「不可谋杀无辜者」这条禁令的例外；这条禁令所针对的，是故意杀人。「自卫的行为可能有双重效果：保存自己的生命；以及杀死攻击者……前者是意向的，后者不是。」</w:t>
      </w:r>
      <w:r>
        <w:rPr>
          <w:rStyle w:val="FootnoteReference"/>
        </w:rPr>
        <w:footnoteReference w:id="3444"/>
      </w:r>
    </w:p>
    <w:p>
      <w:pPr>
        <w:pStyle w:val="BodyText"/>
      </w:pPr>
      <w:r>
        <w:t xml:space="preserve">爱自己仍是道德的基本原则。因此，坚持尊重自己享有的生存权是正当的。为保卫自己的生命而不得不对攻击者造成致命打击的人，并不算犯谋杀罪：</w:t>
      </w:r>
    </w:p>
    <w:p>
      <w:pPr>
        <w:pStyle w:val="BlockText"/>
      </w:pPr>
      <w:r>
        <w:t xml:space="preserve">「如果一个人在自卫时使用超过必要的暴力，就是不合法；但如果他以适度来抵挡暴力，他的防卫就是合法的……并且，为了得救，一个人也不必为了避免杀死对方，就省去适度自卫的行为，因为人有义务更照顾自己的生命，而不是他人的生命。」</w:t>
      </w:r>
      <w:r>
        <w:rPr>
          <w:rStyle w:val="FootnoteReference"/>
        </w:rPr>
        <w:footnoteReference w:id="3445"/>
      </w:r>
    </w:p>
    <w:p>
      <w:pPr>
        <w:pStyle w:val="FirstParagraph"/>
      </w:pPr>
      <w:r>
        <w:t xml:space="preserve">合法防卫不仅是一项权利，对那些对他人生命负责的人来说，也可能是一项重大义务。为维护公益，必须使不义的侵害者无法继续造成伤害。因此，合法持有权柄的人也有权使用武力，抵御针对其所负责之民事团体的侵略者。</w:t>
      </w:r>
    </w:p>
    <w:p>
      <w:pPr>
        <w:pStyle w:val="BodyText"/>
      </w:pPr>
      <w:r>
        <w:t xml:space="preserve">国家为遏止那些损害人的权利、损害民事社会基本规则的行为蔓延所作的努力，符合维护公益的要求。合法的公共权力有权也有义务施以与罪行严重性相称的惩罚。惩罚的首要目的，是纠正罪行所带来的失序。若罪犯甘愿接受惩罚，惩罚便具有补赎的价值。这样，惩罚除了维护公共秩序、保护人民安全之外，也具有治疗性的目的：尽可能促成罪犯的改过。</w:t>
      </w:r>
      <w:r>
        <w:rPr>
          <w:rStyle w:val="FootnoteReference"/>
        </w:rPr>
        <w:footnoteReference w:id="3446"/>
      </w:r>
    </w:p>
    <w:p>
      <w:pPr>
        <w:pStyle w:val="BodyText"/>
      </w:pPr>
      <w:r>
        <w:t xml:space="preserve">长期以来，合法权力在公正审判之后诉诸死刑，被视为对某些严重罪行的一种适当回应，也被视为维护公益的一种可接受的、虽属极端的手段。</w:t>
      </w:r>
    </w:p>
    <w:p>
      <w:pPr>
        <w:pStyle w:val="BodyText"/>
      </w:pPr>
      <w:r>
        <w:t xml:space="preserve">但今天，人们越来越意识到：即使人在犯下极严重的罪行之后，也不会失去人的尊严。此外，人们对国家所施加的刑罚制裁之意义，也有了新的理解。最后，更有效的拘禁制度已经发展出来，既能确保对公民的适当保护，同时也不会最终剥夺罪犯获得救赎的可能。</w:t>
      </w:r>
    </w:p>
    <w:p>
      <w:pPr>
        <w:pStyle w:val="BodyText"/>
      </w:pPr>
      <w:r>
        <w:t xml:space="preserve">因此，教会按福音的光照教导：「死刑是不可接受的，因为它侵犯人的不可侵犯性与尊严。」</w:t>
      </w:r>
      <w:r>
        <w:rPr>
          <w:rStyle w:val="FootnoteReference"/>
        </w:rPr>
        <w:footnoteReference w:id="3447"/>
      </w:r>
      <w:r>
        <w:t xml:space="preserve">教会也坚定地为在全球废除死刑而努力。</w:t>
      </w:r>
    </w:p>
    <w:p>
      <w:pPr>
        <w:pStyle w:val="BodyText"/>
      </w:pPr>
      <w:r>
        <w:rPr>
          <w:b/>
          <w:bCs/>
        </w:rPr>
        <w:t xml:space="preserve">故意杀人</w:t>
      </w:r>
    </w:p>
    <w:p>
      <w:pPr>
        <w:pStyle w:val="BodyText"/>
      </w:pPr>
      <w:r>
        <w:t xml:space="preserve">第五诫禁止直接且故意的杀人，把它视为严重的罪。凶手以及自愿与谋杀合作的人犯下的罪「有声音……哀告」到天上，求伸冤。</w:t>
      </w:r>
      <w:r>
        <w:rPr>
          <w:rStyle w:val="FootnoteReference"/>
        </w:rPr>
        <w:footnoteReference w:id="3448"/>
      </w:r>
      <w:r>
        <w:t xml:space="preserve">杀婴，</w:t>
      </w:r>
      <w:r>
        <w:rPr>
          <w:rStyle w:val="FootnoteReference"/>
        </w:rPr>
        <w:footnoteReference w:id="3449"/>
      </w:r>
      <w:r>
        <w:t xml:space="preserve">杀兄弟、杀父母、杀配偶，因为破坏了天然的亲属纽带，尤其是极严重的罪行。对优生学或公共健康的关切，不能为任何谋杀辩护，即使这谋杀是由公共权力所命令的。</w:t>
      </w:r>
    </w:p>
    <w:p>
      <w:pPr>
        <w:pStyle w:val="BodyText"/>
      </w:pPr>
      <w:r>
        <w:t xml:space="preserve">第五诫禁止人以意图去做任何事，从而间接造成一个人的死亡。道德律禁止人在没有重大理由的情况下，把他人置于致命危险之中；也禁止人拒绝向处于危险中的人提供援助。人类社会若接受致命的饥荒，却不努力加以补救，就是骇人的不义，也是严重的冒犯。那些以高利贷和贪婪的交易导致同为人类家庭之弟兄姊妹挨饿至死的人，间接犯下杀人罪，这罪可以归责于他们。</w:t>
      </w:r>
      <w:r>
        <w:rPr>
          <w:rStyle w:val="FootnoteReference"/>
        </w:rPr>
        <w:footnoteReference w:id="3450"/>
      </w:r>
      <w:r>
        <w:t xml:space="preserve">非故意的杀人在道德上不可归责。但即使没有杀人的意图，如果人在没有相称理由的情况下，做出导致他人死亡的行为，也不能因此免除其严重过失。</w:t>
      </w:r>
    </w:p>
    <w:p>
      <w:pPr>
        <w:pStyle w:val="BodyText"/>
      </w:pPr>
      <w:r>
        <w:rPr>
          <w:b/>
          <w:bCs/>
        </w:rPr>
        <w:t xml:space="preserve">堕胎</w:t>
      </w:r>
    </w:p>
    <w:p>
      <w:pPr>
        <w:pStyle w:val="BodyText"/>
      </w:pPr>
      <w:r>
        <w:t xml:space="preserve">人的生命必须从受孕那一刻起，绝对地受到尊重并得到保护。从存在的第一刻起，一个人就必须被承认为具有位格的权利——其中包括每个无辜者不可侵犯的生存权。</w:t>
      </w:r>
      <w:r>
        <w:rPr>
          <w:rStyle w:val="FootnoteReference"/>
        </w:rPr>
        <w:footnoteReference w:id="3451"/>
      </w:r>
    </w:p>
    <w:p>
      <w:pPr>
        <w:pStyle w:val="BlockText"/>
      </w:pPr>
      <w:r>
        <w:t xml:space="preserve">「我未将你造在腹中，我已晓得你；你未出母胎，我已分别你为圣。」</w:t>
      </w:r>
      <w:r>
        <w:rPr>
          <w:rStyle w:val="FootnoteReference"/>
        </w:rPr>
        <w:footnoteReference w:id="3452"/>
      </w:r>
    </w:p>
    <w:p>
      <w:pPr>
        <w:pStyle w:val="BlockText"/>
      </w:pPr>
      <w:r>
        <w:t xml:space="preserve">「我在暗中受造，在地的深处被联络；那时，我的形体并不向你隐藏。」</w:t>
      </w:r>
      <w:r>
        <w:rPr>
          <w:rStyle w:val="FootnoteReference"/>
        </w:rPr>
        <w:footnoteReference w:id="3453"/>
      </w:r>
    </w:p>
    <w:p>
      <w:pPr>
        <w:pStyle w:val="FirstParagraph"/>
      </w:pPr>
      <w:r>
        <w:t xml:space="preserve">从第一世纪起，教会就确认每一种人为促成的堕胎在道德上都是恶。这项教导没有改变，也仍不可改变。直接堕胎，也就是堕胎被意欲为目的或手段，严重违背道德律：</w:t>
      </w:r>
    </w:p>
    <w:p>
      <w:pPr>
        <w:pStyle w:val="BlockText"/>
      </w:pPr>
      <w:r>
        <w:t xml:space="preserve">「不可借堕胎杀害胎儿，也不可使初生婴儿死亡。」</w:t>
      </w:r>
      <w:r>
        <w:rPr>
          <w:rStyle w:val="FootnoteReference"/>
        </w:rPr>
        <w:footnoteReference w:id="3454"/>
      </w:r>
    </w:p>
    <w:p>
      <w:pPr>
        <w:pStyle w:val="BlockText"/>
      </w:pPr>
      <w:r>
        <w:t xml:space="preserve">「神，生命的主，把维护生命的崇高使命托付给人，人必须以相称于人的方式去完成。生命必须从受孕那一刻起，以极其谨慎的态度加以保护：堕胎与杀婴是可憎的罪行。」</w:t>
      </w:r>
      <w:r>
        <w:rPr>
          <w:rStyle w:val="FootnoteReference"/>
        </w:rPr>
        <w:footnoteReference w:id="3455"/>
      </w:r>
    </w:p>
    <w:p>
      <w:pPr>
        <w:pStyle w:val="FirstParagraph"/>
      </w:pPr>
      <w:r>
        <w:t xml:space="preserve">在堕胎上作形式上的合作，构成严重的冒犯。教会对这种反人生命的罪行附加教会法上的处罚：绝罚。「促成既成堕胎者，招致自动绝罚，也就是</w:t>
      </w:r>
      <w:r>
        <w:rPr>
          <w:i/>
          <w:iCs/>
        </w:rPr>
        <w:t xml:space="preserve">latae sententiae</w:t>
      </w:r>
      <w:r>
        <w:t xml:space="preserve">的绝罚。」</w:t>
      </w:r>
      <w:r>
        <w:rPr>
          <w:rStyle w:val="FootnoteReference"/>
        </w:rPr>
        <w:footnoteReference w:id="3456"/>
      </w:r>
      <w:r>
        <w:t xml:space="preserve">这是「因犯罪本身」，</w:t>
      </w:r>
      <w:r>
        <w:rPr>
          <w:rStyle w:val="FootnoteReference"/>
        </w:rPr>
        <w:footnoteReference w:id="3457"/>
      </w:r>
      <w:r>
        <w:t xml:space="preserve">并在教会法所规定的条件之下。</w:t>
      </w:r>
      <w:r>
        <w:rPr>
          <w:rStyle w:val="FootnoteReference"/>
        </w:rPr>
        <w:footnoteReference w:id="3458"/>
      </w:r>
      <w:r>
        <w:t xml:space="preserve">教会这样做，并不是要缩小怜悯的范围；相反，是要清楚表明所犯之罪的严重性：对被置于死地的无辜者所造成的不可挽回的伤害，以及对父母与整个社会所造成的伤害。</w:t>
      </w:r>
    </w:p>
    <w:p>
      <w:pPr>
        <w:pStyle w:val="BodyText"/>
      </w:pPr>
      <w:r>
        <w:t xml:space="preserve">每一个无辜人的不可剥夺的生存权，是民事社会及其立法的构成性要素：</w:t>
      </w:r>
    </w:p>
    <w:p>
      <w:pPr>
        <w:pStyle w:val="BlockText"/>
      </w:pPr>
      <w:r>
        <w:t xml:space="preserve">「位格不可剥夺的权利必须被民事社会与政治权力承认并尊重。这些人权既不取决于个别个人，也不取决于父母；它们也不是社会与国家的让与；它们属于人的本性，并因造就位格的创造行动而内在于位格之中。在这些基本权利之中，必须在此特别提到：每一个人从受孕那一刻直到死亡，都享有生命与身体完整的权利。」</w:t>
      </w:r>
      <w:r>
        <w:rPr>
          <w:rStyle w:val="FootnoteReference"/>
        </w:rPr>
        <w:footnoteReference w:id="3459"/>
      </w:r>
    </w:p>
    <w:p>
      <w:pPr>
        <w:pStyle w:val="BlockText"/>
      </w:pPr>
      <w:r>
        <w:t xml:space="preserve">「一项实定法律一旦剥夺某一类人享有民事立法本应给予的保护，国家就否认了众人在法律面前的平等。国家若不把权力用于服务每个公民的权利，尤其是更脆弱者的权利，那么，一个以法治为基础的国家，其根基就被动摇了……因此，既然从受孕那一刻起就必须确保对未出生婴儿的尊重与保护，法律就必须为一切蓄意侵犯婴儿权利的行为规定适当的刑罚制裁。」</w:t>
      </w:r>
      <w:r>
        <w:rPr>
          <w:rStyle w:val="FootnoteReference"/>
        </w:rPr>
        <w:footnoteReference w:id="3460"/>
      </w:r>
    </w:p>
    <w:p>
      <w:pPr>
        <w:pStyle w:val="FirstParagraph"/>
      </w:pPr>
      <w:r>
        <w:t xml:space="preserve">既然胚胎从受孕起就必须被当作位格来对待，它就必须在其完整性上得到维护，并且应尽可能像任何其他人一样得到照料与医治。</w:t>
      </w:r>
    </w:p>
    <w:p>
      <w:pPr>
        <w:pStyle w:val="BodyText"/>
      </w:pPr>
      <w:r>
        <w:t xml:space="preserve">产前诊断在道德上是允许的，「只要它尊重胚胎与胎儿的生命与完整性，并以维护或医治其个体为目的……若这样做是出于可能因结果而诱发堕胎的想法，就严重违背道德律：诊断不可等同于死刑判决。」</w:t>
      </w:r>
      <w:r>
        <w:rPr>
          <w:rStyle w:val="FootnoteReference"/>
        </w:rPr>
        <w:footnoteReference w:id="3461"/>
      </w:r>
    </w:p>
    <w:p>
      <w:pPr>
        <w:pStyle w:val="BodyText"/>
      </w:pPr>
      <w:r>
        <w:t xml:space="preserve">「必须认为：对人类胚胎所进行的操作，只要尊重胚胎的生命与完整性，不给它带来不相称的风险，并以医治、改善健康状况或促进其个体存活为目的，就是允许的。」</w:t>
      </w:r>
      <w:r>
        <w:rPr>
          <w:rStyle w:val="FootnoteReference"/>
        </w:rPr>
        <w:footnoteReference w:id="3462"/>
      </w:r>
    </w:p>
    <w:p>
      <w:pPr>
        <w:pStyle w:val="BodyText"/>
      </w:pPr>
      <w:r>
        <w:t xml:space="preserve">「把人类胚胎制造出来，打算当作可丢弃的生物材料来利用，是不道德的。」</w:t>
      </w:r>
      <w:r>
        <w:rPr>
          <w:rStyle w:val="FootnoteReference"/>
        </w:rPr>
        <w:footnoteReference w:id="3463"/>
      </w:r>
    </w:p>
    <w:p>
      <w:pPr>
        <w:pStyle w:val="BodyText"/>
      </w:pPr>
      <w:r>
        <w:t xml:space="preserve">「某些影响染色体或基因遗传的尝试，并非治疗，而是旨在制造按性别或其他预设特质筛选出来的人。这类操控违背人的位格尊严，也违背他独一无二、不可重复的完整性与身份。」</w:t>
      </w:r>
      <w:r>
        <w:rPr>
          <w:rStyle w:val="FootnoteReference"/>
        </w:rPr>
        <w:footnoteReference w:id="3464"/>
      </w:r>
    </w:p>
    <w:p>
      <w:pPr>
        <w:pStyle w:val="BodyText"/>
      </w:pPr>
      <w:r>
        <w:rPr>
          <w:b/>
          <w:bCs/>
        </w:rPr>
        <w:t xml:space="preserve">安乐死</w:t>
      </w:r>
    </w:p>
    <w:p>
      <w:pPr>
        <w:pStyle w:val="BodyText"/>
      </w:pPr>
      <w:r>
        <w:t xml:space="preserve">生命被削弱或衰退的人，特别应当受到尊重。病人或残障者应当得到帮助，使他们尽可能过正常的生活。</w:t>
      </w:r>
    </w:p>
    <w:p>
      <w:pPr>
        <w:pStyle w:val="BodyText"/>
      </w:pPr>
      <w:r>
        <w:t xml:space="preserve">无论动机和手段为何，直接安乐死是指终止残障者、病人或临终者的生命。这在道德上不可接受。因此，无论是行为或不作为，只要其本身或其意图是以造成死亡来消除痛苦，就构成谋杀，严重违背人的尊严，也违背对永生之神——其造物主——所当有的尊敬。即使一个人出于善意而作出错误判断，也不能改变这种致命行为的本质；这种行为永远必须被禁止并排除。</w:t>
      </w:r>
    </w:p>
    <w:p>
      <w:pPr>
        <w:pStyle w:val="BodyText"/>
      </w:pPr>
      <w:r>
        <w:t xml:space="preserve">停止那些负担沉重、危险、非常规、或与预期效果不相称的医疗程序，可能是正当的；这就是拒绝「过度」治疗。在此，人并不意欲造成死亡；只是接受自己无法阻止死亡。若病人具备能力且能表达，应由病人作决定；若不能，则由依法有权代表病人行事的人作决定，而病人合理的意愿与正当的利益必须始终受到尊重。</w:t>
      </w:r>
    </w:p>
    <w:p>
      <w:pPr>
        <w:pStyle w:val="BodyText"/>
      </w:pPr>
      <w:r>
        <w:t xml:space="preserve">即使认为死亡迫在眉睫，也不可正当地中断对病人应尽的常规照护。为减轻临终者痛苦而使用止痛药，即使有缩短其寿命的风险，只要并不意欲死亡为目的或手段，而只是预见并容忍其不可避免的发生，就在道德上可以符合人的尊严。舒缓照护是一种特殊形式的无私仁爱，因此应当受到鼓励。</w:t>
      </w:r>
    </w:p>
    <w:p>
      <w:pPr>
        <w:pStyle w:val="BodyText"/>
      </w:pPr>
      <w:r>
        <w:rPr>
          <w:b/>
          <w:bCs/>
        </w:rPr>
        <w:t xml:space="preserve">自杀</w:t>
      </w:r>
    </w:p>
    <w:p>
      <w:pPr>
        <w:pStyle w:val="BodyText"/>
      </w:pPr>
      <w:r>
        <w:t xml:space="preserve">每个人都要在神面前对自己的生命负责，因为生命是他所赐的。神仍然是生命至高无上的主宰。我们有义务以感恩的心接纳生命，并为他的尊荣、为我们灵魂的得救而保存生命。我们是受托的管家，不是所有者；神托付给我们的生命不属于我们，我们无权处置。</w:t>
      </w:r>
    </w:p>
    <w:p>
      <w:pPr>
        <w:pStyle w:val="BodyText"/>
      </w:pPr>
      <w:r>
        <w:t xml:space="preserve">自杀违背人保存并延续自己生命的自然倾向。它严重违背对自己的公义之爱。它也冒犯爱邻人，因为它不公义地切断与家庭、国家以及其他人类社会之间的团结纽带，而我们对这些团体仍负有义务。自杀违背对永生之神的爱。</w:t>
      </w:r>
    </w:p>
    <w:p>
      <w:pPr>
        <w:pStyle w:val="BodyText"/>
      </w:pPr>
      <w:r>
        <w:t xml:space="preserve">如果自杀是出于要立榜样的意图，尤其是对年轻人，也就具有绊倒人的严重性。自愿在自杀上合作违背道德律。严重的心理扰乱、焦虑，或对艰难、痛苦或酷刑的强烈恐惧，都可能减轻自杀者的责任。</w:t>
      </w:r>
    </w:p>
    <w:p>
      <w:pPr>
        <w:pStyle w:val="BodyText"/>
      </w:pPr>
      <w:r>
        <w:t xml:space="preserve">我们不应对自杀者的永恒得救绝望。神能以唯有他知道的方式，为人提供有益于得救的悔改机会。教会为自杀者祈祷。</w:t>
      </w:r>
    </w:p>
    <w:bookmarkEnd w:id="3465"/>
    <w:bookmarkStart w:id="3474" w:name="二尊重人的尊严"/>
    <w:p>
      <w:pPr>
        <w:pStyle w:val="Heading5"/>
      </w:pPr>
      <w:r>
        <w:t xml:space="preserve">二、尊重人的尊严</w:t>
      </w:r>
    </w:p>
    <w:p>
      <w:pPr>
        <w:pStyle w:val="FirstParagraph"/>
      </w:pPr>
      <w:r>
        <w:rPr>
          <w:b/>
          <w:bCs/>
        </w:rPr>
        <w:t xml:space="preserve">尊重他人的灵魂：绊倒人的事</w:t>
      </w:r>
    </w:p>
    <w:p>
      <w:pPr>
        <w:pStyle w:val="BodyText"/>
      </w:pPr>
      <w:r>
        <w:t xml:space="preserve">绊倒人的事，是一种态度或行为，导致他人去作恶。造成绊倒的人，成了邻人的诱惑者。他损害德行与正直，甚至可能把弟兄引向属灵的死亡。若人以行为或不作为故意把他人引向严重的冒犯，绊倒人的事就是严重的罪。</w:t>
      </w:r>
    </w:p>
    <w:p>
      <w:pPr>
        <w:pStyle w:val="BodyText"/>
      </w:pPr>
      <w:r>
        <w:t xml:space="preserve">绊倒人的事之所以格外严重，是因为造成绊倒者的权威，或被绊倒者的软弱。正因如此，主说出这句咒诅：「凡使这信我的一个小子跌倒的，倒不如把大磨石拴在这人的颈项上，沉在深海里。」</w:t>
      </w:r>
      <w:r>
        <w:rPr>
          <w:rStyle w:val="FootnoteReference"/>
        </w:rPr>
        <w:footnoteReference w:id="3466"/>
      </w:r>
      <w:r>
        <w:t xml:space="preserve">凡在本性或职分上有义务教导和教育他人的人，若造成绊倒，罪就更重。耶稣就为此责备文士和法利赛人：他把他们比作披着羊皮的狼。</w:t>
      </w:r>
      <w:r>
        <w:rPr>
          <w:rStyle w:val="FootnoteReference"/>
        </w:rPr>
        <w:footnoteReference w:id="3467"/>
      </w:r>
    </w:p>
    <w:p>
      <w:pPr>
        <w:pStyle w:val="BodyText"/>
      </w:pPr>
      <w:r>
        <w:t xml:space="preserve">绊倒人的事也可能由法律或制度、时尚或舆论所引发。因此，设立那些法律或社会结构、导致道德衰败与宗教实践败坏，或导致「社会条件，使基督徒行为与顺服诫命在有意或无意之下都变得困难，几乎不可能」的人，犯了绊倒人的罪。</w:t>
      </w:r>
      <w:r>
        <w:rPr>
          <w:rStyle w:val="FootnoteReference"/>
        </w:rPr>
        <w:footnoteReference w:id="3468"/>
      </w:r>
      <w:r>
        <w:t xml:space="preserve">企业领导人制定鼓励欺诈的规则、教师「惹儿女的气」，</w:t>
      </w:r>
      <w:r>
        <w:rPr>
          <w:rStyle w:val="FootnoteReference"/>
        </w:rPr>
        <w:footnoteReference w:id="3469"/>
      </w:r>
      <w:r>
        <w:t xml:space="preserve">或任何操弄舆论以获取罪恶行为的人，也都是如此。</w:t>
      </w:r>
      <w:r>
        <w:t xml:space="preserve"> </w:t>
      </w:r>
      <w:r>
        <w:t xml:space="preserve">任何人若使用自己手中的权力，以致引人作恶，就犯了绊倒人的罪，并对自己直接或间接鼓励的恶负责。「绊倒人的事是免不了的；但那绊倒人的有祸了！」</w:t>
      </w:r>
      <w:r>
        <w:rPr>
          <w:rStyle w:val="FootnoteReference"/>
        </w:rPr>
        <w:footnoteReference w:id="3470"/>
      </w:r>
    </w:p>
    <w:p>
      <w:pPr>
        <w:pStyle w:val="BodyText"/>
      </w:pPr>
      <w:r>
        <w:rPr>
          <w:b/>
          <w:bCs/>
        </w:rPr>
        <w:t xml:space="preserve">尊重健康</w:t>
      </w:r>
    </w:p>
    <w:p>
      <w:pPr>
        <w:pStyle w:val="BodyText"/>
      </w:pPr>
      <w:r>
        <w:t xml:space="preserve">生命与身体健康是神托付给我们的宝贵恩赐。我们必须合理地照顾它们，同时顾及他人的需要与公益。对公民健康的关切，要求社会协助人达成能让他们成长并达到成熟的生活条件：饮食与衣着、居所、医疗照护、基础教育、就业与社会救助。</w:t>
      </w:r>
    </w:p>
    <w:p>
      <w:pPr>
        <w:pStyle w:val="BodyText"/>
      </w:pPr>
      <w:r>
        <w:t xml:space="preserve">道德固然要求尊重身体的生命，但并不把它当作绝对价值。道德拒绝一种新的异教观念：它倾向于推崇身体崇拜，为身体牺牲一切，把身体的完美与运动成功偶像化。这种观念以强者优先于弱者的选择性偏好，可能导致人际关系的扭曲。</w:t>
      </w:r>
    </w:p>
    <w:p>
      <w:pPr>
        <w:pStyle w:val="BodyText"/>
      </w:pPr>
      <w:r>
        <w:t xml:space="preserve">节制之德使我们倾向于避免一切过度：滥用饮食、酒精、烟草或药物。那些因醉酒或追求速度而危及自己与他人在道路、海上或空中安全的人，负有严重的罪责。</w:t>
      </w:r>
    </w:p>
    <w:p>
      <w:pPr>
        <w:pStyle w:val="BodyText"/>
      </w:pPr>
      <w:r>
        <w:t xml:space="preserve">使用毒品会对人的健康与生命造成极严重的伤害。除非基于严格的治疗理由，使用毒品就是严重的冒犯。非法制造与贩卖毒品是骇人的恶行。它们构成对恶的直接合作，因为它们鼓励人去做严重违背道德律的事。</w:t>
      </w:r>
    </w:p>
    <w:p>
      <w:pPr>
        <w:pStyle w:val="BodyText"/>
      </w:pPr>
      <w:r>
        <w:rPr>
          <w:b/>
          <w:bCs/>
        </w:rPr>
        <w:t xml:space="preserve">尊重人的位格与科学研究</w:t>
      </w:r>
    </w:p>
    <w:p>
      <w:pPr>
        <w:pStyle w:val="BodyText"/>
      </w:pPr>
      <w:r>
        <w:t xml:space="preserve">对个人或群体所进行的科学、医学或心理学实验，能够帮助医治病人，并促进公共健康的发展。</w:t>
      </w:r>
    </w:p>
    <w:p>
      <w:pPr>
        <w:pStyle w:val="BodyText"/>
      </w:pPr>
      <w:r>
        <w:t xml:space="preserve">基础科学研究以及应用研究，都是人对受造界掌管的重要表达。科学与技术若被置于服务人的位置，并促进人的整体发展、造福众人，就是宝贵的资源。但它们本身不能揭示存在与人类进步的意义。科学与技术以人为目标，从人而来，也在人的推动下发展；因此，它们在人的位格与人的道德价值中，既找到其目的的证据，也找到对其限度的意识。</w:t>
      </w:r>
    </w:p>
    <w:p>
      <w:pPr>
        <w:pStyle w:val="BodyText"/>
      </w:pPr>
      <w:r>
        <w:t xml:space="preserve">宣称科学研究及其应用在道德上中立，是一种幻想。另一方面，指导原则不能从单纯的技术效率推导出来，也不能从以牺牲一些人来换取另一些人的功利推导出来，更不能从流行的意识形态推导出来。科学与技术按其本性要求对基本的道德准则无条件地尊重。它们必须服务于人的位格，服务于他不可剥夺的权利，服务于他真实而整体的益处，并符合神的计划与旨意。</w:t>
      </w:r>
    </w:p>
    <w:p>
      <w:pPr>
        <w:pStyle w:val="BodyText"/>
      </w:pPr>
      <w:r>
        <w:t xml:space="preserve">对人的研究或实验，不能使那些本身违背人的尊严与道德律的行为变得正当。受试者可能的同意，也不能为这类行为辩护。若实验把受试者的生命或身心完整性置于不相称或可避免的风险之下，人体实验在道德上就不合法。若人体实验在未取得受试者的知情同意、或未取得合法代表其表达的人之知情同意下进行，就不符合人的尊严。</w:t>
      </w:r>
    </w:p>
    <w:p>
      <w:pPr>
        <w:pStyle w:val="BodyText"/>
      </w:pPr>
      <w:r>
        <w:t xml:space="preserve">器官移植若对捐赠者的身心危险与风险，与为受赠者所追求的益处相称，就符合道德律。死后捐献器官是一种高尚且有功劳的行为，应当作为慷慨团结的表达而受到鼓励。若捐赠者或其代理人没有明确同意，就在道德上不可接受。此外，即使为了延缓他人的死亡，也不能在道德上容许使一个人致残、残毁或死亡。</w:t>
      </w:r>
    </w:p>
    <w:p>
      <w:pPr>
        <w:pStyle w:val="BodyText"/>
      </w:pPr>
      <w:r>
        <w:rPr>
          <w:b/>
          <w:bCs/>
        </w:rPr>
        <w:t xml:space="preserve">尊重身体的完整</w:t>
      </w:r>
    </w:p>
    <w:p>
      <w:pPr>
        <w:pStyle w:val="BodyText"/>
      </w:pPr>
      <w:r>
        <w:t xml:space="preserve">绑架与劫持人质带来恐怖统治；它们以威胁使受害者承受无法忍受的压力。这在道德上是错误的。恐怖主义不分对象地威胁、伤害并杀人，严重违背公义与仁爱。酷刑以身体或道德暴力来逼供、惩罚罪犯、恐吓对手或满足仇恨，违背对人的尊重，也违背人的尊严。除非基于严格的治疗性医疗理由，对无辜者所施行、以截肢、残毁或绝育为直接意向的行为，都违背道德律。</w:t>
      </w:r>
      <w:r>
        <w:rPr>
          <w:rStyle w:val="FootnoteReference"/>
        </w:rPr>
        <w:footnoteReference w:id="3471"/>
      </w:r>
    </w:p>
    <w:p>
      <w:pPr>
        <w:pStyle w:val="BodyText"/>
      </w:pPr>
      <w:r>
        <w:t xml:space="preserve">过去，合法政府为维持法律与秩序，常使用残酷做法；教会的牧者也常不加抗议，甚至在他们自己的法庭中采纳罗马法关于酷刑的规定。这些事实固然令人遗憾，但教会始终教导宽仁与怜悯的义务。教会禁止圣职人员流血。近代以来，人们清楚看见：这些残酷做法既非公共秩序所必需，也不符合人的正当权利。相反，它们导致更为羞辱人的做法。必须为废除它们而努力。我们必须为受害者及折磨他们的人祈祷。</w:t>
      </w:r>
    </w:p>
    <w:p>
      <w:pPr>
        <w:pStyle w:val="BodyText"/>
      </w:pPr>
      <w:r>
        <w:rPr>
          <w:b/>
          <w:bCs/>
        </w:rPr>
        <w:t xml:space="preserve">尊重亡者</w:t>
      </w:r>
    </w:p>
    <w:p>
      <w:pPr>
        <w:pStyle w:val="BodyText"/>
      </w:pPr>
      <w:r>
        <w:t xml:space="preserve">临终者应当得到关注与照护，好使他们在尊严与平安中度过最后时刻。亲属的祈祷能帮助他们；亲属也必须留意，使病人在适当的时候领受那些预备他们去面见永生之神的圣事。</w:t>
      </w:r>
    </w:p>
    <w:p>
      <w:pPr>
        <w:pStyle w:val="BodyText"/>
      </w:pPr>
      <w:r>
        <w:t xml:space="preserve">亡者的遗体必须在信心与盼望复活中，以尊重与仁爱对待。安葬亡者是一项身体的慈悲善工；</w:t>
      </w:r>
      <w:r>
        <w:rPr>
          <w:rStyle w:val="FootnoteReference"/>
        </w:rPr>
        <w:footnoteReference w:id="3472"/>
      </w:r>
      <w:r>
        <w:t xml:space="preserve">它尊崇神的儿女，因为他们是圣灵的殿。</w:t>
      </w:r>
    </w:p>
    <w:p>
      <w:pPr>
        <w:pStyle w:val="BodyText"/>
      </w:pPr>
      <w:r>
        <w:t xml:space="preserve">为法律调查或科学研究而进行解剖，在道德上可以被允许。死后无偿捐献器官是合法的，也可以是有功劳的行为。教会允许火葬，只要这不表达否认身体复活的信仰。</w:t>
      </w:r>
      <w:r>
        <w:rPr>
          <w:rStyle w:val="FootnoteReference"/>
        </w:rPr>
        <w:footnoteReference w:id="3473"/>
      </w:r>
    </w:p>
    <w:bookmarkEnd w:id="3474"/>
    <w:bookmarkStart w:id="3494" w:name="三维护和平"/>
    <w:p>
      <w:pPr>
        <w:pStyle w:val="Heading5"/>
      </w:pPr>
      <w:r>
        <w:t xml:space="preserve">三、维护和平</w:t>
      </w:r>
    </w:p>
    <w:p>
      <w:pPr>
        <w:pStyle w:val="FirstParagraph"/>
      </w:pPr>
      <w:r>
        <w:rPr>
          <w:b/>
          <w:bCs/>
        </w:rPr>
        <w:t xml:space="preserve">和平</w:t>
      </w:r>
    </w:p>
    <w:p>
      <w:pPr>
        <w:pStyle w:val="BodyText"/>
      </w:pPr>
      <w:r>
        <w:t xml:space="preserve">主借着回忆诫命「不可杀人」，</w:t>
      </w:r>
      <w:r>
        <w:rPr>
          <w:rStyle w:val="FootnoteReference"/>
        </w:rPr>
        <w:footnoteReference w:id="3475"/>
      </w:r>
      <w:r>
        <w:t xml:space="preserve">要求人内心和平，并谴责致命的怒气与仇恨在道德上是不对的。</w:t>
      </w:r>
    </w:p>
    <w:p>
      <w:pPr>
        <w:pStyle w:val="BodyText"/>
      </w:pPr>
      <w:r>
        <w:t xml:space="preserve">怒气是一种报复的欲望。「为了对该受惩罚的人作恶而渴望报复，是不合法的」，但为了「纠正恶习并维护公义」而要求补偿，则是可称许的。</w:t>
      </w:r>
      <w:r>
        <w:rPr>
          <w:rStyle w:val="FootnoteReference"/>
        </w:rPr>
        <w:footnoteReference w:id="3476"/>
      </w:r>
      <w:r>
        <w:t xml:space="preserve">如果怒气发展到有意杀害或严重伤害邻人的地步，就严重违背仁爱；这是一种致死的罪。主说：「凡向弟兄动怒的，难免受审判。」</w:t>
      </w:r>
      <w:r>
        <w:rPr>
          <w:rStyle w:val="FootnoteReference"/>
        </w:rPr>
        <w:footnoteReference w:id="3477"/>
      </w:r>
    </w:p>
    <w:p>
      <w:pPr>
        <w:pStyle w:val="BodyText"/>
      </w:pPr>
      <w:r>
        <w:t xml:space="preserve">蓄意的仇恨违背仁爱。当一个人故意希望邻人遭受恶时，恨邻人就是罪。当一个人故意希望邻人遭受重大伤害时，恨邻人就是严重的罪。「只是我告诉你们：要爱你们的仇敌，为那逼迫你们的祷告。这样，就可以作你们天父的儿子……」</w:t>
      </w:r>
      <w:r>
        <w:rPr>
          <w:rStyle w:val="FootnoteReference"/>
        </w:rPr>
        <w:footnoteReference w:id="3478"/>
      </w:r>
    </w:p>
    <w:p>
      <w:pPr>
        <w:pStyle w:val="BodyText"/>
      </w:pPr>
      <w:r>
        <w:t xml:space="preserve">对人类生命的尊重与发展，需要和平。和平不只是没有战争，也不局限于维持敌对双方的势力均衡。若不保障人的福祉、保障人之间自由的沟通、尊重个人与民族的尊严，并恒常实践手足情谊，地上的和平就无法达成。和平是「秩序的安宁」。</w:t>
      </w:r>
      <w:r>
        <w:rPr>
          <w:rStyle w:val="FootnoteReference"/>
        </w:rPr>
        <w:footnoteReference w:id="3479"/>
      </w:r>
      <w:r>
        <w:t xml:space="preserve">和平是公义的工作，也是仁爱的效果。</w:t>
      </w:r>
      <w:r>
        <w:rPr>
          <w:rStyle w:val="FootnoteReference"/>
        </w:rPr>
        <w:footnoteReference w:id="3480"/>
      </w:r>
    </w:p>
    <w:p>
      <w:pPr>
        <w:pStyle w:val="BodyText"/>
      </w:pPr>
      <w:r>
        <w:t xml:space="preserve">地上的和平是基督之和平的肖像与果实；基督是弥赛亚式的「和平的君」。</w:t>
      </w:r>
      <w:r>
        <w:rPr>
          <w:rStyle w:val="FootnoteReference"/>
        </w:rPr>
        <w:footnoteReference w:id="3481"/>
      </w:r>
      <w:r>
        <w:t xml:space="preserve">借着他十字架的血，「既在十字架上灭了冤仇」，</w:t>
      </w:r>
      <w:r>
        <w:rPr>
          <w:rStyle w:val="FootnoteReference"/>
        </w:rPr>
        <w:footnoteReference w:id="3482"/>
      </w:r>
      <w:r>
        <w:t xml:space="preserve">他使人同神和好，并使他的教会成为人类合一以及人与神结合的圣事。「因他使我们和睦。」</w:t>
      </w:r>
      <w:r>
        <w:rPr>
          <w:rStyle w:val="FootnoteReference"/>
        </w:rPr>
        <w:footnoteReference w:id="3483"/>
      </w:r>
      <w:r>
        <w:t xml:space="preserve">他也宣告：「使人和睦的人有福了！因为他们必称为神的儿子。」</w:t>
      </w:r>
      <w:r>
        <w:rPr>
          <w:rStyle w:val="FootnoteReference"/>
        </w:rPr>
        <w:footnoteReference w:id="3484"/>
      </w:r>
    </w:p>
    <w:p>
      <w:pPr>
        <w:pStyle w:val="BodyText"/>
      </w:pPr>
      <w:r>
        <w:t xml:space="preserve">那些弃绝暴力与流血，并为保障人权而运用最弱者也能使用的防卫手段的人，只要他们这样做并不损害其他人和社会的权利与义务，就为福音的仁爱作见证。他们合法地见证了诉诸暴力所带来之身心风险的严重性，以及暴力伴随的毁灭与死亡。</w:t>
      </w:r>
      <w:r>
        <w:rPr>
          <w:rStyle w:val="FootnoteReference"/>
        </w:rPr>
        <w:footnoteReference w:id="3485"/>
      </w:r>
    </w:p>
    <w:p>
      <w:pPr>
        <w:pStyle w:val="BodyText"/>
      </w:pPr>
      <w:r>
        <w:rPr>
          <w:b/>
          <w:bCs/>
        </w:rPr>
        <w:t xml:space="preserve">避免战争</w:t>
      </w:r>
    </w:p>
    <w:p>
      <w:pPr>
        <w:pStyle w:val="BodyText"/>
      </w:pPr>
      <w:r>
        <w:t xml:space="preserve">第五诫禁止故意毁灭人的生命。由于每一场战争都伴随恶与不义，教会迫切敦促众人祈祷并采取行动，使神的良善把我们从古老的战争奴役中释放出来。</w:t>
      </w:r>
      <w:r>
        <w:rPr>
          <w:rStyle w:val="FootnoteReference"/>
        </w:rPr>
        <w:footnoteReference w:id="3486"/>
      </w:r>
    </w:p>
    <w:p>
      <w:pPr>
        <w:pStyle w:val="BodyText"/>
      </w:pPr>
      <w:r>
        <w:t xml:space="preserve">所有公民与所有政府都有义务致力于避免战争。然而，「只要战争的危险仍在，并且没有具备必要权限与能力的国际权威，政府在一切和平努力失败之后，就不能被否认其合法自卫的权利。」</w:t>
      </w:r>
      <w:r>
        <w:rPr>
          <w:rStyle w:val="FootnoteReference"/>
        </w:rPr>
        <w:footnoteReference w:id="3487"/>
      </w:r>
    </w:p>
    <w:p>
      <w:pPr>
        <w:pStyle w:val="BodyText"/>
      </w:pPr>
      <w:r>
        <w:t xml:space="preserve">以军事力量进行合法防卫的严格条件，需要严谨考量。这样的决定极其重大，因此必须符合严格的道德合法性条件。同时必须满足：</w:t>
      </w:r>
    </w:p>
    <w:p>
      <w:pPr>
        <w:pStyle w:val="Compact"/>
        <w:numPr>
          <w:ilvl w:val="0"/>
          <w:numId w:val="1027"/>
        </w:numPr>
      </w:pPr>
      <w:r>
        <w:t xml:space="preserve">侵略者对国家或国家共同体所造成的损害，必须是持久的、严重的并且确定的；</w:t>
      </w:r>
    </w:p>
    <w:p>
      <w:pPr>
        <w:pStyle w:val="Compact"/>
        <w:numPr>
          <w:ilvl w:val="0"/>
          <w:numId w:val="1027"/>
        </w:numPr>
      </w:pPr>
      <w:r>
        <w:t xml:space="preserve">终止这种损害的一切其他手段，都已被证明不切实际或无效；</w:t>
      </w:r>
    </w:p>
    <w:p>
      <w:pPr>
        <w:pStyle w:val="Compact"/>
        <w:numPr>
          <w:ilvl w:val="0"/>
          <w:numId w:val="1027"/>
        </w:numPr>
      </w:pPr>
      <w:r>
        <w:t xml:space="preserve">必须有成功的重大可能性；</w:t>
      </w:r>
    </w:p>
    <w:p>
      <w:pPr>
        <w:pStyle w:val="Compact"/>
        <w:numPr>
          <w:ilvl w:val="0"/>
          <w:numId w:val="1027"/>
        </w:numPr>
      </w:pPr>
      <w:r>
        <w:t xml:space="preserve">使用武力不可造成比要消除之恶更严重的恶与混乱。现代毁灭手段的力量，使评估这一条件时负担极其沉重。</w:t>
      </w:r>
    </w:p>
    <w:p>
      <w:pPr>
        <w:pStyle w:val="FirstParagraph"/>
      </w:pPr>
      <w:r>
        <w:t xml:space="preserve">这些是所谓「正义战争」教义中所列举的传统要素。对这些道德合法性条件的评估，属于那些对公益负责者的审慎判断。</w:t>
      </w:r>
    </w:p>
    <w:p>
      <w:pPr>
        <w:pStyle w:val="BodyText"/>
      </w:pPr>
      <w:r>
        <w:t xml:space="preserve">在这种情况下，公共权力有权也有义务要求公民承担国防所需的义务。那些宣誓在武装部队中服事国家的人，是国家安全与自由的仆人。他们若光荣地履行职责，就真正为国家的公益以及和平的维系作出贡献。</w:t>
      </w:r>
      <w:r>
        <w:rPr>
          <w:rStyle w:val="FootnoteReference"/>
        </w:rPr>
        <w:footnoteReference w:id="3488"/>
      </w:r>
    </w:p>
    <w:p>
      <w:pPr>
        <w:pStyle w:val="BodyText"/>
      </w:pPr>
      <w:r>
        <w:t xml:space="preserve">公共权力也应为那些因良知理由拒绝持械的人作出公正安排；这些人仍有义务以其他方式服务人类团体。</w:t>
      </w:r>
      <w:r>
        <w:rPr>
          <w:rStyle w:val="FootnoteReference"/>
        </w:rPr>
        <w:footnoteReference w:id="3489"/>
      </w:r>
    </w:p>
    <w:p>
      <w:pPr>
        <w:pStyle w:val="BodyText"/>
      </w:pPr>
      <w:r>
        <w:t xml:space="preserve">教会与人类理性都主张：在武装冲突中，道德律具有永久的效力。「仅仅因为战争不幸爆发，并不意味着交战双方之间就一切都变得合法。」</w:t>
      </w:r>
      <w:r>
        <w:rPr>
          <w:rStyle w:val="FootnoteReference"/>
        </w:rPr>
        <w:footnoteReference w:id="3490"/>
      </w:r>
    </w:p>
    <w:p>
      <w:pPr>
        <w:pStyle w:val="BodyText"/>
      </w:pPr>
      <w:r>
        <w:t xml:space="preserve">非战斗人员、受伤的士兵与俘虏必须受到尊重，并以人道对待。蓄意违背国际法及其普遍原则的行为是罪行；命令这些行为的命令同样是罪行。盲目的顺服不足以为执行者开脱。因此，灭绝一个民族、国家或族群少数群体，必须被谴责为致死的罪。人在道德上有义务抵抗命令人实行种族灭绝的命令。</w:t>
      </w:r>
    </w:p>
    <w:p>
      <w:pPr>
        <w:pStyle w:val="BodyText"/>
      </w:pPr>
      <w:r>
        <w:t xml:space="preserve">「凡针对整座城市或广大地区及其居民而作不加区别的毁灭之战争行为，都是得罪神并得罪人的罪行，理应受到坚决而毫不含糊的谴责。」</w:t>
      </w:r>
      <w:r>
        <w:rPr>
          <w:rStyle w:val="FootnoteReference"/>
        </w:rPr>
        <w:footnoteReference w:id="3491"/>
      </w:r>
      <w:r>
        <w:t xml:space="preserve">现代战争的一个危险，是它给那些拥有现代科学武器——尤其是原子、生物或化学武器——的人提供了犯下这类罪行的机会。</w:t>
      </w:r>
    </w:p>
    <w:p>
      <w:pPr>
        <w:pStyle w:val="BodyText"/>
      </w:pPr>
      <w:r>
        <w:t xml:space="preserve">武器的累积，在许多人看来是一种矛盾却似乎合适的方式，用以威慑潜在的敌人发动战争。他们把它视为确保国家间和平的最有效手段。这种威慑方式引发强烈的道德保留。军备竞赛并不能确保和平。它不仅没有消除战争的原因，反而可能使其加剧。为了制造不断更新的武器类型而耗费巨额资金，会阻碍援助困苦人口的努力；</w:t>
      </w:r>
      <w:r>
        <w:rPr>
          <w:rStyle w:val="FootnoteReference"/>
        </w:rPr>
        <w:footnoteReference w:id="3492"/>
      </w:r>
      <w:r>
        <w:t xml:space="preserve">也会挫败各民族的发展。过度武装增加冲突的理由，并提高局势升级的危险。</w:t>
      </w:r>
    </w:p>
    <w:p>
      <w:pPr>
        <w:pStyle w:val="BodyText"/>
      </w:pPr>
      <w:r>
        <w:t xml:space="preserve">武器的生产与销售会影响各国以及国际团体的公益。因此，公共权力有权也有义务加以规范。为追求短期的个人或集体利益，不能使那些促进国家间暴力与冲突、并危害国际法秩序的行为变得正当。</w:t>
      </w:r>
    </w:p>
    <w:p>
      <w:pPr>
        <w:pStyle w:val="BodyText"/>
      </w:pPr>
      <w:r>
        <w:t xml:space="preserve">人与民族之间肆虐的不义、过度的经济或社会不平等、嫉妒、不信任与骄傲，不断威胁和平并引发战争。凡为克服这些失序所做的一切，都有助于建设和平并避免战争：</w:t>
      </w:r>
    </w:p>
    <w:p>
      <w:pPr>
        <w:pStyle w:val="BlockText"/>
      </w:pPr>
      <w:r>
        <w:t xml:space="preserve">只要人仍是罪人，战争的威胁就悬在他们头上，并将如此持续，直到基督再来；但只要他们能在仁爱中结合而克服罪，暴力本身也将被克服，并且这句话将得应验：「他们要将刀打成犁头，把枪打成镰刀。这国不举刀攻击那国；他们也不再学习战事。」</w:t>
      </w:r>
      <w:r>
        <w:rPr>
          <w:rStyle w:val="FootnoteReference"/>
        </w:rPr>
        <w:footnoteReference w:id="3493"/>
      </w:r>
    </w:p>
    <w:bookmarkEnd w:id="3494"/>
    <w:bookmarkEnd w:id="3495"/>
    <w:bookmarkStart w:id="3497" w:name="综述-60"/>
    <w:p>
      <w:pPr>
        <w:pStyle w:val="Heading4"/>
      </w:pPr>
      <w:r>
        <w:t xml:space="preserve">综述</w:t>
      </w:r>
    </w:p>
    <w:p>
      <w:pPr>
        <w:pStyle w:val="FirstParagraph"/>
      </w:pPr>
      <w:r>
        <w:t xml:space="preserve">「凡活物的生命和人类的气息，都在他手中。」（伯12:10）。</w:t>
      </w:r>
    </w:p>
    <w:p>
      <w:pPr>
        <w:pStyle w:val="BodyText"/>
      </w:pPr>
      <w:r>
        <w:t xml:space="preserve">每一个人的生命，从受孕那一刻直到死亡，都是神所分别为圣的，因为人的位格是按永生且圣洁之神的形像和样式，为其本身而被意欲的。</w:t>
      </w:r>
    </w:p>
    <w:p>
      <w:pPr>
        <w:pStyle w:val="BodyText"/>
      </w:pPr>
      <w:r>
        <w:t xml:space="preserve">杀害一个人严重违背人的尊严，也严重违背造物主的圣洁。</w:t>
      </w:r>
    </w:p>
    <w:p>
      <w:pPr>
        <w:pStyle w:val="BodyText"/>
      </w:pPr>
      <w:r>
        <w:t xml:space="preserve">禁止谋杀并不废除使不义侵害者无法继续造成伤害的权利。合法防卫对那些对他人生命或对公益负责的人来说，是重大义务。</w:t>
      </w:r>
    </w:p>
    <w:p>
      <w:pPr>
        <w:pStyle w:val="BodyText"/>
      </w:pPr>
      <w:r>
        <w:t xml:space="preserve">从受孕起，孩子就享有生存权。直接堕胎，也就是堕胎被意欲为目的或手段，是一种「犯罪」实践，严重违背道德律。教会对这种反人生命的罪行施以绝罚的教会法处罚。</w:t>
      </w:r>
    </w:p>
    <w:p>
      <w:pPr>
        <w:pStyle w:val="BodyText"/>
      </w:pPr>
      <w:r>
        <w:t xml:space="preserve">因为胚胎从受孕起就应当被当作位格来对待，所以它必须像其他人一样，在其完整性上受到维护，并得到照料与医治。</w:t>
      </w:r>
    </w:p>
    <w:p>
      <w:pPr>
        <w:pStyle w:val="BodyText"/>
      </w:pPr>
      <w:r>
        <w:t xml:space="preserve">故意的安乐死，无论形式或动机为何，都是谋杀。它严重违背人的尊严，也违背对永生之神——其造物主——所当有的尊敬。</w:t>
      </w:r>
    </w:p>
    <w:p>
      <w:pPr>
        <w:pStyle w:val="BodyText"/>
      </w:pPr>
      <w:r>
        <w:t xml:space="preserve">自杀严重违背公义、盼望与仁爱。它被第五诫禁止。</w:t>
      </w:r>
    </w:p>
    <w:p>
      <w:pPr>
        <w:pStyle w:val="BodyText"/>
      </w:pPr>
      <w:r>
        <w:t xml:space="preserve">若人以行为或不作为故意把他人引向严重的罪，绊倒人的事就是严重的冒犯。</w:t>
      </w:r>
    </w:p>
    <w:p>
      <w:pPr>
        <w:pStyle w:val="BodyText"/>
      </w:pPr>
      <w:r>
        <w:t xml:space="preserve">由于每一场战争都伴随恶与不义，我们必须尽一切合理可能去避免战争。教会祈祷说：「主啊，求你救我们脱离饥荒、瘟疫和战争。」</w:t>
      </w:r>
    </w:p>
    <w:p>
      <w:pPr>
        <w:pStyle w:val="BodyText"/>
      </w:pPr>
      <w:r>
        <w:t xml:space="preserve">教会与人类理性都主张：在武装冲突中，道德律具有永久的效力。蓄意违背国际法及其普遍原则的做法是罪行。</w:t>
      </w:r>
    </w:p>
    <w:p>
      <w:pPr>
        <w:pStyle w:val="BodyText"/>
      </w:pPr>
      <w:r>
        <w:t xml:space="preserve">「军备竞赛是人类最大的灾祸之一；它加在穷人身上的伤害是无法忍受的。」</w:t>
      </w:r>
      <w:r>
        <w:rPr>
          <w:rStyle w:val="FootnoteReference"/>
        </w:rPr>
        <w:footnoteReference w:id="3496"/>
      </w:r>
    </w:p>
    <w:p>
      <w:pPr>
        <w:pStyle w:val="BodyText"/>
      </w:pPr>
      <w:r>
        <w:t xml:space="preserve">「使人和睦的人有福了！因为他们必称为神的儿子。」（太5:9）。</w:t>
      </w:r>
    </w:p>
    <w:p>
      <w:r>
        <w:br w:type="page"/>
      </w:r>
    </w:p>
    <w:bookmarkEnd w:id="3497"/>
    <w:bookmarkStart w:id="3573" w:name="第六条第六诫"/>
    <w:p>
      <w:pPr>
        <w:pStyle w:val="Heading4"/>
      </w:pPr>
      <w:r>
        <w:t xml:space="preserve">第六条：第六诫</w:t>
      </w:r>
    </w:p>
    <w:p>
      <w:pPr>
        <w:pStyle w:val="BlockText"/>
      </w:pPr>
      <w:r>
        <w:t xml:space="preserve">不可奸淫。</w:t>
      </w:r>
      <w:r>
        <w:rPr>
          <w:rStyle w:val="FootnoteReference"/>
        </w:rPr>
        <w:footnoteReference w:id="3498"/>
      </w:r>
    </w:p>
    <w:p>
      <w:pPr>
        <w:pStyle w:val="BlockText"/>
      </w:pPr>
      <w:r>
        <w:t xml:space="preserve">「你们听见有话说：不可奸淫。只是我告诉你们：凡看见妇女就动淫念的，这人心里已经与她犯奸淫了。」</w:t>
      </w:r>
      <w:r>
        <w:rPr>
          <w:rStyle w:val="FootnoteReference"/>
        </w:rPr>
        <w:footnoteReference w:id="3499"/>
      </w:r>
    </w:p>
    <w:bookmarkStart w:id="3510" w:name="一神就造人是造男造女"/>
    <w:p>
      <w:pPr>
        <w:pStyle w:val="Heading5"/>
      </w:pPr>
      <w:r>
        <w:t xml:space="preserve">一、「神就造人，是造男造女……」</w:t>
      </w:r>
    </w:p>
    <w:p>
      <w:pPr>
        <w:pStyle w:val="FirstParagraph"/>
      </w:pPr>
      <w:r>
        <w:t xml:space="preserve">「神是爱；他在自己里面生活于一种位格性的爱的共融奥秘中。神照着自己的形像创造人类……神把爱的圣召，也就是爱的能力与责任，以及共融的能力与责任，刻在男女的人性之中。」</w:t>
      </w:r>
      <w:r>
        <w:rPr>
          <w:rStyle w:val="FootnoteReference"/>
        </w:rPr>
        <w:footnoteReference w:id="3500"/>
      </w:r>
    </w:p>
    <w:p>
      <w:pPr>
        <w:pStyle w:val="BodyText"/>
      </w:pPr>
      <w:r>
        <w:t xml:space="preserve">「神就照着自己的形像造人……乃是照着他的形像造男造女。」</w:t>
      </w:r>
      <w:r>
        <w:rPr>
          <w:rStyle w:val="FootnoteReference"/>
        </w:rPr>
        <w:footnoteReference w:id="3501"/>
      </w:r>
      <w:r>
        <w:t xml:space="preserve">他赐福给他们，说：「要生养众多。」</w:t>
      </w:r>
      <w:r>
        <w:rPr>
          <w:rStyle w:val="FootnoteReference"/>
        </w:rPr>
        <w:footnoteReference w:id="3502"/>
      </w:r>
      <w:r>
        <w:t xml:space="preserve">「当神造人的日子，是照着自己的样式造的。并且造男造女。在他们被造的日子，神赐福给他们，称他们为人。」</w:t>
      </w:r>
      <w:r>
        <w:rPr>
          <w:rStyle w:val="FootnoteReference"/>
        </w:rPr>
        <w:footnoteReference w:id="3503"/>
      </w:r>
    </w:p>
    <w:p>
      <w:pPr>
        <w:pStyle w:val="BodyText"/>
      </w:pPr>
      <w:r>
        <w:t xml:space="preserve">性影响人的全部层面，因为人在身体与灵魂的合一中存在。性尤其关乎情感、爱与生育的能力，并且更广泛地说，也关乎与他人建立共融之联结的能力。</w:t>
      </w:r>
    </w:p>
    <w:p>
      <w:pPr>
        <w:pStyle w:val="BodyText"/>
      </w:pPr>
      <w:r>
        <w:t xml:space="preserve">每个人，无论男或女，都应当承认并接纳自己的性身份。身体、道德与属灵层面的差异与互补，指向婚姻的益处与家庭生活的兴盛。夫妻与社会的和谐，部分取决于男女之间的互补、需要与彼此扶持是怎样被活出来的。</w:t>
      </w:r>
    </w:p>
    <w:p>
      <w:pPr>
        <w:pStyle w:val="BodyText"/>
      </w:pPr>
      <w:r>
        <w:t xml:space="preserve">「神在创造男女时，赋予男人与女人同等的位格尊严。」</w:t>
      </w:r>
      <w:r>
        <w:rPr>
          <w:rStyle w:val="FootnoteReference"/>
        </w:rPr>
        <w:footnoteReference w:id="3504"/>
      </w:r>
      <w:r>
        <w:t xml:space="preserve">「人是位格，男人与女人同样如此，因为两者都是按位格性的神的形像和样式受造的。」</w:t>
      </w:r>
      <w:r>
        <w:rPr>
          <w:rStyle w:val="FootnoteReference"/>
        </w:rPr>
        <w:footnoteReference w:id="3505"/>
      </w:r>
    </w:p>
    <w:p>
      <w:pPr>
        <w:pStyle w:val="BodyText"/>
      </w:pPr>
      <w:r>
        <w:t xml:space="preserve">两性都以不同的方式，成为神的能力与温柔的肖像，尊严同等。男女在婚姻中的结合，是在肉身中效法造物主的慷慨与丰饶的一种方式：「因此，人要离开父母，与妻子连合，二人成为一体。」</w:t>
      </w:r>
      <w:r>
        <w:rPr>
          <w:rStyle w:val="FootnoteReference"/>
        </w:rPr>
        <w:footnoteReference w:id="3506"/>
      </w:r>
      <w:r>
        <w:t xml:space="preserve">一切人类世代都从这结合而来。</w:t>
      </w:r>
      <w:r>
        <w:rPr>
          <w:rStyle w:val="FootnoteReference"/>
        </w:rPr>
        <w:footnoteReference w:id="3507"/>
      </w:r>
    </w:p>
    <w:p>
      <w:pPr>
        <w:pStyle w:val="BodyText"/>
      </w:pPr>
      <w:r>
        <w:t xml:space="preserve">耶稣来，为使受造界回到其起初的纯洁。在登山宝训中，他严格地解释神的计划：「你们听见有话说：不可奸淫。只是我告诉你们：凡看见妇女就动淫念的，这人心里已经与她犯奸淫了。」</w:t>
      </w:r>
      <w:r>
        <w:rPr>
          <w:rStyle w:val="FootnoteReference"/>
        </w:rPr>
        <w:footnoteReference w:id="3508"/>
      </w:r>
      <w:r>
        <w:t xml:space="preserve">所以神配合的，人不可分开。</w:t>
      </w:r>
      <w:r>
        <w:rPr>
          <w:rStyle w:val="FootnoteReference"/>
        </w:rPr>
        <w:footnoteReference w:id="3509"/>
      </w:r>
      <w:r>
        <w:t xml:space="preserve">教会传统理解第六诫涵盖人的全部性。</w:t>
      </w:r>
    </w:p>
    <w:bookmarkEnd w:id="3510"/>
    <w:bookmarkStart w:id="3528" w:name="二贞洁的圣召"/>
    <w:p>
      <w:pPr>
        <w:pStyle w:val="Heading5"/>
      </w:pPr>
      <w:r>
        <w:t xml:space="preserve">二、贞洁的圣召</w:t>
      </w:r>
    </w:p>
    <w:p>
      <w:pPr>
        <w:pStyle w:val="FirstParagraph"/>
      </w:pPr>
      <w:r>
        <w:t xml:space="preserve">贞洁意味着把性成功地整合在人的位格之中，从而使人在身体与属灵存在上达成内在的合一。性表达了人属于身体与生物世界这一事实；当性被整合进一个人与另一个人的关系中，整合进一男一女完全且终身的彼此交付中，性就成为位格性的，也真正成为人的。为此，贞洁之德包含位格的完整性，也包含自我交付的整体性。</w:t>
      </w:r>
    </w:p>
    <w:p>
      <w:pPr>
        <w:pStyle w:val="BodyText"/>
      </w:pPr>
      <w:r>
        <w:rPr>
          <w:b/>
          <w:bCs/>
        </w:rPr>
        <w:t xml:space="preserve">位格的完整性</w:t>
      </w:r>
    </w:p>
    <w:p>
      <w:pPr>
        <w:pStyle w:val="BodyText"/>
      </w:pPr>
      <w:r>
        <w:t xml:space="preserve">贞洁的人保持在他里面的生命与爱的能力之完整。这种完整确保人的合一；它反对一切会损害这种合一的行为。它既不容许双重生活，也不容许言语的两面。</w:t>
      </w:r>
      <w:r>
        <w:rPr>
          <w:rStyle w:val="FootnoteReference"/>
        </w:rPr>
        <w:footnoteReference w:id="3511"/>
      </w:r>
    </w:p>
    <w:p>
      <w:pPr>
        <w:pStyle w:val="BodyText"/>
      </w:pPr>
      <w:r>
        <w:t xml:space="preserve">贞洁包含一种自我掌控的训练，这是一种人之自由的训练。对立面很清楚：人要么掌管自己的情欲而获得平安，要么让自己被情欲支配而变得不幸。</w:t>
      </w:r>
      <w:r>
        <w:rPr>
          <w:rStyle w:val="FootnoteReference"/>
        </w:rPr>
        <w:footnoteReference w:id="3512"/>
      </w:r>
      <w:r>
        <w:t xml:space="preserve">「因此，人的尊严要求他出于有意识与自由的选择而行动，是从内在以位格性的方式被推动并被吸引，而不是被他里面的盲目冲动或仅仅外在强迫所驱使。当人摆脱对情欲的一切奴役，自由选择善，并以勤勉和技巧有效地为自己取得达成此目的所适合的手段时，他就获得这样的尊严。」</w:t>
      </w:r>
      <w:r>
        <w:rPr>
          <w:rStyle w:val="FootnoteReference"/>
        </w:rPr>
        <w:footnoteReference w:id="3513"/>
      </w:r>
    </w:p>
    <w:p>
      <w:pPr>
        <w:pStyle w:val="BodyText"/>
      </w:pPr>
      <w:r>
        <w:t xml:space="preserve">凡愿意忠于自己在洗礼中所作的许诺，并抵抗诱惑的人，就会愿意采用这样做的途径：认识自己，操练适合于他所面对处境的克己，顺服神的诫命，实践道德德行，并忠于祈祷。「的确，正是借着贞洁，我们被聚集在一起，并被带回到那合一里；我们曾从那合一碎裂成多样。」</w:t>
      </w:r>
      <w:r>
        <w:rPr>
          <w:rStyle w:val="FootnoteReference"/>
        </w:rPr>
        <w:footnoteReference w:id="3514"/>
      </w:r>
    </w:p>
    <w:p>
      <w:pPr>
        <w:pStyle w:val="BodyText"/>
      </w:pPr>
      <w:r>
        <w:t xml:space="preserve">贞洁之德属于节制这一枢德；节制寻求以理性渗透感官的情绪与欲望。</w:t>
      </w:r>
    </w:p>
    <w:p>
      <w:pPr>
        <w:pStyle w:val="BodyText"/>
      </w:pPr>
      <w:r>
        <w:t xml:space="preserve">自我掌控是一项漫长而艰辛的工作。人永远不能把它视为一劳永逸地获得了。它在生命的每一阶段都预设重新付出的努力。</w:t>
      </w:r>
      <w:r>
        <w:rPr>
          <w:rStyle w:val="FootnoteReference"/>
        </w:rPr>
        <w:footnoteReference w:id="3515"/>
      </w:r>
      <w:r>
        <w:t xml:space="preserve">在某些时期，这种努力可能更为强烈，例如童年与青春期人格形成的时候。</w:t>
      </w:r>
    </w:p>
    <w:p>
      <w:pPr>
        <w:pStyle w:val="BodyText"/>
      </w:pPr>
      <w:r>
        <w:t xml:space="preserve">贞洁有成长的规律，它经过一些阶段而进展；这些阶段带着不完美，也往往带着罪。「人……日复一日藉着他的许多自由决定建立自己；因此，他在成长的阶段中认识、爱慕并实践道德的善。」</w:t>
      </w:r>
      <w:r>
        <w:rPr>
          <w:rStyle w:val="FootnoteReference"/>
        </w:rPr>
        <w:footnoteReference w:id="3516"/>
      </w:r>
    </w:p>
    <w:p>
      <w:pPr>
        <w:pStyle w:val="BodyText"/>
      </w:pPr>
      <w:r>
        <w:t xml:space="preserve">贞洁是一项极其位格性的任务；它也包含一种文化上的努力，因为「个人的改善与社会的改善彼此依存」。</w:t>
      </w:r>
      <w:r>
        <w:rPr>
          <w:rStyle w:val="FootnoteReference"/>
        </w:rPr>
        <w:footnoteReference w:id="3517"/>
      </w:r>
      <w:r>
        <w:t xml:space="preserve">贞洁预设尊重人的权利，尤其是接受尊重人类生命之道德与属灵层面的资讯与教育的权利。</w:t>
      </w:r>
    </w:p>
    <w:p>
      <w:pPr>
        <w:pStyle w:val="BodyText"/>
      </w:pPr>
      <w:r>
        <w:t xml:space="preserve">贞洁是一种道德德行。它也是神的恩赐，是恩典，是属灵努力的果实。</w:t>
      </w:r>
      <w:r>
        <w:rPr>
          <w:rStyle w:val="FootnoteReference"/>
        </w:rPr>
        <w:footnoteReference w:id="3518"/>
      </w:r>
      <w:r>
        <w:t xml:space="preserve">圣灵使那被洗礼之水重生的人，能效法基督的纯洁。</w:t>
      </w:r>
      <w:r>
        <w:rPr>
          <w:rStyle w:val="FootnoteReference"/>
        </w:rPr>
        <w:footnoteReference w:id="3519"/>
      </w:r>
    </w:p>
    <w:p>
      <w:pPr>
        <w:pStyle w:val="BodyText"/>
      </w:pPr>
      <w:r>
        <w:rPr>
          <w:b/>
          <w:bCs/>
        </w:rPr>
        <w:t xml:space="preserve">自我交付的整体性</w:t>
      </w:r>
    </w:p>
    <w:p>
      <w:pPr>
        <w:pStyle w:val="BodyText"/>
      </w:pPr>
      <w:r>
        <w:t xml:space="preserve">仁爱是所有德行的形式。在仁爱的影响下，贞洁显得像一所自我交付的学校。自我掌控指向自我交付。贞洁引导实行它的人，在邻人面前成为神信实与慈爱的见证人。</w:t>
      </w:r>
    </w:p>
    <w:p>
      <w:pPr>
        <w:pStyle w:val="BodyText"/>
      </w:pPr>
      <w:r>
        <w:t xml:space="preserve">贞洁之德在友谊中开花。它向门徒显示：如何跟随并效法那位拣选我们作他朋友的主，</w:t>
      </w:r>
      <w:r>
        <w:rPr>
          <w:rStyle w:val="FootnoteReference"/>
        </w:rPr>
        <w:footnoteReference w:id="3520"/>
      </w:r>
      <w:r>
        <w:t xml:space="preserve">他把自己完全交给我们，并让我们分享他在神里面的产业。贞洁是永生的应许。贞洁尤其在与邻人的友谊中表达出来。无论友谊发生在同性或异性之间，友谊对所有人都是巨大的善；它引导人进入属灵的共融。</w:t>
      </w:r>
    </w:p>
    <w:p>
      <w:pPr>
        <w:pStyle w:val="BodyText"/>
      </w:pPr>
      <w:r>
        <w:rPr>
          <w:b/>
          <w:bCs/>
        </w:rPr>
        <w:t xml:space="preserve">贞洁的多种形式</w:t>
      </w:r>
    </w:p>
    <w:p>
      <w:pPr>
        <w:pStyle w:val="BodyText"/>
      </w:pPr>
      <w:r>
        <w:t xml:space="preserve">所有领受洗礼的人都蒙召守贞洁。基督徒「披戴基督」，</w:t>
      </w:r>
      <w:r>
        <w:rPr>
          <w:rStyle w:val="FootnoteReference"/>
        </w:rPr>
        <w:footnoteReference w:id="3521"/>
      </w:r>
      <w:r>
        <w:t xml:space="preserve">他是所有贞洁的模范。所有基督的信徒都蒙召按各自的生活身份而过贞洁的生活。在领受洗礼的那一刻，基督徒就许诺以贞洁来管理自己的情感生活。</w:t>
      </w:r>
    </w:p>
    <w:p>
      <w:pPr>
        <w:pStyle w:val="BodyText"/>
      </w:pPr>
      <w:r>
        <w:t xml:space="preserve">「人应当以适合其生活身份的方式培养贞洁。有些人宣认童身或奉献的独身，这使他们以一种卓越的方式，以专一的心只把自己交给神。另一些人则按道德律对所有人的规定而生活，无论已婚或单身。」</w:t>
      </w:r>
      <w:r>
        <w:rPr>
          <w:rStyle w:val="FootnoteReference"/>
        </w:rPr>
        <w:footnoteReference w:id="3522"/>
      </w:r>
      <w:r>
        <w:t xml:space="preserve">已婚者蒙召过婚姻中的贞洁；其他人则以节制的方式实践贞洁。</w:t>
      </w:r>
    </w:p>
    <w:p>
      <w:pPr>
        <w:pStyle w:val="BodyText"/>
      </w:pPr>
      <w:r>
        <w:t xml:space="preserve">订婚者蒙召以节制来守贞洁。他们应在这段考验时期，发现彼此尊重，学习忠诚，并怀着从神领受彼此的盼望。他们应把属于婚姻之爱的亲密表达留给婚姻。他们将彼此帮助在贞洁上成长。</w:t>
      </w:r>
    </w:p>
    <w:p>
      <w:pPr>
        <w:pStyle w:val="BodyText"/>
      </w:pPr>
      <w:r>
        <w:rPr>
          <w:b/>
          <w:bCs/>
        </w:rPr>
        <w:t xml:space="preserve">违背贞洁的罪</w:t>
      </w:r>
    </w:p>
    <w:p>
      <w:pPr>
        <w:pStyle w:val="BodyText"/>
      </w:pPr>
      <w:r>
        <w:t xml:space="preserve">情欲是对性快感的失序欲望或过度享受。当性快感为其自身而被追求，并与生育与结合的目的隔离时，在道德上就是失序的。</w:t>
      </w:r>
    </w:p>
    <w:p>
      <w:pPr>
        <w:pStyle w:val="BodyText"/>
      </w:pPr>
      <w:r>
        <w:t xml:space="preserve">手淫是指为获得性快感而蓄意刺激生殖器官。「教会的训导权在一贯的传统进程中，以及信徒的道德意识，都毫不怀疑并坚定主张：手淫是一种本质上且严重失序的行为。」</w:t>
      </w:r>
      <w:r>
        <w:rPr>
          <w:rStyle w:val="FootnoteReference"/>
        </w:rPr>
        <w:footnoteReference w:id="3523"/>
      </w:r>
      <w:r>
        <w:t xml:space="preserve">「无论出于何种理由，在婚姻之外蓄意使用性能力，本质上都违背其目的。」因为在此，性快感是在「道德秩序所要求的性关系」之外被追求；而只有在这种性关系中，真实之爱脉络里彼此交付与人类生育的整体意义才得以实现。</w:t>
      </w:r>
      <w:r>
        <w:rPr>
          <w:rStyle w:val="FootnoteReference"/>
        </w:rPr>
        <w:footnoteReference w:id="3524"/>
      </w:r>
      <w:r>
        <w:t xml:space="preserve">为对当事人的道德责任作出公正判断，并指导牧灵行动，必须顾及情感不成熟、已养成的习惯之力量、焦虑的处境，或其他使道德罪责减轻、甚至减至最低限度的心理或社会因素。</w:t>
      </w:r>
    </w:p>
    <w:p>
      <w:pPr>
        <w:pStyle w:val="BodyText"/>
      </w:pPr>
      <w:r>
        <w:t xml:space="preserve">淫乱是指未婚男子与未婚女子之间的肉身结合。它严重违背人的尊严，也违背人的性；人的性按本性指向配偶的益处，以及子女的生育与教育。此外，当涉及败坏青年时，它也是严重的绊倒人的事。</w:t>
      </w:r>
    </w:p>
    <w:p>
      <w:pPr>
        <w:pStyle w:val="BodyText"/>
      </w:pPr>
      <w:r>
        <w:t xml:space="preserve">淫秽作品是指把真实或模拟的性行为从伴侣之间的亲密关系中抽离出来，故意展示给第三者观看。它冒犯贞洁，因为它扭曲夫妻行为，也就是夫妻彼此的亲密交付。它对参与者（演员、贩卖者、观众）的尊严造成严重伤害，因为每个人都成为他人卑劣快感与非法利益的对象。它把所有相关者浸入幻想世界的幻觉里。这是严重的冒犯。民事权力应当防止淫秽作品的制作与传播。</w:t>
      </w:r>
    </w:p>
    <w:p>
      <w:pPr>
        <w:pStyle w:val="BodyText"/>
      </w:pPr>
      <w:r>
        <w:t xml:space="preserve">卖淫伤害从事者的尊严，把位格降低为性快感的工具。付钱的人严重得罪自己：他违反自己在洗礼中所承诺的贞洁，并玷污自己的身体——圣灵的殿。</w:t>
      </w:r>
      <w:r>
        <w:rPr>
          <w:rStyle w:val="FootnoteReference"/>
        </w:rPr>
        <w:footnoteReference w:id="3525"/>
      </w:r>
      <w:r>
        <w:t xml:space="preserve">卖淫是一种社会祸害。它通常涉及女性，但也涉及男性、儿童与青少年（后两种情况还包含绊倒人的额外罪）。尽管从事卖淫永远是严重的罪，但罪行的可归责性可能因赤贫、勒索或社会压力而减轻。</w:t>
      </w:r>
    </w:p>
    <w:p>
      <w:pPr>
        <w:pStyle w:val="BodyText"/>
      </w:pPr>
      <w:r>
        <w:t xml:space="preserve">强奸是以暴力侵犯他人的性亲密。它伤害公义与仁爱。强奸深深伤害每个人本该享有的尊重、自由以及身心完整。它造成严重伤害，可能使受害者终生受其影响。这永远是一种本质上邪恶的行为。更严重的是：父母对儿童所犯的强奸（乱伦），或那些负责教育受托儿童的人对儿童所犯的强奸。</w:t>
      </w:r>
    </w:p>
    <w:p>
      <w:pPr>
        <w:pStyle w:val="BodyText"/>
      </w:pPr>
      <w:r>
        <w:rPr>
          <w:b/>
          <w:bCs/>
        </w:rPr>
        <w:t xml:space="preserve">贞洁与同性恋</w:t>
      </w:r>
    </w:p>
    <w:p>
      <w:pPr>
        <w:pStyle w:val="BodyText"/>
      </w:pPr>
      <w:r>
        <w:t xml:space="preserve">同性恋指男性之间或女性之间的关系；当事人对同性具有排他或主要的性吸引。同性恋在不同世纪与不同文化中呈现出多种形式。其心理成因仍大多未明。教会以圣经为基础；圣经把同性性行为呈现为严重败坏的行为。</w:t>
      </w:r>
      <w:r>
        <w:rPr>
          <w:rStyle w:val="FootnoteReference"/>
        </w:rPr>
        <w:footnoteReference w:id="3526"/>
      </w:r>
      <w:r>
        <w:t xml:space="preserve">教会传统始终宣告：「同性性行为本质上是失序的。」</w:t>
      </w:r>
      <w:r>
        <w:rPr>
          <w:rStyle w:val="FootnoteReference"/>
        </w:rPr>
        <w:footnoteReference w:id="3527"/>
      </w:r>
      <w:r>
        <w:t xml:space="preserve">它们违背自然律；它们使性行为对生命的恩赐关闭；它们并非出于真实的情感与性之互补。无论在任何情况下，都不可被认可。</w:t>
      </w:r>
    </w:p>
    <w:p>
      <w:pPr>
        <w:pStyle w:val="BodyText"/>
      </w:pPr>
      <w:r>
        <w:t xml:space="preserve">有深层同性倾向的男女人数并不少。这种倾向在客观上是失序的，对他们大多数人来说构成一种试炼。他们必须以尊重、同情与体谅被接纳。应当避免对他们有任何不公义的歧视。这些人蒙召在自己的生活中成全神的旨意；如果他们是基督徒，就要把他们因自身处境所遭遇的困难，与主十字架的祭献结合在一起。</w:t>
      </w:r>
    </w:p>
    <w:p>
      <w:pPr>
        <w:pStyle w:val="BodyText"/>
      </w:pPr>
      <w:r>
        <w:t xml:space="preserve">同性恋者蒙召守贞洁。借着教导他们内在自由的自我掌控之德，有时借着无私友谊的支持，借着祈祷与圣事的恩典，他们能够、也应当逐渐且坚定地走向基督徒的圆满。</w:t>
      </w:r>
    </w:p>
    <w:bookmarkEnd w:id="3528"/>
    <w:bookmarkStart w:id="3556" w:name="三夫妻之爱"/>
    <w:p>
      <w:pPr>
        <w:pStyle w:val="Heading5"/>
      </w:pPr>
      <w:r>
        <w:t xml:space="preserve">三、夫妻之爱</w:t>
      </w:r>
    </w:p>
    <w:p>
      <w:pPr>
        <w:pStyle w:val="FirstParagraph"/>
      </w:pPr>
      <w:r>
        <w:t xml:space="preserve">性指向男女的夫妻之爱。在婚姻中，配偶的身体亲密成为属灵共融的标记与保证。领受洗礼者之间的婚姻纽带，借着圣事而成圣。</w:t>
      </w:r>
    </w:p>
    <w:p>
      <w:pPr>
        <w:pStyle w:val="BodyText"/>
      </w:pPr>
      <w:r>
        <w:t xml:space="preserve">「性，借着它男人与女人在属于配偶、也唯独属于配偶的行为中把自己交给对方，并不只是生物性的事；它触及人的位格最内在的存在本身。只有当性是那种爱不可分割的一部分，并且这爱使男人与女人直到死亡都完全委身于彼此时，性才以真正合乎人的方式得以实现。」</w:t>
      </w:r>
      <w:r>
        <w:rPr>
          <w:rStyle w:val="FootnoteReference"/>
        </w:rPr>
        <w:footnoteReference w:id="3529"/>
      </w:r>
    </w:p>
    <w:p>
      <w:pPr>
        <w:pStyle w:val="BlockText"/>
      </w:pPr>
      <w:r>
        <w:t xml:space="preserve">多俾亚下床，对撒辣说：「妹妹，起来，让我们祈祷，恳求上主赐给我们怜悯和救助。」她就起来，他们开始祈祷，恳求他们能得救助。多俾亚开始说：「我们祖先的神，你应受赞美……你造了亚当，也为他造了他的妻子夏娃作帮助和扶持；由他们二人产生了人类。你说过：人独居不好，让我们给他造一个与他相似的助手。我现在娶这位同族女子，不是出于淫欲，而是出于真诚。求你怜悯我和她，使我们白头偕老。」他们二人同声说：「阿们，阿们。」随后他们睡了一夜。</w:t>
      </w:r>
      <w:r>
        <w:rPr>
          <w:rStyle w:val="FootnoteReference"/>
        </w:rPr>
        <w:footnoteReference w:id="3530"/>
      </w:r>
    </w:p>
    <w:p>
      <w:pPr>
        <w:pStyle w:val="FirstParagraph"/>
      </w:pPr>
      <w:r>
        <w:t xml:space="preserve">「婚姻中的行为使配偶实现亲密而贞洁的结合，这些行为是高贵而可敬的；这些行为若以真正合乎人的方式实行，就促进其所表达的彼此交付，并以喜乐与感恩丰富配偶。」</w:t>
      </w:r>
      <w:r>
        <w:rPr>
          <w:rStyle w:val="FootnoteReference"/>
        </w:rPr>
        <w:footnoteReference w:id="3531"/>
      </w:r>
      <w:r>
        <w:t xml:space="preserve">性是喜乐与快感的来源：</w:t>
      </w:r>
    </w:p>
    <w:p>
      <w:pPr>
        <w:pStyle w:val="BlockText"/>
      </w:pPr>
      <w:r>
        <w:t xml:space="preserve">造物主自己……设立了这样的安排：在生殖的功能中，配偶应当经验到身心的快感与享受。因此，配偶在寻求这种快感与享受时，并没有作恶。他们接受造物主为他们所意欲的。同时，配偶也应当知道如何把自己保持在公正节制的范围之内。</w:t>
      </w:r>
      <w:r>
        <w:rPr>
          <w:rStyle w:val="FootnoteReference"/>
        </w:rPr>
        <w:footnoteReference w:id="3532"/>
      </w:r>
    </w:p>
    <w:p>
      <w:pPr>
        <w:pStyle w:val="FirstParagraph"/>
      </w:pPr>
      <w:r>
        <w:t xml:space="preserve">配偶的结合达成婚姻的双重目的：配偶自身的益处，以及生命的传递。这两种意义或价值不能被分开，否则就会扭曲夫妻的属灵生活，并危及婚姻的益处与家庭的未来。因此，男女的夫妻之爱承担双重义务：忠贞与丰饶。</w:t>
      </w:r>
    </w:p>
    <w:p>
      <w:pPr>
        <w:pStyle w:val="BodyText"/>
      </w:pPr>
      <w:r>
        <w:rPr>
          <w:b/>
          <w:bCs/>
        </w:rPr>
        <w:t xml:space="preserve">夫妻的忠贞</w:t>
      </w:r>
    </w:p>
    <w:p>
      <w:pPr>
        <w:pStyle w:val="BodyText"/>
      </w:pPr>
      <w:r>
        <w:t xml:space="preserve">已婚夫妇构成「由造物主建立并由其律法所治理的亲密生命与爱情团契；它根植于婚姻盟约，也就是他们不可撤回的个人同意」。</w:t>
      </w:r>
      <w:r>
        <w:rPr>
          <w:rStyle w:val="FootnoteReference"/>
        </w:rPr>
        <w:footnoteReference w:id="3533"/>
      </w:r>
      <w:r>
        <w:t xml:space="preserve">双方把自己决定性且完全地交给对方。他们不再是两个人；从此他们成为一体。他们自由缔结的盟约使配偶有义务保持这盟约的独一与不可解散。</w:t>
      </w:r>
      <w:r>
        <w:rPr>
          <w:rStyle w:val="FootnoteReference"/>
        </w:rPr>
        <w:footnoteReference w:id="3534"/>
      </w:r>
      <w:r>
        <w:t xml:space="preserve">「所以神配合的，人不可分开。」</w:t>
      </w:r>
      <w:r>
        <w:rPr>
          <w:rStyle w:val="FootnoteReference"/>
        </w:rPr>
        <w:footnoteReference w:id="3535"/>
      </w:r>
    </w:p>
    <w:p>
      <w:pPr>
        <w:pStyle w:val="BodyText"/>
      </w:pPr>
      <w:r>
        <w:t xml:space="preserve">忠贞表达对所许诺之言的恒常遵守。神是信实的。婚姻圣事使男女进入基督对其教会的忠贞。借着夫妻的贞洁，他们在世界面前为这一奥秘作见证。</w:t>
      </w:r>
    </w:p>
    <w:p>
      <w:pPr>
        <w:pStyle w:val="BlockText"/>
      </w:pPr>
      <w:r>
        <w:t xml:space="preserve">圣屈梭多模建议年轻的丈夫对妻子这样说：我把你抱在怀里，我爱你，并且我把你看得比我自己的生命更重要。因为现世的生命算不得什么，而我最热切的梦想，是以这样的方式同你共度此生，使我们确信在为我们预备的生命里也不会分离……我把你的爱置于万事之上；对我来说，没有什么比和你心意不合更苦、更痛。</w:t>
      </w:r>
      <w:r>
        <w:rPr>
          <w:rStyle w:val="FootnoteReference"/>
        </w:rPr>
        <w:footnoteReference w:id="3536"/>
      </w:r>
    </w:p>
    <w:p>
      <w:pPr>
        <w:pStyle w:val="FirstParagraph"/>
      </w:pPr>
      <w:r>
        <w:rPr>
          <w:b/>
          <w:bCs/>
        </w:rPr>
        <w:t xml:space="preserve">婚姻的丰饶</w:t>
      </w:r>
    </w:p>
    <w:p>
      <w:pPr>
        <w:pStyle w:val="BodyText"/>
      </w:pPr>
      <w:r>
        <w:t xml:space="preserve">丰饶是一种恩赐，也是婚姻的目的，因为夫妻之爱按本性倾向于结出果实。孩子并不是从外面加到配偶彼此的爱上，而是从那彼此交付的核心生发出来，作为其果实与成全。因此，教会「站在生命这一边」教导：「必须使每一次婚姻行为本身都仍然指向人类生命的生育。」</w:t>
      </w:r>
      <w:r>
        <w:rPr>
          <w:rStyle w:val="FootnoteReference"/>
        </w:rPr>
        <w:footnoteReference w:id="3537"/>
      </w:r>
      <w:r>
        <w:t xml:space="preserve">「这项教义曾多次由训导权阐明；它建立在这样一种不可分割的联系上：这联系由神所建立，人不可凭自己的意志打破；也就是婚姻行为所固有的结合意义与生育意义之间的联系。」</w:t>
      </w:r>
      <w:r>
        <w:rPr>
          <w:rStyle w:val="FootnoteReference"/>
        </w:rPr>
        <w:footnoteReference w:id="3538"/>
      </w:r>
    </w:p>
    <w:p>
      <w:pPr>
        <w:pStyle w:val="BodyText"/>
      </w:pPr>
      <w:r>
        <w:t xml:space="preserve">配偶蒙召传递生命，便分享神的创造能力与父性。</w:t>
      </w:r>
      <w:r>
        <w:rPr>
          <w:rStyle w:val="FootnoteReference"/>
        </w:rPr>
        <w:footnoteReference w:id="3539"/>
      </w:r>
      <w:r>
        <w:t xml:space="preserve">「已婚夫妇应当把传递人类生命与教育子女视为自己的使命；他们应当意识到：他们因此与神这位创造者的爱合作，并在某种意义上成为其诠释者。他们将以人性的与基督徒的责任感来完成这项义务。」</w:t>
      </w:r>
      <w:r>
        <w:rPr>
          <w:rStyle w:val="FootnoteReference"/>
        </w:rPr>
        <w:footnoteReference w:id="3540"/>
      </w:r>
    </w:p>
    <w:p>
      <w:pPr>
        <w:pStyle w:val="BodyText"/>
      </w:pPr>
      <w:r>
        <w:t xml:space="preserve">这责任的一个特殊层面，关乎生育的调节。为正当理由，配偶可能希望拉开生育间隔。他们有义务确认：这种愿望不是出于自私，而是符合负责任父母之身份所应有的慷慨。此外，他们应按道德的客观准则来调整行为：</w:t>
      </w:r>
    </w:p>
    <w:p>
      <w:pPr>
        <w:pStyle w:val="BlockText"/>
      </w:pPr>
      <w:r>
        <w:t xml:space="preserve">当问题在于协调夫妻之爱与负责任地传递生命时，行为的道德性并不只取决于真诚的意向与对动机的评估；它必须由客观准则来决定，这些准则源于位格与其行为的本性，尊重彼此交付与人类生育在真实之爱脉络中的整体意义；只有在以真诚之心实践婚姻的贞洁之德时，这才可能。</w:t>
      </w:r>
      <w:r>
        <w:rPr>
          <w:rStyle w:val="FootnoteReference"/>
        </w:rPr>
        <w:footnoteReference w:id="3541"/>
      </w:r>
    </w:p>
    <w:p>
      <w:pPr>
        <w:pStyle w:val="FirstParagraph"/>
      </w:pPr>
      <w:r>
        <w:t xml:space="preserve">「通过同时维护这两个本质层面：结合层面与生育层面，夫妻行为便完整地保有真实彼此相爱之意义，并保持指向人崇高的父母圣召。」</w:t>
      </w:r>
      <w:r>
        <w:rPr>
          <w:rStyle w:val="FootnoteReference"/>
        </w:rPr>
        <w:footnoteReference w:id="3542"/>
      </w:r>
    </w:p>
    <w:p>
      <w:pPr>
        <w:pStyle w:val="BodyText"/>
      </w:pPr>
      <w:r>
        <w:t xml:space="preserve">周期性的节制，也就是以自我观察并运用不孕期为基础的生育调节方法，符合道德的客观准则。</w:t>
      </w:r>
      <w:r>
        <w:rPr>
          <w:rStyle w:val="FootnoteReference"/>
        </w:rPr>
        <w:footnoteReference w:id="3543"/>
      </w:r>
      <w:r>
        <w:t xml:space="preserve">这些方法尊重配偶的身体，促进彼此的温柔，并有利于真正自由的教育。相反，「任何行为，无论是在夫妻行为之前，或在其进行时，或在其自然后果的发展中，若意图以目的或手段使生育变得不可能」，在本质上都是邪恶的：</w:t>
      </w:r>
      <w:r>
        <w:rPr>
          <w:rStyle w:val="FootnoteReference"/>
        </w:rPr>
        <w:footnoteReference w:id="3544"/>
      </w:r>
    </w:p>
    <w:p>
      <w:pPr>
        <w:pStyle w:val="BlockText"/>
      </w:pPr>
      <w:r>
        <w:t xml:space="preserve">因此，那表达夫妻彼此完全交付的内在语言，会因避孕而被一种在客观上相矛盾的语言所覆盖，也就是不把自己完全交给对方的语言。这不仅导致对生命开放的积极拒绝，也导致对夫妻之爱内在真理的歪曲；夫妻之爱蒙召以位格的整体性来交付自己……避孕与诉诸周期节律之间在人类学与道德上的差异……归根究底涉及两种不可调和的关于人的位格与人的性之观念。</w:t>
      </w:r>
      <w:r>
        <w:rPr>
          <w:rStyle w:val="FootnoteReference"/>
        </w:rPr>
        <w:footnoteReference w:id="3545"/>
      </w:r>
    </w:p>
    <w:p>
      <w:pPr>
        <w:pStyle w:val="FirstParagraph"/>
      </w:pPr>
      <w:r>
        <w:t xml:space="preserve">「必须使众人确信：人的生命以及传递生命的义务，并不只受现世的视野所限制；它们只有在参照人的永恒归宿时，才能被正确衡量并获得其完整意义。」</w:t>
      </w:r>
      <w:r>
        <w:rPr>
          <w:rStyle w:val="FootnoteReference"/>
        </w:rPr>
        <w:footnoteReference w:id="3546"/>
      </w:r>
    </w:p>
    <w:p>
      <w:pPr>
        <w:pStyle w:val="BodyText"/>
      </w:pPr>
      <w:r>
        <w:t xml:space="preserve">国家对公民的福祉负有责任。在此意义上，国家为引导人口结构而介入，是正当的。这可以借着客观且尊重人的资讯来完成，但绝不能借着专断且强制的措施。国家不可以正当地侵夺配偶的主动性；配偶对生育与教育子女负有首要责任。</w:t>
      </w:r>
      <w:r>
        <w:rPr>
          <w:rStyle w:val="FootnoteReference"/>
        </w:rPr>
        <w:footnoteReference w:id="3547"/>
      </w:r>
      <w:r>
        <w:t xml:space="preserve">在这方面，国家无权采用违背道德律的手段。</w:t>
      </w:r>
    </w:p>
    <w:p>
      <w:pPr>
        <w:pStyle w:val="BodyText"/>
      </w:pPr>
      <w:r>
        <w:rPr>
          <w:b/>
          <w:bCs/>
        </w:rPr>
        <w:t xml:space="preserve">子女的恩赐</w:t>
      </w:r>
    </w:p>
    <w:p>
      <w:pPr>
        <w:pStyle w:val="BodyText"/>
      </w:pPr>
      <w:r>
        <w:t xml:space="preserve">圣经与教会的传统实践把多子女的家庭视为神祝福与父母慷慨的标记。</w:t>
      </w:r>
      <w:r>
        <w:rPr>
          <w:rStyle w:val="FootnoteReference"/>
        </w:rPr>
        <w:footnoteReference w:id="3548"/>
      </w:r>
    </w:p>
    <w:p>
      <w:pPr>
        <w:pStyle w:val="BodyText"/>
      </w:pPr>
      <w:r>
        <w:t xml:space="preserve">发现自己不育的夫妇会承受极大痛苦。亚伯拉罕问神说：「主耶和华啊，我既无子，你还赐我什么呢？」</w:t>
      </w:r>
      <w:r>
        <w:rPr>
          <w:rStyle w:val="FootnoteReference"/>
        </w:rPr>
        <w:footnoteReference w:id="3549"/>
      </w:r>
      <w:r>
        <w:t xml:space="preserve">拉结对丈夫雅各喊说：「你给我孩子，不然我就死了。」</w:t>
      </w:r>
      <w:r>
        <w:rPr>
          <w:rStyle w:val="FootnoteReference"/>
        </w:rPr>
        <w:footnoteReference w:id="3550"/>
      </w:r>
    </w:p>
    <w:p>
      <w:pPr>
        <w:pStyle w:val="BodyText"/>
      </w:pPr>
      <w:r>
        <w:t xml:space="preserve">旨在减少人类不育的研究，应当受到鼓励，但条件是它被置于「服务人的位格、服务他不可剥夺的权利、服务他真实而整体的益处，并符合神的计划与旨意」之下。</w:t>
      </w:r>
      <w:r>
        <w:rPr>
          <w:rStyle w:val="FootnoteReference"/>
        </w:rPr>
        <w:footnoteReference w:id="3551"/>
      </w:r>
    </w:p>
    <w:p>
      <w:pPr>
        <w:pStyle w:val="BodyText"/>
      </w:pPr>
      <w:r>
        <w:t xml:space="preserve">那些使夫妻分离、并由配偶之外的人介入（捐精或捐卵、代孕子宫）的技术，是严重不道德的。这些技术（异源人工授精与受精）侵犯孩子的权利：孩子有权由他认识的父亲与母亲所生，并且这父母彼此借婚姻而相连。它们背叛配偶的「权利：只能借着彼此成为父亲与母亲」。</w:t>
      </w:r>
      <w:r>
        <w:rPr>
          <w:rStyle w:val="FootnoteReference"/>
        </w:rPr>
        <w:footnoteReference w:id="3552"/>
      </w:r>
    </w:p>
    <w:p>
      <w:pPr>
        <w:pStyle w:val="BodyText"/>
      </w:pPr>
      <w:r>
        <w:t xml:space="preserve">只涉及已婚夫妇自身的技术（同源人工授精与受精）或许较不该受责难，但仍在道德上不可接受。它们使夫妻行为与生育行为分离。把孩子带入存在的行为不再是两个人彼此交付的行为，而是一个「把胚胎的生命与身份交到医生与生物学家权力之下，并建立技术对人的起源与归宿的支配」的行为。这种支配关系本身就违背父母与子女之间必须共有的尊严与平等。</w:t>
      </w:r>
      <w:r>
        <w:rPr>
          <w:rStyle w:val="FootnoteReference"/>
        </w:rPr>
        <w:footnoteReference w:id="3553"/>
      </w:r>
      <w:r>
        <w:t xml:space="preserve">「在道德层面，当生育不是作为夫妻行为的果实、也就是配偶结合之特定行为的果实而被意欲时，生育就失去其应有的完善……只有尊重夫妻行为两种意义之间的联结，并尊重人的合一，才能使生育符合位格的尊严。」</w:t>
      </w:r>
      <w:r>
        <w:rPr>
          <w:rStyle w:val="FootnoteReference"/>
        </w:rPr>
        <w:footnoteReference w:id="3554"/>
      </w:r>
    </w:p>
    <w:p>
      <w:pPr>
        <w:pStyle w:val="BodyText"/>
      </w:pPr>
      <w:r>
        <w:t xml:space="preserve">孩子不是人所应得的，而是一份恩赐。「婚姻最崇高的恩赐」是一位人。孩子不可被视为财产；一种所谓「有权得到孩子」的观念会把人引向这一点。在这方面，只有孩子才拥有真实的权利：有权「作为其父母夫妻之爱那特定行为的果实」，以及有权「从受孕那一刻起就被尊重为位格」。</w:t>
      </w:r>
      <w:r>
        <w:rPr>
          <w:rStyle w:val="FootnoteReference"/>
        </w:rPr>
        <w:footnoteReference w:id="3555"/>
      </w:r>
    </w:p>
    <w:p>
      <w:pPr>
        <w:pStyle w:val="BodyText"/>
      </w:pPr>
      <w:r>
        <w:t xml:space="preserve">福音显示：身体上的不育并不是绝对的恶。那些在用尽正当的医疗手段之后仍承受不孕之苦的配偶，应当与主的十字架结合；主的十字架是一切属灵丰饶的泉源。他们可以借着领养被遗弃的孩子，或为他人承担艰难的服务，来表达自己的慷慨。</w:t>
      </w:r>
    </w:p>
    <w:bookmarkEnd w:id="3556"/>
    <w:bookmarkStart w:id="3572" w:name="四违背婚姻尊严的罪"/>
    <w:p>
      <w:pPr>
        <w:pStyle w:val="Heading5"/>
      </w:pPr>
      <w:r>
        <w:t xml:space="preserve">四、违背婚姻尊严的罪</w:t>
      </w:r>
    </w:p>
    <w:p>
      <w:pPr>
        <w:pStyle w:val="FirstParagraph"/>
      </w:pPr>
      <w:r>
        <w:rPr>
          <w:b/>
          <w:bCs/>
        </w:rPr>
        <w:t xml:space="preserve">通奸</w:t>
      </w:r>
    </w:p>
    <w:p>
      <w:pPr>
        <w:pStyle w:val="BodyText"/>
      </w:pPr>
      <w:r>
        <w:t xml:space="preserve">通奸指婚姻不忠。当两个伴侣中至少有一方已与他人结婚，却发生性关系——即使只是短暂的性关系——他们就犯了通奸。基督甚至谴责仅仅出于欲望的通奸。</w:t>
      </w:r>
      <w:r>
        <w:rPr>
          <w:rStyle w:val="FootnoteReference"/>
        </w:rPr>
        <w:footnoteReference w:id="3557"/>
      </w:r>
      <w:r>
        <w:t xml:space="preserve">第六诫与新约绝对禁止通奸。</w:t>
      </w:r>
      <w:r>
        <w:rPr>
          <w:rStyle w:val="FootnoteReference"/>
        </w:rPr>
        <w:footnoteReference w:id="3558"/>
      </w:r>
      <w:r>
        <w:t xml:space="preserve">先知谴责通奸的严重性；他们把它视为偶像崇拜之罪的图像。</w:t>
      </w:r>
      <w:r>
        <w:rPr>
          <w:rStyle w:val="FootnoteReference"/>
        </w:rPr>
        <w:footnoteReference w:id="3559"/>
      </w:r>
    </w:p>
    <w:p>
      <w:pPr>
        <w:pStyle w:val="BodyText"/>
      </w:pPr>
      <w:r>
        <w:t xml:space="preserve">通奸是不义。通奸者违背自己的承诺。他伤害婚姻纽带所作为的约之标记，侵犯另一方配偶的权利，并以破坏其所依据的盟约而动摇婚姻制度。他危及人类生育的益处，也危及子女的福祉，因为子女需要父母稳定的结合。</w:t>
      </w:r>
    </w:p>
    <w:p>
      <w:pPr>
        <w:pStyle w:val="BodyText"/>
      </w:pPr>
      <w:r>
        <w:rPr>
          <w:b/>
          <w:bCs/>
        </w:rPr>
        <w:t xml:space="preserve">离婚</w:t>
      </w:r>
    </w:p>
    <w:p>
      <w:pPr>
        <w:pStyle w:val="BodyText"/>
      </w:pPr>
      <w:r>
        <w:t xml:space="preserve">主耶稣坚持造物主起初的意向：他愿意婚姻不可解散。</w:t>
      </w:r>
      <w:r>
        <w:rPr>
          <w:rStyle w:val="FootnoteReference"/>
        </w:rPr>
        <w:footnoteReference w:id="3560"/>
      </w:r>
      <w:r>
        <w:t xml:space="preserve">他废除了旧律法中逐渐混入的通融。</w:t>
      </w:r>
      <w:r>
        <w:rPr>
          <w:rStyle w:val="FootnoteReference"/>
        </w:rPr>
        <w:footnoteReference w:id="3561"/>
      </w:r>
      <w:r>
        <w:t xml:space="preserve">在领受洗礼者之间，「经有效缔结且完成的婚姻，除死亡外，不得因任何人为权力或任何理由而解除」。</w:t>
      </w:r>
      <w:r>
        <w:rPr>
          <w:rStyle w:val="FootnoteReference"/>
        </w:rPr>
        <w:footnoteReference w:id="3562"/>
      </w:r>
    </w:p>
    <w:p>
      <w:pPr>
        <w:pStyle w:val="BodyText"/>
      </w:pPr>
      <w:r>
        <w:t xml:space="preserve">在教会法规定的某些情况下，维持婚姻纽带的夫妻分居可能是正当的。</w:t>
      </w:r>
      <w:r>
        <w:rPr>
          <w:rStyle w:val="FootnoteReference"/>
        </w:rPr>
        <w:footnoteReference w:id="3563"/>
      </w:r>
      <w:r>
        <w:t xml:space="preserve">如果民事离婚仍是确保某些法律权利、照顾子女或保护继承权的唯一可行方式，它可以被容忍，也不构成道德上的冒犯。</w:t>
      </w:r>
    </w:p>
    <w:p>
      <w:pPr>
        <w:pStyle w:val="BodyText"/>
      </w:pPr>
      <w:r>
        <w:t xml:space="preserve">离婚严重违背自然律。它宣称打破配偶自由同意的合同，而这合同要求他们彼此共度至死。离婚伤害救恩之约，而圣事性的婚姻正是这救恩之约的标记。再度结合，即使为民法所承认，也会增加这破裂的严重性：再婚的配偶因此处于公开且持续的通奸状态：</w:t>
      </w:r>
    </w:p>
    <w:p>
      <w:pPr>
        <w:pStyle w:val="BlockText"/>
      </w:pPr>
      <w:r>
        <w:t xml:space="preserve">如果丈夫与妻子分居后去亲近另一个女人，他就是通奸者，因为他使那女人犯通奸；与他同住的女人也是通奸者，因为她把别人的丈夫吸引到自己这里。</w:t>
      </w:r>
      <w:r>
        <w:rPr>
          <w:rStyle w:val="FootnoteReference"/>
        </w:rPr>
        <w:footnoteReference w:id="3564"/>
      </w:r>
    </w:p>
    <w:p>
      <w:pPr>
        <w:pStyle w:val="FirstParagraph"/>
      </w:pPr>
      <w:r>
        <w:t xml:space="preserve">离婚是不道德的，也因为它把混乱带进家庭和社会里。这种混乱会对被离弃的配偶造成严重伤害，也会伤害因父母分离而受创的孩子，他们常常被撕扯在父母之间；而且离婚还有传染性，使它真的成了社会的瘟疫。</w:t>
      </w:r>
    </w:p>
    <w:p>
      <w:pPr>
        <w:pStyle w:val="BodyText"/>
      </w:pPr>
      <w:r>
        <w:t xml:space="preserve">可能会发生这样的情况：一方配偶是由民事法律裁定的离婚的无辜受害者；因此，这位配偶并没有违反道德律。一个真诚努力对婚姻圣事保持忠贞却被不公正地抛弃的配偶，与一个因自己重大的过错而毁掉一段在教会法上有效的婚姻的人，两者之间有很大的差别。</w:t>
      </w:r>
      <w:r>
        <w:rPr>
          <w:rStyle w:val="FootnoteReference"/>
        </w:rPr>
        <w:footnoteReference w:id="3565"/>
      </w:r>
    </w:p>
    <w:p>
      <w:pPr>
        <w:pStyle w:val="BodyText"/>
      </w:pPr>
      <w:r>
        <w:rPr>
          <w:b/>
          <w:bCs/>
        </w:rPr>
        <w:t xml:space="preserve">其他侵犯婚姻尊严的行为</w:t>
      </w:r>
    </w:p>
    <w:p>
      <w:pPr>
        <w:pStyle w:val="BodyText"/>
      </w:pPr>
      <w:r>
        <w:t xml:space="preserve">一个人渴望归向福音，却不得不离弃与他共同度过多年婚姻生活的一位或多位妻子，这种处境是可以理解的。然而，多妻制不符合道德律：「［夫妻］共融从根本上就与多妻制相矛盾；事实上，多妻制直接否定了神从起初就启示的计划，因为它违背了男女在婚姻中彼此奉献时所具有的同等人格尊严；这种奉献之爱是完全的，因此也必然是独一且排他的。」</w:t>
      </w:r>
      <w:r>
        <w:rPr>
          <w:rStyle w:val="FootnoteReference"/>
        </w:rPr>
        <w:footnoteReference w:id="3566"/>
      </w:r>
      <w:r>
        <w:t xml:space="preserve">曾经生活在多妻制中的基督徒，在正义上有重大责任，要尊重自己对以前的妻子和子女所承担的义务。</w:t>
      </w:r>
    </w:p>
    <w:p>
      <w:pPr>
        <w:pStyle w:val="BodyText"/>
      </w:pPr>
      <w:r>
        <w:t xml:space="preserve">乱伦指在亲属或姻亲之间，处在法律禁止他们结婚的亲等范围内而发生的亲密关系。</w:t>
      </w:r>
      <w:r>
        <w:rPr>
          <w:rStyle w:val="FootnoteReference"/>
        </w:rPr>
        <w:footnoteReference w:id="3567"/>
      </w:r>
      <w:r>
        <w:t xml:space="preserve">圣保罗特别严厉地斥责这种极其严重的罪行：「风闻在你们中间有淫乱的事；这样的淫乱连外邦人中也没有，就是有人收了他的继母。」又说：「要把这样的人交给撒但，败坏他的肉体，使他的灵魂在主耶稣的日子可以得救。」</w:t>
      </w:r>
      <w:r>
        <w:rPr>
          <w:rStyle w:val="FootnoteReference"/>
        </w:rPr>
        <w:footnoteReference w:id="3568"/>
      </w:r>
      <w:r>
        <w:t xml:space="preserve">乱伦败坏家庭关系，并标志着倒退回兽性。</w:t>
      </w:r>
    </w:p>
    <w:p>
      <w:pPr>
        <w:pStyle w:val="BodyText"/>
      </w:pPr>
      <w:r>
        <w:t xml:space="preserve">与乱伦相关的，还有成年人对托付在自己照管下的儿童或青少年所实施的任何性侵害。这种罪行之所以更重，是因为它对年轻人的身体与道德完整性造成了丑闻式的伤害，他们会一生都带着伤痕；同时，这也侵犯了成人对他们的养育责任。</w:t>
      </w:r>
    </w:p>
    <w:p>
      <w:pPr>
        <w:pStyle w:val="BodyText"/>
      </w:pPr>
      <w:r>
        <w:t xml:space="preserve">在所谓的「自由结合」中，男女拒绝让包含性亲密的关系具有法律上的和公开的形式。「自由结合」这个说法是骗人的：当伴侣彼此之间并没有任何承诺时，「结合」还能是什么意思呢？这显示出双方对对方、对自己或对未来缺乏信任。这个说法涵盖多种不同情况：同居，拒绝婚姻本身，或没有能力作出长期承诺。</w:t>
      </w:r>
      <w:r>
        <w:rPr>
          <w:rStyle w:val="FootnoteReference"/>
        </w:rPr>
        <w:footnoteReference w:id="3569"/>
      </w:r>
      <w:r>
        <w:t xml:space="preserve">所有这些情况都冒犯婚姻的尊严；它们摧毁家庭的观念本身；削弱忠贞的意识。它们都违背道德律。性行为必须只能在婚姻之内发生。婚姻之外的性行为总是构成严重的罪，并使人不能领受圣事共融。</w:t>
      </w:r>
    </w:p>
    <w:p>
      <w:pPr>
        <w:pStyle w:val="BodyText"/>
      </w:pPr>
      <w:r>
        <w:t xml:space="preserve">今天有人主张「试婚的权利」，即打算以后再结婚。然而，不论那些过早发生性关系的人意向多么坚定，「事实是，这样的关系几乎无法保证男女关系中的彼此真诚与忠贞，尤其无法保护这关系不受欲望的反复无常或一时兴起的任性所破坏。」</w:t>
      </w:r>
      <w:r>
        <w:rPr>
          <w:rStyle w:val="FootnoteReference"/>
        </w:rPr>
        <w:footnoteReference w:id="3570"/>
      </w:r>
      <w:r>
        <w:t xml:space="preserve">肉身的结合在道德上只有在男女之间已建立起决定性的生活共同体时才是正当的。人的爱容不得「试婚」。它要求人彼此之间作出完全且决定性的自我交付。</w:t>
      </w:r>
      <w:r>
        <w:rPr>
          <w:rStyle w:val="FootnoteReference"/>
        </w:rPr>
        <w:footnoteReference w:id="3571"/>
      </w:r>
    </w:p>
    <w:bookmarkEnd w:id="3572"/>
    <w:bookmarkEnd w:id="3573"/>
    <w:bookmarkStart w:id="3574" w:name="综述-61"/>
    <w:p>
      <w:pPr>
        <w:pStyle w:val="Heading4"/>
      </w:pPr>
      <w:r>
        <w:t xml:space="preserve">综述</w:t>
      </w:r>
    </w:p>
    <w:p>
      <w:pPr>
        <w:pStyle w:val="FirstParagraph"/>
      </w:pPr>
      <w:r>
        <w:t xml:space="preserve">「爱是每个人的基本且与生俱来的呼召」（</w:t>
      </w:r>
      <w:r>
        <w:rPr>
          <w:i/>
          <w:iCs/>
        </w:rPr>
        <w:t xml:space="preserve">FC</w:t>
      </w:r>
      <w:r>
        <w:t xml:space="preserve"> </w:t>
      </w:r>
      <w:r>
        <w:t xml:space="preserve">11）。</w:t>
      </w:r>
    </w:p>
    <w:p>
      <w:pPr>
        <w:pStyle w:val="BodyText"/>
      </w:pPr>
      <w:r>
        <w:t xml:space="preserve">神创造人，使人有男有女，神把人格尊严同等地赐给男女双方。每个人，无论男女，都应承认并接受自己的性别身份。</w:t>
      </w:r>
    </w:p>
    <w:p>
      <w:pPr>
        <w:pStyle w:val="BodyText"/>
      </w:pPr>
      <w:r>
        <w:t xml:space="preserve">基督是贞洁的榜样。每个受洗的人都蒙召过贞洁的生活，各人按自己的生活身分而行。</w:t>
      </w:r>
    </w:p>
    <w:p>
      <w:pPr>
        <w:pStyle w:val="BodyText"/>
      </w:pPr>
      <w:r>
        <w:t xml:space="preserve">贞洁意味着把性整合在整个人格里。它包含学习自我节制。</w:t>
      </w:r>
    </w:p>
    <w:p>
      <w:pPr>
        <w:pStyle w:val="BodyText"/>
      </w:pPr>
      <w:r>
        <w:t xml:space="preserve">严重违背贞洁的罪包括手淫、苟合、色情作品，以及同性性行为。</w:t>
      </w:r>
    </w:p>
    <w:p>
      <w:pPr>
        <w:pStyle w:val="BodyText"/>
      </w:pPr>
      <w:r>
        <w:t xml:space="preserve">配偶自由进入的约，包含忠贞的爱，并要求他们保持婚姻不可拆散。</w:t>
      </w:r>
    </w:p>
    <w:p>
      <w:pPr>
        <w:pStyle w:val="BodyText"/>
      </w:pPr>
      <w:r>
        <w:t xml:space="preserve">多产是婚姻的善，是恩赐，也是目的。配偶借着生育，参与神作为父的角色。</w:t>
      </w:r>
    </w:p>
    <w:p>
      <w:pPr>
        <w:pStyle w:val="BodyText"/>
      </w:pPr>
      <w:r>
        <w:t xml:space="preserve">调节生育是负责任的父职与母职的一个方面。配偶正当的意向，并不能使他们诉诸在道德上不可接受的手段（例如直接绝育或避孕）变得正当。</w:t>
      </w:r>
    </w:p>
    <w:p>
      <w:pPr>
        <w:pStyle w:val="BodyText"/>
      </w:pPr>
      <w:r>
        <w:t xml:space="preserve">通奸、离婚、多妻制和自由结合，都是严重侵犯婚姻尊严的行为。</w:t>
      </w:r>
    </w:p>
    <w:p>
      <w:r>
        <w:br w:type="page"/>
      </w:r>
    </w:p>
    <w:bookmarkEnd w:id="3574"/>
    <w:bookmarkStart w:id="3649" w:name="第七条第七诫"/>
    <w:p>
      <w:pPr>
        <w:pStyle w:val="Heading4"/>
      </w:pPr>
      <w:r>
        <w:t xml:space="preserve">第七条：第七诫</w:t>
      </w:r>
    </w:p>
    <w:p>
      <w:pPr>
        <w:pStyle w:val="BlockText"/>
      </w:pPr>
      <w:r>
        <w:t xml:space="preserve">不可偷盗。</w:t>
      </w:r>
      <w:r>
        <w:rPr>
          <w:rStyle w:val="FootnoteReference"/>
        </w:rPr>
        <w:footnoteReference w:id="3575"/>
      </w:r>
    </w:p>
    <w:p>
      <w:pPr>
        <w:pStyle w:val="FirstParagraph"/>
      </w:pPr>
      <w:r>
        <w:t xml:space="preserve">第七诫禁止不义地夺取或扣留邻人的财物，并以任何方式在财物方面加害于他。它命令人在管理地上的财物和人的劳动成果时实行正义与仁爱。为了公益，它要求尊重财物的普遍归向，并尊重私有财产权。基督徒生活努力把这世界的财物安排到归向神，并归向弟兄般的仁爱。</w:t>
      </w:r>
    </w:p>
    <w:bookmarkStart w:id="3579" w:name="一财物的普遍归向与私人所有权"/>
    <w:p>
      <w:pPr>
        <w:pStyle w:val="Heading5"/>
      </w:pPr>
      <w:r>
        <w:t xml:space="preserve">一、财物的普遍归向与私人所有权</w:t>
      </w:r>
    </w:p>
    <w:p>
      <w:pPr>
        <w:pStyle w:val="FirstParagraph"/>
      </w:pPr>
      <w:r>
        <w:t xml:space="preserve">起初，神把大地及其资源托付给全人类共同管理，好照顾它们，藉着劳动治理它们，并享用它们的果实。</w:t>
      </w:r>
      <w:r>
        <w:rPr>
          <w:rStyle w:val="FootnoteReference"/>
        </w:rPr>
        <w:footnoteReference w:id="3576"/>
      </w:r>
      <w:r>
        <w:t xml:space="preserve">受造界的财物是为整个人类而设的。然而，人们把大地分配开来，为的是保障生活的安全，因为生活会因贫困而受到威胁，也会因暴力而处在危险之中。为了保障人的自由和尊严，并帮助每个人满足自己的基本需要以及他所照料之人的需要，取得财产是正当的。这样做也应让人之间自然形成团结互助。</w:t>
      </w:r>
    </w:p>
    <w:p>
      <w:pPr>
        <w:pStyle w:val="BodyText"/>
      </w:pPr>
      <w:r>
        <w:t xml:space="preserve">以正当方式取得或领受的私有财产权，并不取消大地原本赐给全人类的那份恩赐。财物的普遍归向仍然是首要原则，即使推动公益需要尊重私有财产权及其运用。</w:t>
      </w:r>
    </w:p>
    <w:p>
      <w:pPr>
        <w:pStyle w:val="BodyText"/>
      </w:pPr>
      <w:r>
        <w:t xml:space="preserve">「人在使用财物时，应把自己合法拥有的外在财物，不只看作自己专有的，也要视为与他人共有的，意思是这些财物不但能使自己受益，也能使他人受益。」</w:t>
      </w:r>
      <w:r>
        <w:rPr>
          <w:rStyle w:val="FootnoteReference"/>
        </w:rPr>
        <w:footnoteReference w:id="3577"/>
      </w:r>
      <w:r>
        <w:t xml:space="preserve">任何财产的所有权，都使其持有人在神护理下成为管理人，其任务是使财产结出成果，并把其益处传给他人，首先是自己的家庭。</w:t>
      </w:r>
    </w:p>
    <w:p>
      <w:pPr>
        <w:pStyle w:val="BodyText"/>
      </w:pPr>
      <w:r>
        <w:t xml:space="preserve">生产资料——无论是物质的还是非物质的——例如土地、工厂、实用或艺术技能，使其拥有者有义务以能使最多人受益的方式加以运用。持有用于使用和消费之物的人，应节制地使用，并把较好的部分留给客人、病人和穷人。</w:t>
      </w:r>
    </w:p>
    <w:p>
      <w:pPr>
        <w:pStyle w:val="BodyText"/>
      </w:pPr>
      <w:r>
        <w:t xml:space="preserve">政治权威有权也有义务，为了公益而规范所有权的正当行使。</w:t>
      </w:r>
      <w:r>
        <w:rPr>
          <w:rStyle w:val="FootnoteReference"/>
        </w:rPr>
        <w:footnoteReference w:id="3578"/>
      </w:r>
    </w:p>
    <w:bookmarkEnd w:id="3579"/>
    <w:bookmarkStart w:id="3585" w:name="二尊重他人及其财物"/>
    <w:p>
      <w:pPr>
        <w:pStyle w:val="Heading5"/>
      </w:pPr>
      <w:r>
        <w:t xml:space="preserve">二、尊重他人及其财物</w:t>
      </w:r>
    </w:p>
    <w:p>
      <w:pPr>
        <w:pStyle w:val="FirstParagraph"/>
      </w:pPr>
      <w:r>
        <w:t xml:space="preserve">在经济事务上，尊重人的尊严要求人实践节制的德行，以克制对这世界财物的依恋；实践正义的德行，以维护邻人的权利，并把应给他的还给他；也要按黄金法则，并照着主的慷慨，实践团结互助；因为主「他本来富足，却为你们成了贫穷，叫你们因他的贫穷，可以成为富足。」</w:t>
      </w:r>
      <w:r>
        <w:rPr>
          <w:rStyle w:val="FootnoteReference"/>
        </w:rPr>
        <w:footnoteReference w:id="3580"/>
      </w:r>
    </w:p>
    <w:p>
      <w:pPr>
        <w:pStyle w:val="BodyText"/>
      </w:pPr>
      <w:r>
        <w:t xml:space="preserve">第七诫禁止偷盗，也就是违背财物所有者的合理意愿而侵占别人的财产。如果可以推定同意，或拒绝是违背理性和财物的普遍归向，就不算偷盗。在明显且紧急的需要中，当唯一能立刻满足基本必需（食物、住处、衣物……）的方法，就是取用并使用他人的财物时，就是这种情况。</w:t>
      </w:r>
      <w:r>
        <w:rPr>
          <w:rStyle w:val="FootnoteReference"/>
        </w:rPr>
        <w:footnoteReference w:id="3581"/>
      </w:r>
    </w:p>
    <w:p>
      <w:pPr>
        <w:pStyle w:val="BodyText"/>
      </w:pPr>
      <w:r>
        <w:t xml:space="preserve">即使不违背民事法律的规定，任何不义地夺取和扣留他人财产的形式，都违背第七诫：例如故意扣留借来的东西或捡到的失物；商业欺诈；支付不公正的工资；利用他人的无知或困境哄抬物价。</w:t>
      </w:r>
      <w:r>
        <w:rPr>
          <w:rStyle w:val="FootnoteReference"/>
        </w:rPr>
        <w:footnoteReference w:id="3582"/>
      </w:r>
    </w:p>
    <w:p>
      <w:pPr>
        <w:pStyle w:val="BodyText"/>
      </w:pPr>
      <w:r>
        <w:t xml:space="preserve">以下行为在道德上也都是不合法的吗：投机，也就是人为操纵商品价格以谋取私利并损害他人；贿赂，也就是影响那些必须依法作决定之人的判断；侵占并为私人目的使用企业的公共财物；工作敷衍；逃税；伪造支票和发票；过度开支与浪费。故意损坏私有或公有财产违背道德律，并要求补偿。</w:t>
      </w:r>
    </w:p>
    <w:p>
      <w:pPr>
        <w:pStyle w:val="BodyText"/>
      </w:pPr>
      <w:r>
        <w:t xml:space="preserve">承诺必须遵守，合同必须严格履行，只要其中所作的承诺在道德上是正当的。经济与社会生活的重要部分，有赖于自然人或法人之间对合同的尊重——例如买卖的商业合同、租赁合同或劳务合同。所有合同都必须在善意中达成并执行。</w:t>
      </w:r>
    </w:p>
    <w:p>
      <w:pPr>
        <w:pStyle w:val="BodyText"/>
      </w:pPr>
      <w:r>
        <w:t xml:space="preserve">合同受交换正义约束；交换正义按对权利的严格尊重，规范人与人之间、机构与机构之间的交换。交换正义具有严格的约束力；它要求维护财产权、偿还债务并履行自愿订立的义务。没有交换正义，就不可能有任何其他形式的正义。交换正义不同于法律正义，后者涉及公民按公平对团体所应尽的义务；也不同于分配正义，后者规范团体按公民的贡献和需要所应给予的。</w:t>
      </w:r>
    </w:p>
    <w:p>
      <w:pPr>
        <w:pStyle w:val="BodyText"/>
      </w:pPr>
      <w:r>
        <w:t xml:space="preserve">按照交换正义，对所犯不义的补偿，要求把偷来的东西归还给原主。耶稣为撒该的承诺赐福：「撒该站着对主说：主啊，我把所有的一半给穷人；我若讹诈了谁，就还他四倍。」</w:t>
      </w:r>
      <w:r>
        <w:rPr>
          <w:rStyle w:val="FootnoteReference"/>
        </w:rPr>
        <w:footnoteReference w:id="3583"/>
      </w:r>
      <w:r>
        <w:t xml:space="preserve">凡直接或间接占有他人财物的人，都有义务归还，或在财物已不存在时，以实物或金钱归还等值之物，并归还原主本可合法获得的利润或好处。同样，凡以任何方式参与偷盗，或明知而从中得利的人——例如下令者、协助者、或收受赃物者——都必须按其责任和所得分额作出归还。</w:t>
      </w:r>
    </w:p>
    <w:p>
      <w:pPr>
        <w:pStyle w:val="BodyText"/>
      </w:pPr>
      <w:r>
        <w:t xml:space="preserve">赌博（纸牌等）或打赌，本身并不违背正义。但当它使人失去维持自己和他人所需的必要之物时，就在道德上不可接受。对赌博的痴迷可能变成奴役。不公平的赌注与在游戏中作弊，构成严重的罪，除非造成的损害极其轻微，以致受害者不能合理地认为它重要。</w:t>
      </w:r>
    </w:p>
    <w:p>
      <w:pPr>
        <w:pStyle w:val="BodyText"/>
      </w:pPr>
      <w:r>
        <w:t xml:space="preserve">第七诫禁止任何行为或事业，不论出于什么原因——自私的或意识形态的、商业的或极权主义的——只要导致奴役人，使人像商品一样被买卖和交换，而不顾其人格尊严。这种把人用暴力贬低为生产价值或利润来源的做法，是反对人的尊严及其基本权利的罪。圣保罗吩咐一位基督徒主人，要把他的基督徒奴隶看为「不再是奴仆，乃是高过奴仆，是亲爱的弟兄，在我实在是如此，何况在你呢！这也不拘是按肉体说，是按主说。」</w:t>
      </w:r>
      <w:r>
        <w:rPr>
          <w:rStyle w:val="FootnoteReference"/>
        </w:rPr>
        <w:footnoteReference w:id="3584"/>
      </w:r>
    </w:p>
    <w:bookmarkEnd w:id="3585"/>
    <w:bookmarkStart w:id="3590" w:name="尊重受造界的完整性"/>
    <w:p>
      <w:pPr>
        <w:pStyle w:val="Heading5"/>
      </w:pPr>
      <w:r>
        <w:t xml:space="preserve">尊重受造界的完整性</w:t>
      </w:r>
    </w:p>
    <w:p>
      <w:pPr>
        <w:pStyle w:val="FirstParagraph"/>
      </w:pPr>
      <w:r>
        <w:t xml:space="preserve">第七诫要求尊重受造界的完整性。动物和植物以及无生命之物，在本性上都归向过去、现在和未来全人类的共同益处。</w:t>
      </w:r>
      <w:r>
        <w:rPr>
          <w:rStyle w:val="FootnoteReference"/>
        </w:rPr>
        <w:footnoteReference w:id="3586"/>
      </w:r>
      <w:r>
        <w:t xml:space="preserve">宇宙的矿物、植物和动物资源的使用，不能脱离对道德要求的尊重。造物主赋予人对无生命之物和其他生物的管理权，并不是绝对的；它受限于对邻人生活品质的关切，包括后代的生活品质；它也要求人以敬畏之心尊重受造界的完整性。</w:t>
      </w:r>
      <w:r>
        <w:rPr>
          <w:rStyle w:val="FootnoteReference"/>
        </w:rPr>
        <w:footnoteReference w:id="3587"/>
      </w:r>
    </w:p>
    <w:p>
      <w:pPr>
        <w:pStyle w:val="BodyText"/>
      </w:pPr>
      <w:r>
        <w:t xml:space="preserve">动物是神的受造物。神以他的护理照顾它们。它们仅凭自己的存在就称颂他，把荣耀归给他。</w:t>
      </w:r>
      <w:r>
        <w:rPr>
          <w:rStyle w:val="FootnoteReference"/>
        </w:rPr>
        <w:footnoteReference w:id="3588"/>
      </w:r>
      <w:r>
        <w:t xml:space="preserve">因此，人应善待动物。我们应记得，像圣亚西西的方济各或圣斐理伯·内利这样的圣人，是怎样温柔地对待动物的。</w:t>
      </w:r>
    </w:p>
    <w:p>
      <w:pPr>
        <w:pStyle w:val="BodyText"/>
      </w:pPr>
      <w:r>
        <w:t xml:space="preserve">神把动物托付给他按自己的形象所造的人来管理。</w:t>
      </w:r>
      <w:r>
        <w:rPr>
          <w:rStyle w:val="FootnoteReference"/>
        </w:rPr>
        <w:footnoteReference w:id="3589"/>
      </w:r>
      <w:r>
        <w:t xml:space="preserve">因此，为了食物和衣物而使用动物是正当的。人也可以驯养动物，使其帮助人工作与休闲。在合理限度内、并有助于照顾或拯救人的生命时，在动物身上进行医学与科学实验，是在道德上可接受的做法。</w:t>
      </w:r>
    </w:p>
    <w:p>
      <w:pPr>
        <w:pStyle w:val="BodyText"/>
      </w:pPr>
      <w:r>
        <w:t xml:space="preserve">让动物无谓受苦或死亡，违背人的尊严。同样，把本应优先用来纾解人类困苦的钱花在动物身上，也是不相称的。人可以爱动物；但不应把只应给人的情感投向它们。</w:t>
      </w:r>
    </w:p>
    <w:bookmarkEnd w:id="3590"/>
    <w:bookmarkStart w:id="3601" w:name="三教会的社会教义"/>
    <w:p>
      <w:pPr>
        <w:pStyle w:val="Heading5"/>
      </w:pPr>
      <w:r>
        <w:t xml:space="preserve">三、教会的社会教义</w:t>
      </w:r>
    </w:p>
    <w:p>
      <w:pPr>
        <w:pStyle w:val="FirstParagraph"/>
      </w:pPr>
      <w:r>
        <w:t xml:space="preserve">「基督信仰的启示……促进人更深入理解社会生活的规律。」</w:t>
      </w:r>
      <w:r>
        <w:rPr>
          <w:rStyle w:val="FootnoteReference"/>
        </w:rPr>
        <w:footnoteReference w:id="3591"/>
      </w:r>
      <w:r>
        <w:t xml:space="preserve">教会从福音领受关于人的真理的圆满启示。当教会履行宣讲福音的使命时，她以基督的名为人作证，见证人的尊严以及人蒙召进入人格共融的呼召。她也照着神的智慧，教导人正义与和平的要求。</w:t>
      </w:r>
    </w:p>
    <w:p>
      <w:pPr>
        <w:pStyle w:val="BodyText"/>
      </w:pPr>
      <w:r>
        <w:t xml:space="preserve">当「人的基本权利或灵魂得救需要」时，教会就会对经济与社会事务作出道德判断。</w:t>
      </w:r>
      <w:r>
        <w:rPr>
          <w:rStyle w:val="FootnoteReference"/>
        </w:rPr>
        <w:footnoteReference w:id="3592"/>
      </w:r>
      <w:r>
        <w:t xml:space="preserve">在道德秩序上，教会承担的使命不同于政治权威的使命：教会关心公益在现世的层面，因为这些层面是为那至高的善、也就是我们的终向而安排的。教会努力在对地上财物的态度上，以及在社会经济关系上，激发正确的心态。</w:t>
      </w:r>
    </w:p>
    <w:p>
      <w:pPr>
        <w:pStyle w:val="BodyText"/>
      </w:pPr>
      <w:r>
        <w:t xml:space="preserve">教会的社会教义在19世纪发展起来，当时福音与现代工业社会相遇：消费品生产的新结构、对社会、国家与权威的新观念，以及新的劳动与所有权形式。教会关于经济与社会事务的教义发展，一方面证明教会训导具有持久价值，另一方面也见证她的圣传的真实意义——总是活着并发挥作用。</w:t>
      </w:r>
      <w:r>
        <w:rPr>
          <w:rStyle w:val="FootnoteReference"/>
        </w:rPr>
        <w:footnoteReference w:id="3593"/>
      </w:r>
    </w:p>
    <w:p>
      <w:pPr>
        <w:pStyle w:val="BodyText"/>
      </w:pPr>
      <w:r>
        <w:t xml:space="preserve">教会的社会训导构成一套教义体系：教会在历史进程中，在圣灵的帮助下，以耶稣基督所启示的一切为光来解读事件，从而把这教义表达出来。</w:t>
      </w:r>
      <w:r>
        <w:rPr>
          <w:rStyle w:val="FootnoteReference"/>
        </w:rPr>
        <w:footnoteReference w:id="3594"/>
      </w:r>
      <w:r>
        <w:t xml:space="preserve">信徒越让自己受这训导引导，这训导就越容易被善意的人接受。</w:t>
      </w:r>
    </w:p>
    <w:p>
      <w:pPr>
        <w:pStyle w:val="BodyText"/>
      </w:pPr>
      <w:r>
        <w:t xml:space="preserve">教会的社会训导提出反思的原则；提供判断的准则；给出行动的指引。任何把社会关系完全由经济因素决定的制度，都违背人的本性以及人的行为。</w:t>
      </w:r>
      <w:r>
        <w:rPr>
          <w:rStyle w:val="FootnoteReference"/>
        </w:rPr>
        <w:footnoteReference w:id="3595"/>
      </w:r>
    </w:p>
    <w:p>
      <w:pPr>
        <w:pStyle w:val="BodyText"/>
      </w:pPr>
      <w:r>
        <w:t xml:space="preserve">一种把利润当作经济活动唯一规范和最终目的的理论，在道德上是不可接受的。对金钱的无序欲望必然产生扭曲的后果。它是许多扰乱社会秩序的冲突的原因之一。</w:t>
      </w:r>
      <w:r>
        <w:rPr>
          <w:rStyle w:val="FootnoteReference"/>
        </w:rPr>
        <w:footnoteReference w:id="3596"/>
      </w:r>
      <w:r>
        <w:t xml:space="preserve">一种「把个人和团体的基本权利从属于集体化的生产组织」的制度，违背人的尊严。</w:t>
      </w:r>
      <w:r>
        <w:rPr>
          <w:rStyle w:val="FootnoteReference"/>
        </w:rPr>
        <w:footnoteReference w:id="3597"/>
      </w:r>
      <w:r>
        <w:t xml:space="preserve">任何把人降格为只不过是获利手段的做法，都会奴役人，导致人把金钱当偶像，并助长无神论的蔓延。「你们不能又事奉神，又事奉玛门。」</w:t>
      </w:r>
      <w:r>
        <w:rPr>
          <w:rStyle w:val="FootnoteReference"/>
        </w:rPr>
        <w:footnoteReference w:id="3598"/>
      </w:r>
    </w:p>
    <w:p>
      <w:pPr>
        <w:pStyle w:val="BodyText"/>
      </w:pPr>
      <w:r>
        <w:t xml:space="preserve">教会在现代拒绝了与「共产主义」或「社会主义」相关联的极权主义和无神论意识形态。同样，教会也拒绝在「资本主义」实践中接受个人主义，以及市场规律对人类劳动的绝对优先地位。</w:t>
      </w:r>
      <w:r>
        <w:rPr>
          <w:rStyle w:val="FootnoteReference"/>
        </w:rPr>
        <w:footnoteReference w:id="3599"/>
      </w:r>
      <w:r>
        <w:t xml:space="preserve">只用中央集权的计划来调控经济，会扭曲社会纽带的基础；只靠市场规律来调控经济，则无法达成社会正义，因为「有许多人的需要无法由市场满足」。</w:t>
      </w:r>
      <w:r>
        <w:rPr>
          <w:rStyle w:val="FootnoteReference"/>
        </w:rPr>
        <w:footnoteReference w:id="3600"/>
      </w:r>
      <w:r>
        <w:t xml:space="preserve">按照正当的价值层级、并以公益为目标，对市场与经济主动性作出合理规范，是值得肯定的。</w:t>
      </w:r>
    </w:p>
    <w:bookmarkEnd w:id="3601"/>
    <w:bookmarkStart w:id="3617" w:name="四经济活动与社会正义"/>
    <w:p>
      <w:pPr>
        <w:pStyle w:val="Heading5"/>
      </w:pPr>
      <w:r>
        <w:t xml:space="preserve">四、经济活动与社会正义</w:t>
      </w:r>
    </w:p>
    <w:p>
      <w:pPr>
        <w:pStyle w:val="FirstParagraph"/>
      </w:pPr>
      <w:r>
        <w:t xml:space="preserve">经济活动的发展与生产的增长，是为了满足人的需要。经济生活并不只是为了增加生产的货物、提高利润或权力；它首先是为人服务，为整个人服务，也为整个人类团体服务。经济活动按其固有方法进行时，应在道德秩序的界限内，并按社会正义来实行，好与神对人的计划相符合。</w:t>
      </w:r>
      <w:r>
        <w:rPr>
          <w:rStyle w:val="FootnoteReference"/>
        </w:rPr>
        <w:footnoteReference w:id="3602"/>
      </w:r>
    </w:p>
    <w:p>
      <w:pPr>
        <w:pStyle w:val="BodyText"/>
      </w:pPr>
      <w:r>
        <w:t xml:space="preserve">人的工作直接出自那些按神的形象受造的人；他们蒙召彼此为对方也与对方一起，通过治理大地来延续受造的工程。</w:t>
      </w:r>
      <w:r>
        <w:rPr>
          <w:rStyle w:val="FootnoteReference"/>
        </w:rPr>
        <w:footnoteReference w:id="3603"/>
      </w:r>
      <w:r>
        <w:t xml:space="preserve">因此，工作是一项义务：「若有人不肯作工，就不可吃饭。」</w:t>
      </w:r>
      <w:r>
        <w:rPr>
          <w:rStyle w:val="FootnoteReference"/>
        </w:rPr>
        <w:footnoteReference w:id="3604"/>
      </w:r>
      <w:r>
        <w:t xml:space="preserve">工作尊重造物主的恩赐和从他领受的才能。工作也可以具有救赎的意义。人忍受工作的劳苦</w:t>
      </w:r>
      <w:r>
        <w:rPr>
          <w:rStyle w:val="FootnoteReference"/>
        </w:rPr>
        <w:footnoteReference w:id="3605"/>
      </w:r>
      <w:r>
        <w:t xml:space="preserve">，并与拿撒勒的木匠耶稣、和在各各他被钉十字架的那位结合在一起时，就以某种方式与神子一同参与他的救赎工程。人也借着在自己蒙召完成的工作中天天背起十字架，显示自己是基督的门徒。</w:t>
      </w:r>
      <w:r>
        <w:rPr>
          <w:rStyle w:val="FootnoteReference"/>
        </w:rPr>
        <w:footnoteReference w:id="3606"/>
      </w:r>
      <w:r>
        <w:t xml:space="preserve">工作可以成为成圣的途径，也可以使现世的事物因基督之灵而有生命。</w:t>
      </w:r>
    </w:p>
    <w:p>
      <w:pPr>
        <w:pStyle w:val="BodyText"/>
      </w:pPr>
      <w:r>
        <w:t xml:space="preserve">人在工作中发挥并部分实现铭刻在自己本性中的潜能。劳动的首要价值源自人自己，因为人是劳动的作者，也是受益者。工作是为人而有的，而不是人是为工作而有的。</w:t>
      </w:r>
      <w:r>
        <w:rPr>
          <w:rStyle w:val="FootnoteReference"/>
        </w:rPr>
        <w:footnoteReference w:id="3607"/>
      </w:r>
      <w:r>
        <w:t xml:space="preserve">每个人都应能从工作中获得维持自己和家庭生活的手段，并能服务人类团体。</w:t>
      </w:r>
    </w:p>
    <w:p>
      <w:pPr>
        <w:pStyle w:val="BodyText"/>
      </w:pPr>
      <w:r>
        <w:t xml:space="preserve">每个人都有经济主动性的权利；每个人都应正当地运用自己的才能，为能使所有人受益的富足作贡献，并收获自己劳动的正当成果。他应为了公益，努力遵守合法权威所制定的规章。</w:t>
      </w:r>
      <w:r>
        <w:rPr>
          <w:rStyle w:val="FootnoteReference"/>
        </w:rPr>
        <w:footnoteReference w:id="3608"/>
      </w:r>
    </w:p>
    <w:p>
      <w:pPr>
        <w:pStyle w:val="BodyText"/>
      </w:pPr>
      <w:r>
        <w:t xml:space="preserve">经济生活牵涉不同的利益，而且常常彼此对立。这解释了为什么它会产生那些具特征性的冲突。</w:t>
      </w:r>
      <w:r>
        <w:rPr>
          <w:rStyle w:val="FootnoteReference"/>
        </w:rPr>
        <w:footnoteReference w:id="3609"/>
      </w:r>
      <w:r>
        <w:t xml:space="preserve">应藉着尊重每个社会伙伴权利与义务的谈判来努力减少这些冲突：企业负责人、工薪者代表（例如工会），以及在适当时的公共权威。</w:t>
      </w:r>
    </w:p>
    <w:p>
      <w:pPr>
        <w:pStyle w:val="BodyText"/>
      </w:pPr>
      <w:r>
        <w:t xml:space="preserve">国家的责任。「经济活动，尤其是市场经济的活动，不可能在制度、法律或政治的真空中进行。相反，它预设对个人自由和私有财产的可靠保障，也预设稳定的货币和有效的公共服务。因此，国家的主要任务就是保障这种安全，使劳动和生产的人能够享用自己劳动的成果，从而感到受到鼓励，能有效并诚实地工作……国家的另一项任务，是监督并引导经济领域中人权的行使。然而，在这一领域，首要责任不属于国家，而属于个人，以及构成社会的各种团体和协会。」</w:t>
      </w:r>
      <w:r>
        <w:rPr>
          <w:rStyle w:val="FootnoteReference"/>
        </w:rPr>
        <w:footnoteReference w:id="3610"/>
      </w:r>
    </w:p>
    <w:p>
      <w:pPr>
        <w:pStyle w:val="BodyText"/>
      </w:pPr>
      <w:r>
        <w:t xml:space="preserve">企业负责人要对其经营的经济与生态影响向社会负责。</w:t>
      </w:r>
      <w:r>
        <w:rPr>
          <w:rStyle w:val="FootnoteReference"/>
        </w:rPr>
        <w:footnoteReference w:id="3611"/>
      </w:r>
      <w:r>
        <w:t xml:space="preserve">他们有义务顾及人的益处，而不只是利润的增加。然而，利润也是必要的；利润使能保障企业未来的投资成为可能，也保障就业。</w:t>
      </w:r>
    </w:p>
    <w:p>
      <w:pPr>
        <w:pStyle w:val="BodyText"/>
      </w:pPr>
      <w:r>
        <w:t xml:space="preserve">获得就业与进入各行各业的机会，必须向所有人开放，不得有不公正的歧视：男性和女性，健康者与残障者，本地人和移民。</w:t>
      </w:r>
      <w:r>
        <w:rPr>
          <w:rStyle w:val="FootnoteReference"/>
        </w:rPr>
        <w:footnoteReference w:id="3612"/>
      </w:r>
      <w:r>
        <w:t xml:space="preserve">社会方面也应视情况帮助公民找到工作与职位。</w:t>
      </w:r>
      <w:r>
        <w:rPr>
          <w:rStyle w:val="FootnoteReference"/>
        </w:rPr>
        <w:footnoteReference w:id="3613"/>
      </w:r>
    </w:p>
    <w:p>
      <w:pPr>
        <w:pStyle w:val="BodyText"/>
      </w:pPr>
      <w:r>
        <w:t xml:space="preserve">公正的工资是劳动的正当果实。拒付或扣留工资可能构成严重的不义。</w:t>
      </w:r>
      <w:r>
        <w:rPr>
          <w:rStyle w:val="FootnoteReference"/>
        </w:rPr>
        <w:footnoteReference w:id="3614"/>
      </w:r>
      <w:r>
        <w:t xml:space="preserve">在决定公正的报酬时，必须同时考虑每个人的需要和贡献。「劳动报酬应保障人有机会在物质、社会、文化和灵性层面，为自己和家庭提供符合尊严的生活，同时也要考虑每个人的角色与生产力、企业的状况以及公益。」</w:t>
      </w:r>
      <w:r>
        <w:rPr>
          <w:rStyle w:val="FootnoteReference"/>
        </w:rPr>
        <w:footnoteReference w:id="3615"/>
      </w:r>
      <w:r>
        <w:t xml:space="preserve">仅仅双方达成一致，并不足以在道德上使工资数额正当化。</w:t>
      </w:r>
    </w:p>
    <w:p>
      <w:pPr>
        <w:pStyle w:val="BodyText"/>
      </w:pPr>
      <w:r>
        <w:t xml:space="preserve">在道德上，罢工在无法避免时，或至少在为了取得相称利益而有必要时，是正当的。但若伴随暴力，或提出与工作条件没有直接关联、或违背公益的目标，就在道德上不可接受。</w:t>
      </w:r>
    </w:p>
    <w:p>
      <w:pPr>
        <w:pStyle w:val="BodyText"/>
      </w:pPr>
      <w:r>
        <w:t xml:space="preserve">不缴纳合法权威所要求的社会保险缴款，是不公正的。失业几乎总会伤害受害者的尊严，并威胁其生活的平衡。除了对他个人的伤害之外，也会给他的家庭带来许多风险。</w:t>
      </w:r>
      <w:r>
        <w:rPr>
          <w:rStyle w:val="FootnoteReference"/>
        </w:rPr>
        <w:footnoteReference w:id="3616"/>
      </w:r>
    </w:p>
    <w:bookmarkEnd w:id="3617"/>
    <w:bookmarkStart w:id="3626" w:name="五国家之间的正义与团结"/>
    <w:p>
      <w:pPr>
        <w:pStyle w:val="Heading5"/>
      </w:pPr>
      <w:r>
        <w:t xml:space="preserve">五、国家之间的正义与团结</w:t>
      </w:r>
    </w:p>
    <w:p>
      <w:pPr>
        <w:pStyle w:val="FirstParagraph"/>
      </w:pPr>
      <w:r>
        <w:t xml:space="preserve">在国际层面，资源与经济能力的不平等，会在国家之间造成真实的「鸿沟」。</w:t>
      </w:r>
      <w:r>
        <w:rPr>
          <w:rStyle w:val="FootnoteReference"/>
        </w:rPr>
        <w:footnoteReference w:id="3618"/>
      </w:r>
      <w:r>
        <w:t xml:space="preserve">一方面是拥有并发展增长手段的国家；另一方面是不断累积债务的国家。</w:t>
      </w:r>
    </w:p>
    <w:p>
      <w:pPr>
        <w:pStyle w:val="BodyText"/>
      </w:pPr>
      <w:r>
        <w:t xml:space="preserve">今天有各种宗教、政治、经济和金融方面的原因，使「社会问题具有全球性的幅度」。</w:t>
      </w:r>
      <w:r>
        <w:rPr>
          <w:rStyle w:val="FootnoteReference"/>
        </w:rPr>
        <w:footnoteReference w:id="3619"/>
      </w:r>
      <w:r>
        <w:t xml:space="preserve">在政治上已彼此依存的国家之间，必须有团结互助。当问题涉及拆除那些阻碍较不发达国家发展的「扭曲机制」时，这种团结就更为必要。</w:t>
      </w:r>
      <w:r>
        <w:rPr>
          <w:rStyle w:val="FootnoteReference"/>
        </w:rPr>
        <w:footnoteReference w:id="3620"/>
      </w:r>
      <w:r>
        <w:t xml:space="preserve">应以共同努力动员资源，来取代滥用甚至高利贷式的金融体系、不公正的国际商业关系以及军备竞赛；共同努力的目标应指向道德、文化与经济发展的目标，并「重新界定优先次序和价值层级」。</w:t>
      </w:r>
      <w:r>
        <w:rPr>
          <w:rStyle w:val="FootnoteReference"/>
        </w:rPr>
        <w:footnoteReference w:id="3621"/>
      </w:r>
    </w:p>
    <w:p>
      <w:pPr>
        <w:pStyle w:val="BodyText"/>
      </w:pPr>
      <w:r>
        <w:t xml:space="preserve">富裕国家对那些无法靠自己确保发展手段的国家，或因悲惨的历史事件而被阻止发展之国家，负有重大的道德责任。这是团结互助与仁爱的责任；如果富裕国家的繁荣来自那些未被公平支付代价的资源，这也是正义上的义务。</w:t>
      </w:r>
    </w:p>
    <w:p>
      <w:pPr>
        <w:pStyle w:val="BodyText"/>
      </w:pPr>
      <w:r>
        <w:t xml:space="preserve">直接援助是对自然灾害、流行病等造成的紧急、特殊需要的适当回应。但它不足以修复贫困造成的严重伤害，也不足以为一个国家的需要提供持久的解决方案。还必须改革国际经济与金融机构，使它们能更好地促进与较不发达国家之间的公平关系。</w:t>
      </w:r>
      <w:r>
        <w:rPr>
          <w:rStyle w:val="FootnoteReference"/>
        </w:rPr>
        <w:footnoteReference w:id="3622"/>
      </w:r>
      <w:r>
        <w:t xml:space="preserve">也必须支持贫穷国家为增长与解放所作的努力。</w:t>
      </w:r>
      <w:r>
        <w:rPr>
          <w:rStyle w:val="FootnoteReference"/>
        </w:rPr>
        <w:footnoteReference w:id="3623"/>
      </w:r>
      <w:r>
        <w:t xml:space="preserve">这教义尤其应运用于农业劳动领域。农民，特别是在第三世界，占穷人的绝大多数。</w:t>
      </w:r>
    </w:p>
    <w:p>
      <w:pPr>
        <w:pStyle w:val="BodyText"/>
      </w:pPr>
      <w:r>
        <w:t xml:space="preserve">对神意识的增强，以及自我意识的增强，是人类社会任何完整发展所必需的基础。这种发展增加物质财富，并使这些财富为人及其自由服务；它减少极端贫困与经济剥削；它促进对文化身份的尊重，并对超越性保持开放。</w:t>
      </w:r>
      <w:r>
        <w:rPr>
          <w:rStyle w:val="FootnoteReference"/>
        </w:rPr>
        <w:footnoteReference w:id="3624"/>
      </w:r>
    </w:p>
    <w:p>
      <w:pPr>
        <w:pStyle w:val="BodyText"/>
      </w:pPr>
      <w:r>
        <w:t xml:space="preserve">教会的牧者不应直接介入社会生活的政治结构与组织。这任务属于平信徒的呼召；他们以自己的主动性，与同胞一起行动。社会行动可以采取多种具体形式。它必须始终以公益为目标，并符合福音的信息和教会的训导。平信徒的角色是「以基督徒的投入，使现世的事务有生命；藉此他们表明自己是和平与正义的见证者和推动者」。</w:t>
      </w:r>
      <w:r>
        <w:rPr>
          <w:rStyle w:val="FootnoteReference"/>
        </w:rPr>
        <w:footnoteReference w:id="3625"/>
      </w:r>
    </w:p>
    <w:bookmarkEnd w:id="3626"/>
    <w:bookmarkStart w:id="3648" w:name="六爱穷人"/>
    <w:p>
      <w:pPr>
        <w:pStyle w:val="Heading5"/>
      </w:pPr>
      <w:r>
        <w:t xml:space="preserve">六、爱穷人</w:t>
      </w:r>
    </w:p>
    <w:p>
      <w:pPr>
        <w:pStyle w:val="FirstParagraph"/>
      </w:pPr>
      <w:r>
        <w:t xml:space="preserve">神祝福那些帮助穷人的人，也责备那些转离穷人的人：「有求你的，就给他；有向你借贷的，不可推辞」；「你们白白地得来，也要白白地舍去。」</w:t>
      </w:r>
      <w:r>
        <w:rPr>
          <w:rStyle w:val="FootnoteReference"/>
        </w:rPr>
        <w:footnoteReference w:id="3627"/>
      </w:r>
      <w:r>
        <w:t xml:space="preserve">耶稣基督将凭他们对穷人所做的事来认出他的拣选者。</w:t>
      </w:r>
      <w:r>
        <w:rPr>
          <w:rStyle w:val="FootnoteReference"/>
        </w:rPr>
        <w:footnoteReference w:id="3628"/>
      </w:r>
      <w:r>
        <w:t xml:space="preserve">当「穷人有福音传给他们」时，这是基督临在的记号。</w:t>
      </w:r>
      <w:r>
        <w:rPr>
          <w:rStyle w:val="FootnoteReference"/>
        </w:rPr>
        <w:footnoteReference w:id="3629"/>
      </w:r>
    </w:p>
    <w:p>
      <w:pPr>
        <w:pStyle w:val="BodyText"/>
      </w:pPr>
      <w:r>
        <w:t xml:space="preserve">「教会对穷人的爱……是她恒常圣传的一部分。」这爱受八福的福音、耶稣的贫穷以及他对穷人的关切所激发。</w:t>
      </w:r>
      <w:r>
        <w:rPr>
          <w:rStyle w:val="FootnoteReference"/>
        </w:rPr>
        <w:footnoteReference w:id="3630"/>
      </w:r>
      <w:r>
        <w:t xml:space="preserve">对穷人的爱，甚至也是人必须工作的动机之一，为的是「可以分给那缺少的人」。</w:t>
      </w:r>
      <w:r>
        <w:rPr>
          <w:rStyle w:val="FootnoteReference"/>
        </w:rPr>
        <w:footnoteReference w:id="3631"/>
      </w:r>
      <w:r>
        <w:t xml:space="preserve">它不只延伸到物质上的贫穷，也延伸到文化和宗教上贫穷的多种形式。</w:t>
      </w:r>
      <w:r>
        <w:rPr>
          <w:rStyle w:val="FootnoteReference"/>
        </w:rPr>
        <w:footnoteReference w:id="3632"/>
      </w:r>
    </w:p>
    <w:p>
      <w:pPr>
        <w:pStyle w:val="BodyText"/>
      </w:pPr>
      <w:r>
        <w:t xml:space="preserve">爱穷人，与对财富的无节制之爱或自私使用财富，是不相容的：</w:t>
      </w:r>
    </w:p>
    <w:p>
      <w:pPr>
        <w:pStyle w:val="BlockText"/>
      </w:pPr>
      <w:r>
        <w:t xml:space="preserve">嗐！你们这些富足人哪，应当哭泣、号咷，因为将有苦难临到你们身上。你们的财物坏了，衣服也被虫子咬了。你们的金银都长了锈；那锈要证明你们的不是，又要吃你们的肉，如同火烧。你们在这末世只知积攒钱财。工人给你们收割庄稼，你们亏欠他们的工钱，这工钱有声音呼叫；并且那收割之人的冤声已经入了万军之主的耳了。你们在世上享美福，好宴乐，当宰杀的日子竟娇养你们的心。你们定了义人的罪，把他杀害，他也不抵挡你们。</w:t>
      </w:r>
      <w:r>
        <w:rPr>
          <w:rStyle w:val="FootnoteReference"/>
        </w:rPr>
        <w:footnoteReference w:id="3633"/>
      </w:r>
    </w:p>
    <w:p>
      <w:pPr>
        <w:pStyle w:val="FirstParagraph"/>
      </w:pPr>
      <w:r>
        <w:t xml:space="preserve">圣约翰·屈梭多模强而有力地提醒我们：「不让穷人分享我们的财物，就是偷窃他们，并夺去他们的生命。我们所拥有的财物不是我们的，而是他们的。」</w:t>
      </w:r>
      <w:r>
        <w:rPr>
          <w:rStyle w:val="FootnoteReference"/>
        </w:rPr>
        <w:footnoteReference w:id="3634"/>
      </w:r>
      <w:r>
        <w:t xml:space="preserve">「必须首先满足正义的要求；凡在正义上已经应当给的，不应当当作仁爱的施舍来奉献」：</w:t>
      </w:r>
      <w:r>
        <w:rPr>
          <w:rStyle w:val="FootnoteReference"/>
        </w:rPr>
        <w:footnoteReference w:id="3635"/>
      </w:r>
    </w:p>
    <w:p>
      <w:pPr>
        <w:pStyle w:val="BlockText"/>
      </w:pPr>
      <w:r>
        <w:t xml:space="preserve">当我们照顾贫乏者的需要时，我们给他们的是他们自己的，不是我们的。我们不只是做仁慈的善工，更是在偿还正义的债。</w:t>
      </w:r>
      <w:r>
        <w:rPr>
          <w:rStyle w:val="FootnoteReference"/>
        </w:rPr>
        <w:footnoteReference w:id="3636"/>
      </w:r>
    </w:p>
    <w:p>
      <w:pPr>
        <w:pStyle w:val="FirstParagraph"/>
      </w:pPr>
      <w:r>
        <w:t xml:space="preserve">仁慈的善工是出于仁爱的行动，藉此我们在邻人的灵性和身体需要上帮助他。</w:t>
      </w:r>
      <w:r>
        <w:rPr>
          <w:rStyle w:val="FootnoteReference"/>
        </w:rPr>
        <w:footnoteReference w:id="3637"/>
      </w:r>
      <w:r>
        <w:t xml:space="preserve">教导、劝告、安慰和鼓励，都是灵性方面的仁慈善工；宽恕并耐心忍受不义也是。身体方面的仁慈善工，尤其包括喂饱饥饿的人、收容无家可归的人、给赤身露体的人穿衣、探望病人和被囚的人，以及埋葬亡者。</w:t>
      </w:r>
      <w:r>
        <w:rPr>
          <w:rStyle w:val="FootnoteReference"/>
        </w:rPr>
        <w:footnoteReference w:id="3638"/>
      </w:r>
      <w:r>
        <w:t xml:space="preserve">在这一切之中，向穷人施舍是兄弟般仁爱的主要见证之一；这也是一项使神喜悦的正义之工：</w:t>
      </w:r>
      <w:r>
        <w:rPr>
          <w:rStyle w:val="FootnoteReference"/>
        </w:rPr>
        <w:footnoteReference w:id="3639"/>
      </w:r>
    </w:p>
    <w:p>
      <w:pPr>
        <w:pStyle w:val="BlockText"/>
      </w:pPr>
      <w:r>
        <w:t xml:space="preserve">「有两件衣裳的，就分给那没有的；有食物的，也当这样行。」</w:t>
      </w:r>
      <w:r>
        <w:rPr>
          <w:rStyle w:val="FootnoteReference"/>
        </w:rPr>
        <w:footnoteReference w:id="3640"/>
      </w:r>
      <w:r>
        <w:t xml:space="preserve">「只要把里面的施舍给人，凡物于你们就都洁净了。」</w:t>
      </w:r>
      <w:r>
        <w:rPr>
          <w:rStyle w:val="FootnoteReference"/>
        </w:rPr>
        <w:footnoteReference w:id="3641"/>
      </w:r>
      <w:r>
        <w:t xml:space="preserve">「若是弟兄或是姊妹，赤身露体，又缺了日用的饮食；你们中间有人对他们说：平平安安地去吧！愿你们穿得暖，吃得饱；却不给他们身体所需用的，这有什么益处呢？」</w:t>
      </w:r>
      <w:r>
        <w:rPr>
          <w:rStyle w:val="FootnoteReference"/>
        </w:rPr>
        <w:footnoteReference w:id="3642"/>
      </w:r>
    </w:p>
    <w:p>
      <w:pPr>
        <w:pStyle w:val="FirstParagraph"/>
      </w:pPr>
      <w:r>
        <w:t xml:space="preserve">「人类的不幸——无论是物质的匮乏、不公正的压迫、身体与心理的疾病以及死亡——显然表明人因原罪而继承的软弱处境，也表明人处在需要救恩的状态中。这不幸引发了救主基督的怜悯；他甘愿把这不幸担在自己身上，并使自己与他最小的弟兄认同。因此，那些被贫穷压迫的人，是教会优先之爱的对象；教会自起初以来，尽管许多成员有过失，却从未停止通过无数仁爱善工来救济、保护并解放他们；这些善工无论何时何地都始终不可或缺。」</w:t>
      </w:r>
      <w:r>
        <w:rPr>
          <w:rStyle w:val="FootnoteReference"/>
        </w:rPr>
        <w:footnoteReference w:id="3643"/>
      </w:r>
    </w:p>
    <w:p>
      <w:pPr>
        <w:pStyle w:val="BodyText"/>
      </w:pPr>
      <w:r>
        <w:t xml:space="preserve">从旧约开始，各种法律措施（赦免债务的禧年、禁止收取利息的贷款和扣留抵押品、纳什一的义务、每日支付短工工钱、在葡萄园和田里拾取遗落之物的权利）都回应申命记的劝勉：「原来那地上的穷人永不断绝，所以我吩咐你说：总要向你地上困苦穷乏的弟兄松开手。」</w:t>
      </w:r>
      <w:r>
        <w:rPr>
          <w:rStyle w:val="FootnoteReference"/>
        </w:rPr>
        <w:footnoteReference w:id="3644"/>
      </w:r>
      <w:r>
        <w:t xml:space="preserve">耶稣也把这句话当作自己的话：「因为常有穷人和你们同在，只是你们不常有我。」</w:t>
      </w:r>
      <w:r>
        <w:rPr>
          <w:rStyle w:val="FootnoteReference"/>
        </w:rPr>
        <w:footnoteReference w:id="3645"/>
      </w:r>
      <w:r>
        <w:t xml:space="preserve">他这样做，并不是减弱先前预言对「好用银子买贫寒人，用一双鞋换穷乏人……」的强烈谴责，而是邀请我们在穷人——也就是他的弟兄——身上认出他自己的临在：</w:t>
      </w:r>
      <w:r>
        <w:rPr>
          <w:rStyle w:val="FootnoteReference"/>
        </w:rPr>
        <w:footnoteReference w:id="3646"/>
      </w:r>
    </w:p>
    <w:p>
      <w:pPr>
        <w:pStyle w:val="BlockText"/>
      </w:pPr>
      <w:r>
        <w:t xml:space="preserve">当她的母亲责备她把穷人和病人带回家照顾时，圣利马的罗莎对母亲说：「我们服事穷人和病人，就是在服事耶稣。我们不可不帮助邻人，因为我们在他们身上服事耶稣。」</w:t>
      </w:r>
      <w:r>
        <w:rPr>
          <w:rStyle w:val="FootnoteReference"/>
        </w:rPr>
        <w:footnoteReference w:id="3647"/>
      </w:r>
    </w:p>
    <w:bookmarkEnd w:id="3648"/>
    <w:bookmarkEnd w:id="3649"/>
    <w:bookmarkStart w:id="3651" w:name="综述-62"/>
    <w:p>
      <w:pPr>
        <w:pStyle w:val="Heading4"/>
      </w:pPr>
      <w:r>
        <w:t xml:space="preserve">综述</w:t>
      </w:r>
    </w:p>
    <w:p>
      <w:pPr>
        <w:pStyle w:val="FirstParagraph"/>
      </w:pPr>
      <w:r>
        <w:t xml:space="preserve">「不可偷盗」（出 20:15；申 5:19）。「偷窃的、贪婪的、醉酒的、辱骂的、勒索的，都不能承受神的国」（林前 6:10）。</w:t>
      </w:r>
    </w:p>
    <w:p>
      <w:pPr>
        <w:pStyle w:val="BodyText"/>
      </w:pPr>
      <w:r>
        <w:t xml:space="preserve">第七诫要求人在管理地上的财物和人的劳动成果时实践正义与仁爱。</w:t>
      </w:r>
    </w:p>
    <w:p>
      <w:pPr>
        <w:pStyle w:val="BodyText"/>
      </w:pPr>
      <w:r>
        <w:t xml:space="preserve">受造界的财物归向整个人类。私有财产权并不废除财物的普遍归向。</w:t>
      </w:r>
    </w:p>
    <w:p>
      <w:pPr>
        <w:pStyle w:val="BodyText"/>
      </w:pPr>
      <w:r>
        <w:t xml:space="preserve">第七诫禁止偷盗。偷盗就是违背所有者合理意愿而侵占别人的财物。</w:t>
      </w:r>
    </w:p>
    <w:p>
      <w:pPr>
        <w:pStyle w:val="BodyText"/>
      </w:pPr>
      <w:r>
        <w:t xml:space="preserve">任何不义地取用并使用他人财物的方式，都违背第七诫。所犯的不义要求补偿。交换正义要求归还偷来的财物。</w:t>
      </w:r>
    </w:p>
    <w:p>
      <w:pPr>
        <w:pStyle w:val="BodyText"/>
      </w:pPr>
      <w:r>
        <w:t xml:space="preserve">道德律禁止那些出于商业或极权主义目的，导致奴役人类，或使人像商品一样被买卖或交换的行为。</w:t>
      </w:r>
    </w:p>
    <w:p>
      <w:pPr>
        <w:pStyle w:val="BodyText"/>
      </w:pPr>
      <w:r>
        <w:t xml:space="preserve">造物主所赋予人对宇宙中矿物、植物和动物资源的管理权，不能与对道德义务的尊重分开，包括对后代的义务。</w:t>
      </w:r>
    </w:p>
    <w:p>
      <w:pPr>
        <w:pStyle w:val="BodyText"/>
      </w:pPr>
      <w:r>
        <w:t xml:space="preserve">动物托付给人来管理；人必须善待它们。人可以使用动物来正当地满足人的需要。</w:t>
      </w:r>
    </w:p>
    <w:p>
      <w:pPr>
        <w:pStyle w:val="BodyText"/>
      </w:pPr>
      <w:r>
        <w:t xml:space="preserve">当人的基本权利或灵魂得救需要时，教会就会对经济与社会事务作出判断。教会关心人在现世的公益，因为这一切都指向至高的善，也就是人的终向。</w:t>
      </w:r>
    </w:p>
    <w:p>
      <w:pPr>
        <w:pStyle w:val="BodyText"/>
      </w:pPr>
      <w:r>
        <w:t xml:space="preserve">人本身是全部经济与社会生活的作者、中心和目标。社会问题的关键点在于：神为众人所造的财物，实际上应按正义，并在仁爱的帮助下，真正到达每一个人。</w:t>
      </w:r>
    </w:p>
    <w:p>
      <w:pPr>
        <w:pStyle w:val="BodyText"/>
      </w:pPr>
      <w:r>
        <w:t xml:space="preserve">劳动的首要价值源自人自己，因为人是劳动的作者，也是受益者。人借着劳动参与受造的工程。与基督结合的工作可以具有救赎的意义。</w:t>
      </w:r>
    </w:p>
    <w:p>
      <w:pPr>
        <w:pStyle w:val="BodyText"/>
      </w:pPr>
      <w:r>
        <w:t xml:space="preserve">真正的发展关乎整个人。它关心的是提升每个人回应自己圣召的能力，因此也就是回应神的呼召。</w:t>
      </w:r>
      <w:r>
        <w:rPr>
          <w:rStyle w:val="FootnoteReference"/>
        </w:rPr>
        <w:footnoteReference w:id="3650"/>
      </w:r>
    </w:p>
    <w:p>
      <w:pPr>
        <w:pStyle w:val="BodyText"/>
      </w:pPr>
      <w:r>
        <w:t xml:space="preserve">向穷人施舍是兄弟般仁爱的见证；这也是一项使神喜悦的正义之工。</w:t>
      </w:r>
    </w:p>
    <w:p>
      <w:pPr>
        <w:pStyle w:val="BodyText"/>
      </w:pPr>
      <w:r>
        <w:t xml:space="preserve">我们怎能不在那比喻中饥饿的讨饭者拉撒路（参路 16:19-31），看见那无数缺少食物、缺少屋顶、缺少栖身之处的人呢？我们怎能听不见耶稣说：「这些事你们既不做在我这弟兄中一个最小的身上，就是不做在我身上了」（太 25:45）呢？</w:t>
      </w:r>
    </w:p>
    <w:p>
      <w:r>
        <w:br w:type="page"/>
      </w:r>
    </w:p>
    <w:bookmarkEnd w:id="3651"/>
    <w:bookmarkStart w:id="3704" w:name="第八条第八诫"/>
    <w:p>
      <w:pPr>
        <w:pStyle w:val="Heading4"/>
      </w:pPr>
      <w:r>
        <w:t xml:space="preserve">第八条：第八诫</w:t>
      </w:r>
    </w:p>
    <w:p>
      <w:pPr>
        <w:pStyle w:val="BlockText"/>
      </w:pPr>
      <w:r>
        <w:t xml:space="preserve">不可作假见证陷害人。</w:t>
      </w:r>
      <w:r>
        <w:rPr>
          <w:rStyle w:val="FootnoteReference"/>
        </w:rPr>
        <w:footnoteReference w:id="3652"/>
      </w:r>
    </w:p>
    <w:p>
      <w:pPr>
        <w:pStyle w:val="BlockText"/>
      </w:pPr>
      <w:r>
        <w:t xml:space="preserve">「你们又听见有吩咐古人的话，说：『不可背誓，所起的誓总要向主谨守。』」</w:t>
      </w:r>
      <w:r>
        <w:rPr>
          <w:rStyle w:val="FootnoteReference"/>
        </w:rPr>
        <w:footnoteReference w:id="3653"/>
      </w:r>
    </w:p>
    <w:p>
      <w:pPr>
        <w:pStyle w:val="FirstParagraph"/>
      </w:pPr>
      <w:r>
        <w:t xml:space="preserve">第八诫禁止我们在与他人的关系中歪曲真理。这条道德诫命源自圣洁子民的圣召：他们要为自己的神作见证，因为他就是真理，也愿意人行真理。以言语或行动冒犯真理，就是对神的根本不忠；从这个意义上说，它们动摇了约的根基。</w:t>
      </w:r>
    </w:p>
    <w:bookmarkStart w:id="3665" w:name="一在真理中生活"/>
    <w:p>
      <w:pPr>
        <w:pStyle w:val="Heading5"/>
      </w:pPr>
      <w:r>
        <w:t xml:space="preserve">一、在真理中生活</w:t>
      </w:r>
    </w:p>
    <w:p>
      <w:pPr>
        <w:pStyle w:val="FirstParagraph"/>
      </w:pPr>
      <w:r>
        <w:t xml:space="preserve">旧约见证神是一切真理的源头。他的道就是真理。他的律法也是真理。他的「信实存到万代」。</w:t>
      </w:r>
      <w:r>
        <w:rPr>
          <w:rStyle w:val="FootnoteReference"/>
        </w:rPr>
        <w:footnoteReference w:id="3654"/>
      </w:r>
      <w:r>
        <w:t xml:space="preserve">既然神是「真实的」，他的子民就蒙召活在真理中。</w:t>
      </w:r>
      <w:r>
        <w:rPr>
          <w:rStyle w:val="FootnoteReference"/>
        </w:rPr>
        <w:footnoteReference w:id="3655"/>
      </w:r>
    </w:p>
    <w:p>
      <w:pPr>
        <w:pStyle w:val="BodyText"/>
      </w:pPr>
      <w:r>
        <w:t xml:space="preserve">在耶稣基督里，神全部的真理都彰显出来。他「充充满满地有恩典有真理」，以「我是世界的光」而来；他就是真理。</w:t>
      </w:r>
      <w:r>
        <w:rPr>
          <w:rStyle w:val="FootnoteReference"/>
        </w:rPr>
        <w:footnoteReference w:id="3656"/>
      </w:r>
      <w:r>
        <w:t xml:space="preserve">「我到世上来，乃是光，叫凡信我的，不住在黑暗里。」</w:t>
      </w:r>
      <w:r>
        <w:rPr>
          <w:rStyle w:val="FootnoteReference"/>
        </w:rPr>
        <w:footnoteReference w:id="3657"/>
      </w:r>
      <w:r>
        <w:t xml:space="preserve">耶稣的门徒在他的道中持守，好认识「真理必叫你们得以自由」的真理，也就是那使人成圣的真理。</w:t>
      </w:r>
      <w:r>
        <w:rPr>
          <w:rStyle w:val="FootnoteReference"/>
        </w:rPr>
        <w:footnoteReference w:id="3658"/>
      </w:r>
      <w:r>
        <w:t xml:space="preserve">跟随耶稣，就是活在「真理的圣灵」里，这圣灵由父奉他的名差来，并「引导你们明白一切的真理」。</w:t>
      </w:r>
      <w:r>
        <w:rPr>
          <w:rStyle w:val="FootnoteReference"/>
        </w:rPr>
        <w:footnoteReference w:id="3659"/>
      </w:r>
      <w:r>
        <w:t xml:space="preserve">耶稣教导他的门徒要无条件地爱真理：「是，就说是；不是，就说不是。」</w:t>
      </w:r>
      <w:r>
        <w:rPr>
          <w:rStyle w:val="FootnoteReference"/>
        </w:rPr>
        <w:footnoteReference w:id="3660"/>
      </w:r>
    </w:p>
    <w:p>
      <w:pPr>
        <w:pStyle w:val="BodyText"/>
      </w:pPr>
      <w:r>
        <w:t xml:space="preserve">人按本性趋向真理。他有义务尊重并为真理作见证：「所有人都应按照自己的尊严去行，因为他们是有位格的人……他们既受本性推动，也受道德义务约束，必须寻求真理，尤其是宗教真理。他们也必须在认识真理之后依附真理，并按真理的要求安排自己的全部生活。」</w:t>
      </w:r>
      <w:r>
        <w:rPr>
          <w:rStyle w:val="FootnoteReference"/>
        </w:rPr>
        <w:footnoteReference w:id="3661"/>
      </w:r>
    </w:p>
    <w:p>
      <w:pPr>
        <w:pStyle w:val="BodyText"/>
      </w:pPr>
      <w:r>
        <w:t xml:space="preserve">真理作为人在行动与言语上的正直，被称为诚实、真诚或坦率。诚实是真德行：在行动上显出真实，在言语上说出真话，并防备两面、掩饰和虚伪。</w:t>
      </w:r>
    </w:p>
    <w:p>
      <w:pPr>
        <w:pStyle w:val="BodyText"/>
      </w:pPr>
      <w:r>
        <w:t xml:space="preserve">「人若彼此之间没有互信，相信对方对自己说的是真话，就无法彼此共同生活。」</w:t>
      </w:r>
      <w:r>
        <w:rPr>
          <w:rStyle w:val="FootnoteReference"/>
        </w:rPr>
        <w:footnoteReference w:id="3662"/>
      </w:r>
      <w:r>
        <w:t xml:space="preserve">真理的德行把正当应给别人的归给别人。诚实在「该说的」与「该保守的」之间守住正当的中道；它包含正直和谨慎。在正义上，「出于尊重，一个人欠另一个人应当显明真理」。</w:t>
      </w:r>
      <w:r>
        <w:rPr>
          <w:rStyle w:val="FootnoteReference"/>
        </w:rPr>
        <w:footnoteReference w:id="3663"/>
      </w:r>
    </w:p>
    <w:p>
      <w:pPr>
        <w:pStyle w:val="BodyText"/>
      </w:pPr>
      <w:r>
        <w:t xml:space="preserve">基督的门徒同意「活在真理中」，也就是以与主的榜样相符合的朴实生活来生活，住在他的真理里。「我们若说是与神相交，却仍在黑暗里行，就是说谎话，不行真理了。」</w:t>
      </w:r>
      <w:r>
        <w:rPr>
          <w:rStyle w:val="FootnoteReference"/>
        </w:rPr>
        <w:footnoteReference w:id="3664"/>
      </w:r>
    </w:p>
    <w:bookmarkEnd w:id="3665"/>
    <w:bookmarkStart w:id="3674" w:name="二为真理作见证"/>
    <w:p>
      <w:pPr>
        <w:pStyle w:val="Heading5"/>
      </w:pPr>
      <w:r>
        <w:t xml:space="preserve">二、为真理作见证</w:t>
      </w:r>
    </w:p>
    <w:p>
      <w:pPr>
        <w:pStyle w:val="FirstParagraph"/>
      </w:pPr>
      <w:r>
        <w:t xml:space="preserve">在彼拉多面前，基督宣告他「特为给真理作见证」来到世上。</w:t>
      </w:r>
      <w:r>
        <w:rPr>
          <w:rStyle w:val="FootnoteReference"/>
        </w:rPr>
        <w:footnoteReference w:id="3666"/>
      </w:r>
      <w:r>
        <w:t xml:space="preserve">基督徒「不要以给我们的主作见证为耻」。</w:t>
      </w:r>
      <w:r>
        <w:rPr>
          <w:rStyle w:val="FootnoteReference"/>
        </w:rPr>
        <w:footnoteReference w:id="3667"/>
      </w:r>
      <w:r>
        <w:t xml:space="preserve">在需要为信仰作见证的处境中，基督徒必须毫不含糊地宣认信仰，效法圣保罗在审判者面前的榜样。他必须「对神、对人常存无亏的良心」。</w:t>
      </w:r>
      <w:r>
        <w:rPr>
          <w:rStyle w:val="FootnoteReference"/>
        </w:rPr>
        <w:footnoteReference w:id="3668"/>
      </w:r>
    </w:p>
    <w:p>
      <w:pPr>
        <w:pStyle w:val="BodyText"/>
      </w:pPr>
      <w:r>
        <w:t xml:space="preserve">基督徒参与教会生活的责任，推动他们成为福音以及由福音而来的义务的见证人。这见证是以言语与行动传递信仰。见证是一种正义的行动，它确立真理或使真理被人知道。</w:t>
      </w:r>
      <w:r>
        <w:rPr>
          <w:rStyle w:val="FootnoteReference"/>
        </w:rPr>
        <w:footnoteReference w:id="3669"/>
      </w:r>
    </w:p>
    <w:p>
      <w:pPr>
        <w:pStyle w:val="BlockText"/>
      </w:pPr>
      <w:r>
        <w:t xml:space="preserve">「所有基督徒无论住在哪里，都有义务以自己生活的榜样和言语的见证，彰显他们在洗礼中所穿上的新人，并显明他们在坚振中所受圣灵能力的坚固。」</w:t>
      </w:r>
      <w:r>
        <w:rPr>
          <w:rStyle w:val="FootnoteReference"/>
        </w:rPr>
        <w:footnoteReference w:id="3670"/>
      </w:r>
    </w:p>
    <w:p>
      <w:pPr>
        <w:pStyle w:val="FirstParagraph"/>
      </w:pPr>
      <w:r>
        <w:t xml:space="preserve">殉道是为信仰真理所作的最高见证：它意味着见证直到死亡。殉道者为那位死而复活的基督作见证；他以爱与基督结合。他为信仰的真理和基督徒教义的真理作见证。他以刚毅的行动忍受死亡。「让我成为野兽的食物吧，借着它们，我得以到达神那里。」</w:t>
      </w:r>
      <w:r>
        <w:rPr>
          <w:rStyle w:val="FootnoteReference"/>
        </w:rPr>
        <w:footnoteReference w:id="3671"/>
      </w:r>
    </w:p>
    <w:p>
      <w:pPr>
        <w:pStyle w:val="BodyText"/>
      </w:pPr>
      <w:r>
        <w:t xml:space="preserve">教会辛勤地收集了那些为信仰作见证并坚持到底之人的记录。这些就是《殉道者行传》。它们构成以血写成的真理档案：</w:t>
      </w:r>
    </w:p>
    <w:p>
      <w:pPr>
        <w:pStyle w:val="BlockText"/>
      </w:pPr>
      <w:r>
        <w:t xml:space="preserve">「这世界的享乐或今世的国度，对我都毫无用处。我宁愿死［为与基督耶稣结合］，也不愿统治地极。我寻求那位为我们而死的；我渴望那位为我们而复活的。我的生产期近了……」</w:t>
      </w:r>
      <w:r>
        <w:rPr>
          <w:rStyle w:val="FootnoteReference"/>
        </w:rPr>
        <w:footnoteReference w:id="3672"/>
      </w:r>
    </w:p>
    <w:p>
      <w:pPr>
        <w:pStyle w:val="BlockText"/>
      </w:pPr>
      <w:r>
        <w:t xml:space="preserve">「我称颂你，因为你判我从今天这一时起配被列在你的殉道者中……你信实而真实的神啊，你守了你的许诺。为此，也为一切事，我赞美你，我称颂你，我藉着那永恒而属天的大祭司耶稣基督——你所爱的子——光荣你。借着他，愿荣耀归于你，愿荣耀归于你，并归于圣灵，从今直到世世代代。阿们。」</w:t>
      </w:r>
      <w:r>
        <w:rPr>
          <w:rStyle w:val="FootnoteReference"/>
        </w:rPr>
        <w:footnoteReference w:id="3673"/>
      </w:r>
    </w:p>
    <w:bookmarkEnd w:id="3674"/>
    <w:bookmarkStart w:id="3684" w:name="三冒犯真理的罪"/>
    <w:p>
      <w:pPr>
        <w:pStyle w:val="Heading5"/>
      </w:pPr>
      <w:r>
        <w:t xml:space="preserve">三、冒犯真理的罪</w:t>
      </w:r>
    </w:p>
    <w:p>
      <w:pPr>
        <w:pStyle w:val="FirstParagraph"/>
      </w:pPr>
      <w:r>
        <w:t xml:space="preserve">基督的门徒已经「穿上新人；这新人是照着神的形象造的，有真理的仁义和圣洁。」</w:t>
      </w:r>
      <w:r>
        <w:rPr>
          <w:rStyle w:val="FootnoteReference"/>
        </w:rPr>
        <w:footnoteReference w:id="3675"/>
      </w:r>
      <w:r>
        <w:t xml:space="preserve">他们要「弃绝谎言」，并且「所以，你们既除去一切的恶毒、诡诈，并假善、嫉妒和一切毁谤的话」。</w:t>
      </w:r>
      <w:r>
        <w:rPr>
          <w:rStyle w:val="FootnoteReference"/>
        </w:rPr>
        <w:footnoteReference w:id="3676"/>
      </w:r>
    </w:p>
    <w:p>
      <w:pPr>
        <w:pStyle w:val="BodyText"/>
      </w:pPr>
      <w:r>
        <w:t xml:space="preserve">作假见证与伪誓。当在公开场合作出与真理相反的陈述时，就具有特别严重的性质。在法庭上，这就成了假见证。</w:t>
      </w:r>
      <w:r>
        <w:rPr>
          <w:rStyle w:val="FootnoteReference"/>
        </w:rPr>
        <w:footnoteReference w:id="3677"/>
      </w:r>
      <w:r>
        <w:t xml:space="preserve">若是在誓言之下，就是伪誓。这样的行为会导致无辜者被定罪、有罪者被开脱，或被告被加重惩罚。</w:t>
      </w:r>
      <w:r>
        <w:rPr>
          <w:rStyle w:val="FootnoteReference"/>
        </w:rPr>
        <w:footnoteReference w:id="3678"/>
      </w:r>
      <w:r>
        <w:t xml:space="preserve">它们严重损害正义的实行，以及司法裁决的公正。</w:t>
      </w:r>
    </w:p>
    <w:p>
      <w:pPr>
        <w:pStyle w:val="BodyText"/>
      </w:pPr>
      <w:r>
        <w:t xml:space="preserve">尊重人的名誉，禁止一切可能对人造成不公正伤害的态度与言语。</w:t>
      </w:r>
      <w:r>
        <w:rPr>
          <w:rStyle w:val="FootnoteReference"/>
        </w:rPr>
        <w:footnoteReference w:id="3679"/>
      </w:r>
      <w:r>
        <w:t xml:space="preserve">以下的人因此有罪：</w:t>
      </w:r>
    </w:p>
    <w:p>
      <w:pPr>
        <w:pStyle w:val="Compact"/>
        <w:numPr>
          <w:ilvl w:val="0"/>
          <w:numId w:val="1028"/>
        </w:numPr>
      </w:pPr>
      <w:r>
        <w:t xml:space="preserve">轻率判断的人：即使只是默默地，也在没有充分根据的情况下，就把邻人的道德过失当作真实；</w:t>
      </w:r>
    </w:p>
    <w:p>
      <w:pPr>
        <w:pStyle w:val="Compact"/>
        <w:numPr>
          <w:ilvl w:val="0"/>
          <w:numId w:val="1028"/>
        </w:numPr>
      </w:pPr>
      <w:r>
        <w:t xml:space="preserve">毁谤的人：在没有客观且正当理由的情况下，把别人的缺点和过失揭露给原本不知道的人；</w:t>
      </w:r>
      <w:r>
        <w:rPr>
          <w:rStyle w:val="FootnoteReference"/>
        </w:rPr>
        <w:footnoteReference w:id="3680"/>
      </w:r>
    </w:p>
    <w:p>
      <w:pPr>
        <w:pStyle w:val="Compact"/>
        <w:numPr>
          <w:ilvl w:val="0"/>
          <w:numId w:val="1028"/>
        </w:numPr>
      </w:pPr>
      <w:r>
        <w:t xml:space="preserve">诬告的人：用违背真理的话损害他人的名誉，并给人制造对他人的错误判断机会。</w:t>
      </w:r>
    </w:p>
    <w:p>
      <w:pPr>
        <w:pStyle w:val="FirstParagraph"/>
      </w:pPr>
      <w:r>
        <w:t xml:space="preserve">为了避免轻率判断，每个人都应尽可能以有利的方式去解释邻人的思想、言语和行为：</w:t>
      </w:r>
    </w:p>
    <w:p>
      <w:pPr>
        <w:pStyle w:val="BlockText"/>
      </w:pPr>
      <w:r>
        <w:t xml:space="preserve">「每个好基督徒都应更愿意对别人的说法作出有利的解释，而不是定罪他。但若他无法这样做，就该问对方是怎样理解的；若对方理解得不好，就要以爱心纠正他。若仍不够，就让基督徒用一切适当的方法，使对方得到正确的解释，好让他得救。」</w:t>
      </w:r>
      <w:r>
        <w:rPr>
          <w:rStyle w:val="FootnoteReference"/>
        </w:rPr>
        <w:footnoteReference w:id="3681"/>
      </w:r>
    </w:p>
    <w:p>
      <w:pPr>
        <w:pStyle w:val="FirstParagraph"/>
      </w:pPr>
      <w:r>
        <w:t xml:space="preserve">毁谤和诬告会毁掉邻人的名誉与荣誉。荣誉是社会对人的尊严所作的见证，每个人都自然享有对自己名声与名誉的荣誉权。因此，毁谤和诬告冒犯正义与仁爱的德行。</w:t>
      </w:r>
    </w:p>
    <w:p>
      <w:pPr>
        <w:pStyle w:val="BodyText"/>
      </w:pPr>
      <w:r>
        <w:t xml:space="preserve">凡因奉承、谄媚或讨好，而鼓励并巩固他人作恶或行偏邪之事的言语或态度，都被禁止。若奉承使人沦为他人恶习或严重罪过的同谋，就是重大的过错。想要帮忙的心意或友谊，并不能为两面话辩护。当奉承只是为了讨人喜欢、避免冲突、满足需要，或获得正当利益时，它是小罪。</w:t>
      </w:r>
    </w:p>
    <w:p>
      <w:pPr>
        <w:pStyle w:val="BodyText"/>
      </w:pPr>
      <w:r>
        <w:t xml:space="preserve">自夸或夸耀是冒犯真理的行为。以讥讽贬低人、恶意夸张地扭曲别人某个行为面向，也同样冒犯真理。</w:t>
      </w:r>
    </w:p>
    <w:p>
      <w:pPr>
        <w:pStyle w:val="BodyText"/>
      </w:pPr>
      <w:r>
        <w:t xml:space="preserve">「说谎就是为了欺骗而说假话。」</w:t>
      </w:r>
      <w:r>
        <w:rPr>
          <w:rStyle w:val="FootnoteReference"/>
        </w:rPr>
        <w:footnoteReference w:id="3682"/>
      </w:r>
      <w:r>
        <w:t xml:space="preserve">主谴责说谎是魔鬼的工作：「你们是出于你们的父魔鬼，你们父的私欲你们偏要行。他从起初是杀人的，不守真理，因他心里没有真理；他说谎是出于自己；因他本来是说谎的，也是说谎之人的父。」</w:t>
      </w:r>
      <w:r>
        <w:rPr>
          <w:rStyle w:val="FootnoteReference"/>
        </w:rPr>
        <w:footnoteReference w:id="3683"/>
      </w:r>
    </w:p>
    <w:p>
      <w:pPr>
        <w:pStyle w:val="BodyText"/>
      </w:pPr>
      <w:r>
        <w:t xml:space="preserve">说谎是对真理最直接的冒犯。说谎就是为了使人陷入错误，而以言语或行动违背真理。说谎伤害人对真理以及对邻人的关系，因此也冒犯人及其言语与主之间的基本关系。</w:t>
      </w:r>
    </w:p>
    <w:p>
      <w:pPr>
        <w:pStyle w:val="BodyText"/>
      </w:pPr>
      <w:r>
        <w:t xml:space="preserve">谎言的严重程度，要按它扭曲的真理的性质、当时情境、说谎者的意图，以及受害者所受的伤害来衡量。若谎言本身只构成小罪，但当它对正义与仁爱的德行造成严重伤害时，就成为致死的罪。</w:t>
      </w:r>
    </w:p>
    <w:p>
      <w:pPr>
        <w:pStyle w:val="BodyText"/>
      </w:pPr>
      <w:r>
        <w:t xml:space="preserve">按其本性，说谎应受谴责。它亵渎言语，因为言语的目的，是把已知的真理传达给他人。故意用违背真理的话使邻人陷入错误，就是在正义与仁爱上的失职。当欺骗的意图包含使被误导者面临致命后果的风险时，这罪责更重。</w:t>
      </w:r>
    </w:p>
    <w:p>
      <w:pPr>
        <w:pStyle w:val="BodyText"/>
      </w:pPr>
      <w:r>
        <w:t xml:space="preserve">由于说谎违背真诚的德行，它对他人造成真实的伤害。它影响他认识事物的能力，而认识是任何判断与决定的前提。谎言包含分裂的种子，以及随之而来的一切恶。说谎破坏社会，动摇人与人之间的信任，并撕裂社会关系的结构。</w:t>
      </w:r>
    </w:p>
    <w:p>
      <w:pPr>
        <w:pStyle w:val="BodyText"/>
      </w:pPr>
      <w:r>
        <w:t xml:space="preserve">任何对正义与真理所犯的罪，都包含补偿的义务，即使作恶者已经蒙赦免也一样。当无法公开补偿时，就必须私下补偿。若受害者无法直接获得补偿，就必须以仁爱之名给予道德上的弥补。这补偿的义务也涉及冒犯他人名誉的罪。这种补偿，无论是道德上的，有时也是物质上的，都必须按造成损害的程度来衡量。它在良心上具有约束力。</w:t>
      </w:r>
    </w:p>
    <w:bookmarkEnd w:id="3684"/>
    <w:bookmarkStart w:id="3687" w:name="四尊重真理"/>
    <w:p>
      <w:pPr>
        <w:pStyle w:val="Heading5"/>
      </w:pPr>
      <w:r>
        <w:t xml:space="preserve">四、尊重真理</w:t>
      </w:r>
    </w:p>
    <w:p>
      <w:pPr>
        <w:pStyle w:val="FirstParagraph"/>
      </w:pPr>
      <w:r>
        <w:t xml:space="preserve">传达真理的权利不是无条件的。每个人都必须让自己的生活符合福音中弟兄之爱的诫命。这要求我们在具体情境中判断：是否适合把真相告诉提出询问的人。</w:t>
      </w:r>
    </w:p>
    <w:p>
      <w:pPr>
        <w:pStyle w:val="BodyText"/>
      </w:pPr>
      <w:r>
        <w:t xml:space="preserve">对每一个求取信息或沟通的请求，仁爱与对真理的尊重应决定我们的回应。为了他人的益处与安全、对隐私的尊重以及公益，保持沉默、不说那些不该知道的事，或使用审慎的语言，都是充分的理由。避免绊倒人的义务往往要求严格的谨慎。没有人有义务把真相告诉一个无权知道的人。</w:t>
      </w:r>
      <w:r>
        <w:rPr>
          <w:rStyle w:val="FootnoteReference"/>
        </w:rPr>
        <w:footnoteReference w:id="3685"/>
      </w:r>
    </w:p>
    <w:p>
      <w:pPr>
        <w:pStyle w:val="BodyText"/>
      </w:pPr>
      <w:r>
        <w:t xml:space="preserve">和好圣事的秘密是受尊重的，任何借口都不能侵犯它。「圣事封印不可侵犯；因此，听告解者无论以言语或任何方式、无论出于任何原因，泄露忏悔者的秘密，都是犯罪。」</w:t>
      </w:r>
      <w:r>
        <w:rPr>
          <w:rStyle w:val="FootnoteReference"/>
        </w:rPr>
        <w:footnoteReference w:id="3686"/>
      </w:r>
    </w:p>
    <w:p>
      <w:pPr>
        <w:pStyle w:val="BodyText"/>
      </w:pPr>
      <w:r>
        <w:t xml:space="preserve">职业秘密（例如政治公职人员、军人、医生和律师的秘密），或在保密承诺下所托付的机密信息，都必须保守；除非在特殊情况下，若保守秘密必然会对托付者、接受者或第三方造成极其严重的伤害，并且只有揭露真相才能避免这极其严重的伤害。即使不是在保密承诺下托付的，对他人不利的私人信息，若没有重大且相称的理由，也不可泄露。</w:t>
      </w:r>
    </w:p>
    <w:p>
      <w:pPr>
        <w:pStyle w:val="BodyText"/>
      </w:pPr>
      <w:r>
        <w:t xml:space="preserve">每个人都应对他人的私人生活保持适当的克制。从事传播工作的人应在公益的要求与对个人权利的尊重之间维持公正的平衡。媒体介入从事政治或公共活动者的私人生活，应在其侵犯隐私与自由的程度上受到谴责。</w:t>
      </w:r>
    </w:p>
    <w:bookmarkEnd w:id="3687"/>
    <w:bookmarkStart w:id="3693" w:name="五社会传播媒体的使用"/>
    <w:p>
      <w:pPr>
        <w:pStyle w:val="Heading5"/>
      </w:pPr>
      <w:r>
        <w:t xml:space="preserve">五、社会传播媒体的使用</w:t>
      </w:r>
    </w:p>
    <w:p>
      <w:pPr>
        <w:pStyle w:val="FirstParagraph"/>
      </w:pPr>
      <w:r>
        <w:t xml:space="preserve">在现代社会中，传播媒体在信息提供、文化推广与培育方面扮演重要角色。随着技术进步、所传递新闻的广度与多样性，以及对舆论所施加的影响，这角色正不断增加。</w:t>
      </w:r>
    </w:p>
    <w:p>
      <w:pPr>
        <w:pStyle w:val="BodyText"/>
      </w:pPr>
      <w:r>
        <w:t xml:space="preserve">媒体所提供的信息应服务于公益。</w:t>
      </w:r>
      <w:r>
        <w:rPr>
          <w:rStyle w:val="FootnoteReference"/>
        </w:rPr>
        <w:footnoteReference w:id="3688"/>
      </w:r>
      <w:r>
        <w:t xml:space="preserve">社会有权获得建立在真理、自由、正义与团结互助之上的信息：</w:t>
      </w:r>
    </w:p>
    <w:p>
      <w:pPr>
        <w:pStyle w:val="BlockText"/>
      </w:pPr>
      <w:r>
        <w:t xml:space="preserve">「正确行使这项权利，要求传播内容必须真实，并且——在正义与仁爱的限度内——完整。此外，传播应以诚实且恰当的方式进行。也就是说，在搜集与发布新闻时，应维护道德律，以及人合法的权利与尊严。」</w:t>
      </w:r>
      <w:r>
        <w:rPr>
          <w:rStyle w:val="FootnoteReference"/>
        </w:rPr>
        <w:footnoteReference w:id="3689"/>
      </w:r>
    </w:p>
    <w:p>
      <w:pPr>
        <w:pStyle w:val="FirstParagraph"/>
      </w:pPr>
      <w:r>
        <w:t xml:space="preserve">「社会的所有成员都必须在这一领域满足正义与仁爱的要求。他们应藉着社会传播的工具，帮助形成并传播健全的舆论。」</w:t>
      </w:r>
      <w:r>
        <w:rPr>
          <w:rStyle w:val="FootnoteReference"/>
        </w:rPr>
        <w:footnoteReference w:id="3690"/>
      </w:r>
      <w:r>
        <w:t xml:space="preserve">团结互助是真诚且正确沟通的结果，也是思想自由流通的结果；这种流通促进知识，并增进对他人的尊重。</w:t>
      </w:r>
    </w:p>
    <w:p>
      <w:pPr>
        <w:pStyle w:val="BodyText"/>
      </w:pPr>
      <w:r>
        <w:t xml:space="preserve">社会传播工具（尤其是大众媒体）可能使使用者产生某种被动性，让他们对所听见或看见的内容不够警醒。使用者应在接触大众媒体时操练节制与自律。他们要培养明智而正确的良心，好更容易抵抗不健康的影响。</w:t>
      </w:r>
    </w:p>
    <w:p>
      <w:pPr>
        <w:pStyle w:val="BodyText"/>
      </w:pPr>
      <w:r>
        <w:t xml:space="preserve">按其职业本质，新闻工作者有义务服务真理，并在传播信息时不冒犯仁爱。他们应同样谨慎地尊重事实的性质，以及对个人作出批评判断的界限。他们不应堕落到诽谤的地步。</w:t>
      </w:r>
    </w:p>
    <w:p>
      <w:pPr>
        <w:pStyle w:val="BodyText"/>
      </w:pPr>
      <w:r>
        <w:t xml:space="preserve">「民事权威在这一领域因公益而负有特别的责任……由民事权威……来维护并保障真实而公正的信息自由。」</w:t>
      </w:r>
      <w:r>
        <w:rPr>
          <w:rStyle w:val="FootnoteReference"/>
        </w:rPr>
        <w:footnoteReference w:id="3691"/>
      </w:r>
      <w:r>
        <w:t xml:space="preserve">公共权威藉着制定法律并监督其实施，应确保「不会因滥用媒体而使公共道德与社会进步受到严重危害」。</w:t>
      </w:r>
      <w:r>
        <w:rPr>
          <w:rStyle w:val="FootnoteReference"/>
        </w:rPr>
        <w:footnoteReference w:id="3692"/>
      </w:r>
      <w:r>
        <w:t xml:space="preserve">民事权威应惩处任何侵犯个人名誉与隐私权的行为。民事权威应及时并可靠地发布关于公益的报告，或回应人民有根据的关切。任何事都不能为借助媒体散布假消息、操纵舆论辩护。公共权威的介入应避免伤害个人或团体的自由。</w:t>
      </w:r>
    </w:p>
    <w:p>
      <w:pPr>
        <w:pStyle w:val="BodyText"/>
      </w:pPr>
      <w:r>
        <w:t xml:space="preserve">道德判断必须谴责极权国家的瘟疫：它们系统性地伪造真理，借助媒体对舆论施加政治控制，在公开审判中操纵被告与证人，并妄想借着扼杀和压制一切他们认为是「思想犯罪」的东西来巩固暴政。</w:t>
      </w:r>
    </w:p>
    <w:bookmarkEnd w:id="3693"/>
    <w:bookmarkStart w:id="3703" w:name="六真理美与圣艺"/>
    <w:p>
      <w:pPr>
        <w:pStyle w:val="Heading5"/>
      </w:pPr>
      <w:r>
        <w:t xml:space="preserve">六、真理、美与圣艺</w:t>
      </w:r>
    </w:p>
    <w:p>
      <w:pPr>
        <w:pStyle w:val="FirstParagraph"/>
      </w:pPr>
      <w:r>
        <w:t xml:space="preserve">行善会伴随自发的灵性喜乐与道德之美。同样，真理也带着灵性之美的喜乐与光辉。真理本身就是美的。言语中的真理，也就是对受造与非受造实在之认识的理性表达，对具有理智的人来说是必要的。但真理也能以其他互补的人类表达方式呈现，尤其当要唤起那超越言语之事时：人心的深处、灵魂的高昂、神的奥秘。甚至在神以真理的话启示自己给人之前，他已经通过受造界这种普遍的语言——藉着他的道、他的智慧的工作——把自己启示给人：宇宙的秩序与和谐，孩童和科学家都会发现：「从受造物的伟大和美丽，可以推知它们的创造者」，「因为美丽的创造者创造了它们。」</w:t>
      </w:r>
      <w:r>
        <w:rPr>
          <w:rStyle w:val="FootnoteReference"/>
        </w:rPr>
        <w:footnoteReference w:id="3694"/>
      </w:r>
    </w:p>
    <w:p>
      <w:pPr>
        <w:pStyle w:val="BlockText"/>
      </w:pPr>
      <w:r>
        <w:t xml:space="preserve">「智慧是神能力的气息，是全能者荣耀的纯粹流露；因此，任何污秽不能侵入她内。她是永恒光明的反映，是神作用的无玷明镜，是神美善的肖像。」</w:t>
      </w:r>
      <w:r>
        <w:rPr>
          <w:rStyle w:val="FootnoteReference"/>
        </w:rPr>
        <w:footnoteReference w:id="3695"/>
      </w:r>
    </w:p>
    <w:p>
      <w:pPr>
        <w:pStyle w:val="BlockText"/>
      </w:pPr>
      <w:r>
        <w:t xml:space="preserve">「智慧比太阳更美丽，胜过一切星座；同光相比，她更显得优越；因为光为黑夜所继，而邪恶却不能胜过智慧。」</w:t>
      </w:r>
      <w:r>
        <w:rPr>
          <w:rStyle w:val="FootnoteReference"/>
        </w:rPr>
        <w:footnoteReference w:id="3696"/>
      </w:r>
    </w:p>
    <w:p>
      <w:pPr>
        <w:pStyle w:val="BlockText"/>
      </w:pPr>
      <w:r>
        <w:t xml:space="preserve">「我爱慕了她的美丽。」</w:t>
      </w:r>
      <w:r>
        <w:rPr>
          <w:rStyle w:val="FootnoteReference"/>
        </w:rPr>
        <w:footnoteReference w:id="3697"/>
      </w:r>
    </w:p>
    <w:p>
      <w:pPr>
        <w:pStyle w:val="FirstParagraph"/>
      </w:pPr>
      <w:r>
        <w:t xml:space="preserve">人「照着神的形象」受造，</w:t>
      </w:r>
      <w:r>
        <w:rPr>
          <w:rStyle w:val="FootnoteReference"/>
        </w:rPr>
        <w:footnoteReference w:id="3698"/>
      </w:r>
      <w:r>
        <w:t xml:space="preserve">也借着自己艺术作品的美，表达他与造物主神的关系之真理。的确，艺术是一种特别属于人的表达形式；超越一切生物共同拥有的对生活必需的追求，艺术是人内在丰厚之富余的自由流露。艺术源自造物主所赐的才赋，也源自人的努力；它是一种实践的智慧，把知识与技艺结合起来，</w:t>
      </w:r>
      <w:r>
        <w:rPr>
          <w:rStyle w:val="FootnoteReference"/>
        </w:rPr>
        <w:footnoteReference w:id="3699"/>
      </w:r>
      <w:r>
        <w:t xml:space="preserve">以一种可被视觉或听觉领会的语言，为实在的真理赋予形式。艺术若受真理和对存在者之爱的启发，就在某种程度上类似神在他所造之物中的作为。像其他一切人类活动一样，艺术本身不是绝对的终向，而是指向人的终向，并因人的终向而得以提升。</w:t>
      </w:r>
      <w:r>
        <w:rPr>
          <w:rStyle w:val="FootnoteReference"/>
        </w:rPr>
        <w:footnoteReference w:id="3700"/>
      </w:r>
    </w:p>
    <w:p>
      <w:pPr>
        <w:pStyle w:val="BodyText"/>
      </w:pPr>
      <w:r>
        <w:t xml:space="preserve">圣艺在其形式与其特殊圣召相符合时，就是真实而美的：它在信心与朝拜中唤起并光荣神那超越性的奥秘——真理与爱的那超越可见的美，在基督里成为可见；他「是神荣耀所发的光辉，是神本体的真像」，在他里面「神本性一切的丰盛都有形有体地居住」。</w:t>
      </w:r>
      <w:r>
        <w:rPr>
          <w:rStyle w:val="FootnoteReference"/>
        </w:rPr>
        <w:footnoteReference w:id="3701"/>
      </w:r>
      <w:r>
        <w:t xml:space="preserve">神这灵性的美，反映在至圣童贞马利亚、天使和圣徒身上。真正的圣艺把人引向朝拜、祈祷，并引向对神——造物主与救主、圣者与使人成圣者——的爱。</w:t>
      </w:r>
    </w:p>
    <w:p>
      <w:pPr>
        <w:pStyle w:val="BodyText"/>
      </w:pPr>
      <w:r>
        <w:t xml:space="preserve">因此，主教们应亲自或通过代表，推动各种形式的圣艺，无论新旧；并以同样敬虔的关切，从礼仪和敬拜场所中移除一切不符合信仰真理与圣艺真实之美的东西。</w:t>
      </w:r>
      <w:r>
        <w:rPr>
          <w:rStyle w:val="FootnoteReference"/>
        </w:rPr>
        <w:footnoteReference w:id="3702"/>
      </w:r>
    </w:p>
    <w:bookmarkEnd w:id="3703"/>
    <w:bookmarkEnd w:id="3704"/>
    <w:bookmarkStart w:id="3705" w:name="综述-63"/>
    <w:p>
      <w:pPr>
        <w:pStyle w:val="Heading4"/>
      </w:pPr>
      <w:r>
        <w:t xml:space="preserve">综述</w:t>
      </w:r>
    </w:p>
    <w:p>
      <w:pPr>
        <w:pStyle w:val="FirstParagraph"/>
      </w:pPr>
      <w:r>
        <w:t xml:space="preserve">「不可作假见证陷害人」（出 20:16）。基督的门徒已经「穿上新人；这新人是照着神的形象造的，有真理的仁义和圣洁」（弗 4:24）。</w:t>
      </w:r>
    </w:p>
    <w:p>
      <w:pPr>
        <w:pStyle w:val="BodyText"/>
      </w:pPr>
      <w:r>
        <w:t xml:space="preserve">真理或诚实，是一种德行：在行动上显出真实，在言语上说出真话，并防备两面、掩饰和虚伪。</w:t>
      </w:r>
    </w:p>
    <w:p>
      <w:pPr>
        <w:pStyle w:val="BodyText"/>
      </w:pPr>
      <w:r>
        <w:t xml:space="preserve">基督徒在言行上都「不要以给我们的主作见证为耻」（提后 1:8）。殉道是为信仰真理所作的最高见证。</w:t>
      </w:r>
    </w:p>
    <w:p>
      <w:pPr>
        <w:pStyle w:val="BodyText"/>
      </w:pPr>
      <w:r>
        <w:t xml:space="preserve">尊重人的名誉与荣誉，禁止以言语或态度作出一切毁谤与诬告。</w:t>
      </w:r>
    </w:p>
    <w:p>
      <w:pPr>
        <w:pStyle w:val="BodyText"/>
      </w:pPr>
      <w:r>
        <w:t xml:space="preserve">说谎就是为了欺骗邻人而说假话。</w:t>
      </w:r>
    </w:p>
    <w:p>
      <w:pPr>
        <w:pStyle w:val="BodyText"/>
      </w:pPr>
      <w:r>
        <w:t xml:space="preserve">凡冒犯真理的罪都要求补偿。</w:t>
      </w:r>
    </w:p>
    <w:p>
      <w:pPr>
        <w:pStyle w:val="BodyText"/>
      </w:pPr>
      <w:r>
        <w:t xml:space="preserve">黄金法则帮助人在具体情境中分辨：把真相告诉提出询问的人，是否恰当。</w:t>
      </w:r>
    </w:p>
    <w:p>
      <w:pPr>
        <w:pStyle w:val="BodyText"/>
      </w:pPr>
      <w:r>
        <w:t xml:space="preserve">「圣事封印不可侵犯」（《教会法典》第983条1项）。职业秘密必须保守。对他人不利的托付之事，不可泄露。</w:t>
      </w:r>
    </w:p>
    <w:p>
      <w:pPr>
        <w:pStyle w:val="BodyText"/>
      </w:pPr>
      <w:r>
        <w:t xml:space="preserve">社会有权获得建立在真理、自由与正义之上的信息。在使用社会传播媒体时，人应操练节制与自律。</w:t>
      </w:r>
    </w:p>
    <w:p>
      <w:pPr>
        <w:pStyle w:val="BodyText"/>
      </w:pPr>
      <w:r>
        <w:t xml:space="preserve">美术，尤其是圣艺，「按其本性，是指向以人的手所作之工，某种方式表达神那无限的美。它们越专一地致力于虔诚地把人的心灵转向神，就越能更完整地致力于增加对神的赞美与光荣」（</w:t>
      </w:r>
      <w:r>
        <w:rPr>
          <w:i/>
          <w:iCs/>
        </w:rPr>
        <w:t xml:space="preserve">SC</w:t>
      </w:r>
      <w:r>
        <w:t xml:space="preserve"> </w:t>
      </w:r>
      <w:r>
        <w:t xml:space="preserve">122）。</w:t>
      </w:r>
    </w:p>
    <w:p>
      <w:r>
        <w:br w:type="page"/>
      </w:r>
    </w:p>
    <w:bookmarkEnd w:id="3705"/>
    <w:bookmarkStart w:id="3726" w:name="第九条第九诫"/>
    <w:p>
      <w:pPr>
        <w:pStyle w:val="Heading4"/>
      </w:pPr>
      <w:r>
        <w:t xml:space="preserve">第九条：第九诫</w:t>
      </w:r>
    </w:p>
    <w:p>
      <w:pPr>
        <w:pStyle w:val="BlockText"/>
      </w:pPr>
      <w:r>
        <w:t xml:space="preserve">不可贪恋人的房屋；也不可贪恋人的妻子、仆婢、牛驴，并他一切所有的。</w:t>
      </w:r>
      <w:r>
        <w:rPr>
          <w:rStyle w:val="FootnoteReference"/>
        </w:rPr>
        <w:footnoteReference w:id="3706"/>
      </w:r>
    </w:p>
    <w:p>
      <w:pPr>
        <w:pStyle w:val="BlockText"/>
      </w:pPr>
      <w:r>
        <w:t xml:space="preserve">「只是我告诉你们，凡看见妇女就动淫念的，这人心里已经与她犯奸淫了。」</w:t>
      </w:r>
      <w:r>
        <w:rPr>
          <w:rStyle w:val="FootnoteReference"/>
        </w:rPr>
        <w:footnoteReference w:id="3707"/>
      </w:r>
    </w:p>
    <w:p>
      <w:pPr>
        <w:pStyle w:val="FirstParagraph"/>
      </w:pPr>
      <w:r>
        <w:t xml:space="preserve">圣约翰区分三种贪欲或私欲：肉体的情欲、眼目的情欲，并今生的骄傲。</w:t>
      </w:r>
      <w:r>
        <w:rPr>
          <w:rStyle w:val="FootnoteReference"/>
        </w:rPr>
        <w:footnoteReference w:id="3708"/>
      </w:r>
      <w:r>
        <w:t xml:space="preserve">在公教会的教理讲授传统中，第九诫禁止肉身的私欲；第十诫禁止贪恋他人的财物。</w:t>
      </w:r>
    </w:p>
    <w:p>
      <w:pPr>
        <w:pStyle w:val="BodyText"/>
      </w:pPr>
      <w:r>
        <w:t xml:space="preserve">按词源来说，「私欲」可以指人任何强烈的欲望形式。基督徒神学给了它一个特别的意义：感官欲求的冲动，违背人的理性运作。使徒圣保罗把它等同于「肉体」对「圣灵」的反叛。</w:t>
      </w:r>
      <w:r>
        <w:rPr>
          <w:rStyle w:val="FootnoteReference"/>
        </w:rPr>
        <w:footnoteReference w:id="3709"/>
      </w:r>
      <w:r>
        <w:t xml:space="preserve">私欲源自最初那罪的不顺服。它扰乱人的道德能力，并且虽然它本身并不是罪，却使人倾向于犯罪。</w:t>
      </w:r>
      <w:r>
        <w:rPr>
          <w:rStyle w:val="FootnoteReference"/>
        </w:rPr>
        <w:footnoteReference w:id="3710"/>
      </w:r>
    </w:p>
    <w:p>
      <w:pPr>
        <w:pStyle w:val="BodyText"/>
      </w:pPr>
      <w:r>
        <w:t xml:space="preserve">因为人是由灵与体组成的复合体，他里面本来就存在某种张力；在「圣灵」与「肉体」之间会发展出某种倾向上的争战。但实际上，这争战属于罪的遗产。它既是罪的后果，同时也证实罪的存在。它是灵性争战的日常经验的一部分：</w:t>
      </w:r>
    </w:p>
    <w:p>
      <w:pPr>
        <w:pStyle w:val="BlockText"/>
      </w:pPr>
      <w:r>
        <w:t xml:space="preserve">「对使徒来说，这不是轻视并谴责身体；身体与属灵的灵魂一起构成人的本性和人格主体性。相反，使徒关心的是道德上善或恶的行为，或者更准确地说，是持久的倾向——德行与恶习——它们要么是顺服圣灵拯救行动的果实（前者），要么是抵抗它的果实（后者）。为此，使徒写道：『我们若是靠圣灵得生，就当靠圣灵行事。』」</w:t>
      </w:r>
      <w:r>
        <w:rPr>
          <w:rStyle w:val="FootnoteReference"/>
        </w:rPr>
        <w:footnoteReference w:id="3711"/>
      </w:r>
    </w:p>
    <w:bookmarkStart w:id="3720" w:name="一心灵的净化"/>
    <w:p>
      <w:pPr>
        <w:pStyle w:val="Heading5"/>
      </w:pPr>
      <w:r>
        <w:t xml:space="preserve">一、心灵的净化</w:t>
      </w:r>
    </w:p>
    <w:p>
      <w:pPr>
        <w:pStyle w:val="FirstParagraph"/>
      </w:pPr>
      <w:r>
        <w:t xml:space="preserve">心是道德人格的所在：「因为从心里发出来的，有恶念、凶杀、奸淫、苟合……」</w:t>
      </w:r>
      <w:r>
        <w:rPr>
          <w:rStyle w:val="FootnoteReference"/>
        </w:rPr>
        <w:footnoteReference w:id="3712"/>
      </w:r>
      <w:r>
        <w:t xml:space="preserve">对抗肉身的贪欲，包含净化内心并操练节制：</w:t>
      </w:r>
    </w:p>
    <w:p>
      <w:pPr>
        <w:pStyle w:val="BlockText"/>
      </w:pPr>
      <w:r>
        <w:t xml:space="preserve">「要保持单纯和无辜，你们就会像小孩子一样，不知道那毁坏人生命的邪恶。」</w:t>
      </w:r>
      <w:r>
        <w:rPr>
          <w:rStyle w:val="FootnoteReference"/>
        </w:rPr>
        <w:footnoteReference w:id="3713"/>
      </w:r>
    </w:p>
    <w:p>
      <w:pPr>
        <w:pStyle w:val="FirstParagraph"/>
      </w:pPr>
      <w:r>
        <w:t xml:space="preserve">第六福宣告：「清心的人有福了！因为他们必得见神。」</w:t>
      </w:r>
      <w:r>
        <w:rPr>
          <w:rStyle w:val="FootnoteReference"/>
        </w:rPr>
        <w:footnoteReference w:id="3714"/>
      </w:r>
      <w:r>
        <w:t xml:space="preserve">「清心」指那些把自己的理智与意志调准到神圣洁之要求的人，主要在三方面：仁爱；</w:t>
      </w:r>
      <w:r>
        <w:rPr>
          <w:rStyle w:val="FootnoteReference"/>
        </w:rPr>
        <w:footnoteReference w:id="3715"/>
      </w:r>
      <w:r>
        <w:t xml:space="preserve">贞洁或性方面的正直；</w:t>
      </w:r>
      <w:r>
        <w:rPr>
          <w:rStyle w:val="FootnoteReference"/>
        </w:rPr>
        <w:footnoteReference w:id="3716"/>
      </w:r>
      <w:r>
        <w:t xml:space="preserve">对真理的爱以及信仰的纯正。</w:t>
      </w:r>
      <w:r>
        <w:rPr>
          <w:rStyle w:val="FootnoteReference"/>
        </w:rPr>
        <w:footnoteReference w:id="3717"/>
      </w:r>
      <w:r>
        <w:t xml:space="preserve">心灵、身体与信仰的洁净之间是有关联的：</w:t>
      </w:r>
    </w:p>
    <w:p>
      <w:pPr>
        <w:pStyle w:val="BlockText"/>
      </w:pPr>
      <w:r>
        <w:t xml:space="preserve">「信徒必须相信信经的各条，好叫他们因信而顺服神，因顺服而善度生活，因善度生活而洁净内心，并以洁净的心明白自己所信的。」</w:t>
      </w:r>
      <w:r>
        <w:rPr>
          <w:rStyle w:val="FootnoteReference"/>
        </w:rPr>
        <w:footnoteReference w:id="3718"/>
      </w:r>
    </w:p>
    <w:p>
      <w:pPr>
        <w:pStyle w:val="FirstParagraph"/>
      </w:pPr>
      <w:r>
        <w:t xml:space="preserve">「清心的人」被应许将面对面见神，并且要像他。</w:t>
      </w:r>
      <w:r>
        <w:rPr>
          <w:rStyle w:val="FootnoteReference"/>
        </w:rPr>
        <w:footnoteReference w:id="3719"/>
      </w:r>
      <w:r>
        <w:t xml:space="preserve">心灵的洁净是见神的前提。即使在现在，它也使我们能按神来看事物，把他人当作「邻人」来接纳；也让我们把人的身体——我们自己的和邻人的——看作圣灵的殿，是神之美的彰显。</w:t>
      </w:r>
    </w:p>
    <w:bookmarkEnd w:id="3720"/>
    <w:bookmarkStart w:id="3725" w:name="二为洁净而争战"/>
    <w:p>
      <w:pPr>
        <w:pStyle w:val="Heading5"/>
      </w:pPr>
      <w:r>
        <w:t xml:space="preserve">二、为洁净而争战</w:t>
      </w:r>
    </w:p>
    <w:p>
      <w:pPr>
        <w:pStyle w:val="FirstParagraph"/>
      </w:pPr>
      <w:r>
        <w:t xml:space="preserve">洗礼把洁净一切罪的恩典赐给领受者。但受洗者仍必须继续对抗肉体的私欲和无序的欲望。靠着神的恩典，他将得胜。</w:t>
      </w:r>
    </w:p>
    <w:p>
      <w:pPr>
        <w:pStyle w:val="Compact"/>
        <w:numPr>
          <w:ilvl w:val="0"/>
          <w:numId w:val="1029"/>
        </w:numPr>
      </w:pPr>
      <w:r>
        <w:t xml:space="preserve">借着</w:t>
      </w:r>
      <w:r>
        <w:rPr>
          <w:i/>
          <w:iCs/>
        </w:rPr>
        <w:t xml:space="preserve">贞洁</w:t>
      </w:r>
      <w:r>
        <w:t xml:space="preserve">的</w:t>
      </w:r>
      <w:r>
        <w:rPr>
          <w:i/>
          <w:iCs/>
        </w:rPr>
        <w:t xml:space="preserve">德行</w:t>
      </w:r>
      <w:r>
        <w:t xml:space="preserve">和</w:t>
      </w:r>
      <w:r>
        <w:rPr>
          <w:i/>
          <w:iCs/>
        </w:rPr>
        <w:t xml:space="preserve">恩赐</w:t>
      </w:r>
      <w:r>
        <w:t xml:space="preserve">，因为贞洁让我们以正直且专一的心去爱；</w:t>
      </w:r>
    </w:p>
    <w:p>
      <w:pPr>
        <w:pStyle w:val="Compact"/>
        <w:numPr>
          <w:ilvl w:val="0"/>
          <w:numId w:val="1029"/>
        </w:numPr>
      </w:pPr>
      <w:r>
        <w:t xml:space="preserve">借着</w:t>
      </w:r>
      <w:r>
        <w:rPr>
          <w:i/>
          <w:iCs/>
        </w:rPr>
        <w:t xml:space="preserve">意向的纯正</w:t>
      </w:r>
      <w:r>
        <w:t xml:space="preserve">，也就是寻求人的真实终向：受洗者以单纯的目光，在一切事上寻求并完成神的旨意；</w:t>
      </w:r>
      <w:r>
        <w:rPr>
          <w:rStyle w:val="FootnoteReference"/>
        </w:rPr>
        <w:footnoteReference w:id="3721"/>
      </w:r>
    </w:p>
    <w:p>
      <w:pPr>
        <w:pStyle w:val="Compact"/>
        <w:numPr>
          <w:ilvl w:val="0"/>
          <w:numId w:val="1029"/>
        </w:numPr>
      </w:pPr>
      <w:r>
        <w:t xml:space="preserve">借着</w:t>
      </w:r>
      <w:r>
        <w:rPr>
          <w:i/>
          <w:iCs/>
        </w:rPr>
        <w:t xml:space="preserve">目光的纯正</w:t>
      </w:r>
      <w:r>
        <w:t xml:space="preserve">，包括外在与内在；借着约束情感与想象；拒绝与不洁的思想同流合污，因为这些思想会使我们偏离神诫命的道路：「外貌使愚人起贪恋」；</w:t>
      </w:r>
      <w:r>
        <w:rPr>
          <w:rStyle w:val="FootnoteReference"/>
        </w:rPr>
        <w:footnoteReference w:id="3722"/>
      </w:r>
    </w:p>
    <w:p>
      <w:pPr>
        <w:pStyle w:val="Compact"/>
        <w:numPr>
          <w:ilvl w:val="0"/>
          <w:numId w:val="1029"/>
        </w:numPr>
      </w:pPr>
      <w:r>
        <w:t xml:space="preserve">借着</w:t>
      </w:r>
      <w:r>
        <w:rPr>
          <w:i/>
          <w:iCs/>
        </w:rPr>
        <w:t xml:space="preserve">祈祷</w:t>
      </w:r>
      <w:r>
        <w:t xml:space="preserve">：</w:t>
      </w:r>
    </w:p>
    <w:p>
      <w:pPr>
        <w:pStyle w:val="BlockText"/>
      </w:pPr>
      <w:r>
        <w:t xml:space="preserve">「我曾以为节制是出于人自己的能力，而我在自己身上却看不见。我愚蠢到不知道……若不是你赐下，没有人能节制。若我内心的叹息已达到你耳中，并且我以坚定的信心把我的忧虑交托给你，你必定会赐给我。」</w:t>
      </w:r>
      <w:r>
        <w:rPr>
          <w:rStyle w:val="FootnoteReference"/>
        </w:rPr>
        <w:footnoteReference w:id="3723"/>
      </w:r>
    </w:p>
    <w:p>
      <w:pPr>
        <w:pStyle w:val="FirstParagraph"/>
      </w:pPr>
      <w:r>
        <w:t xml:space="preserve">洁净需要</w:t>
      </w:r>
      <w:r>
        <w:rPr>
          <w:i/>
          <w:iCs/>
        </w:rPr>
        <w:t xml:space="preserve">端庄</w:t>
      </w:r>
      <w:r>
        <w:t xml:space="preserve">，它是节制不可分割的一部分。端庄保护人的亲密核心。它意味着拒绝揭开本应隐藏的事。它指向贞洁，并见证贞洁的敏锐。它引导人如何看待他人，以及如何对待他人，使之符合人的尊严及人与人之间的团结互助。</w:t>
      </w:r>
    </w:p>
    <w:p>
      <w:pPr>
        <w:pStyle w:val="BodyText"/>
      </w:pPr>
      <w:r>
        <w:t xml:space="preserve">端庄保护人的奥秘以及人的爱。它鼓励人在爱的关系中保持耐心与节制；它要求男女彼此之间作出决定性的交付与承诺的条件得以满足。端庄是得体。它影响人对衣着的选择。当明显存在不健康好奇心的风险时，它保持沉默或克制。它是谨慎的。</w:t>
      </w:r>
    </w:p>
    <w:p>
      <w:pPr>
        <w:pStyle w:val="BodyText"/>
      </w:pPr>
      <w:r>
        <w:t xml:space="preserve">端庄既关乎情感，也关乎身体。比如，它反对某些广告中对人体的窥视式探索，也反对某些媒体在展示亲密事物上走得太过。端庄启发一种生活方式，使人能抵抗时尚的诱惑，以及流行意识形态的压力。</w:t>
      </w:r>
    </w:p>
    <w:p>
      <w:pPr>
        <w:pStyle w:val="BodyText"/>
      </w:pPr>
      <w:r>
        <w:t xml:space="preserve">端庄呈现的形式会因文化而异。然而在任何地方，端庄都作为一种直觉存在：人固有的灵性尊严。它随着人意识到自己是主体而同时诞生。教导儿童和青少年端庄，就是唤醒他们对人的尊重。</w:t>
      </w:r>
    </w:p>
    <w:p>
      <w:pPr>
        <w:pStyle w:val="BodyText"/>
      </w:pPr>
      <w:r>
        <w:t xml:space="preserve">基督徒的洁净要求</w:t>
      </w:r>
      <w:r>
        <w:rPr>
          <w:i/>
          <w:iCs/>
        </w:rPr>
        <w:t xml:space="preserve">社会氛围的净化</w:t>
      </w:r>
      <w:r>
        <w:t xml:space="preserve">。它要求传播媒体在呈现内容时顾及尊重与克制。心灵的洁净带来自由，使人脱离普遍蔓延的色情化，也避开那些倾向于窥视与幻想的娱乐。</w:t>
      </w:r>
    </w:p>
    <w:p>
      <w:pPr>
        <w:pStyle w:val="BodyText"/>
      </w:pPr>
      <w:r>
        <w:t xml:space="preserve">所谓的</w:t>
      </w:r>
      <w:r>
        <w:rPr>
          <w:i/>
          <w:iCs/>
        </w:rPr>
        <w:t xml:space="preserve">道德放任</w:t>
      </w:r>
      <w:r>
        <w:t xml:space="preserve">建立在对人类自由的错误观念上；发展真正自由的必要前提，是让自己在道德律中受教育。负责教育的人，有充分理由被期待向青年提供尊重真理、心灵品质，以及人的道德与灵性尊严的教导。</w:t>
      </w:r>
    </w:p>
    <w:p>
      <w:pPr>
        <w:pStyle w:val="BodyText"/>
      </w:pPr>
      <w:r>
        <w:t xml:space="preserve">「基督的喜信不断更新堕落之人的生活与文化；它对抗并除去那源自罪持续吸引力的错误与恶。它从不停止净化并提升各民族的道德。它接纳每个时代与每个民族的灵性品质与禀赋，并以超自然的财富使它们仿佛从内部开花结果；它在基督里坚固、成全并复原它们。」</w:t>
      </w:r>
      <w:r>
        <w:rPr>
          <w:rStyle w:val="FootnoteReference"/>
        </w:rPr>
        <w:footnoteReference w:id="3724"/>
      </w:r>
    </w:p>
    <w:bookmarkEnd w:id="3725"/>
    <w:bookmarkEnd w:id="3726"/>
    <w:bookmarkStart w:id="3727" w:name="综述-64"/>
    <w:p>
      <w:pPr>
        <w:pStyle w:val="Heading4"/>
      </w:pPr>
      <w:r>
        <w:t xml:space="preserve">综述</w:t>
      </w:r>
    </w:p>
    <w:p>
      <w:pPr>
        <w:pStyle w:val="FirstParagraph"/>
      </w:pPr>
      <w:r>
        <w:t xml:space="preserve">「凡看见妇女就动淫念的，这人心里已经与她犯奸淫了」（太 5:28）。</w:t>
      </w:r>
    </w:p>
    <w:p>
      <w:pPr>
        <w:pStyle w:val="BodyText"/>
      </w:pPr>
      <w:r>
        <w:t xml:space="preserve">第九诫警告人要防备情欲或肉身的私欲。</w:t>
      </w:r>
    </w:p>
    <w:p>
      <w:pPr>
        <w:pStyle w:val="BodyText"/>
      </w:pPr>
      <w:r>
        <w:t xml:space="preserve">对抗肉身的情欲，包含净化内心并操练节制。</w:t>
      </w:r>
    </w:p>
    <w:p>
      <w:pPr>
        <w:pStyle w:val="BodyText"/>
      </w:pPr>
      <w:r>
        <w:t xml:space="preserve">心灵的洁净使我们能见神：即使在现在，它也使我们能按神来看事物。</w:t>
      </w:r>
    </w:p>
    <w:p>
      <w:pPr>
        <w:pStyle w:val="BodyText"/>
      </w:pPr>
      <w:r>
        <w:t xml:space="preserve">心灵的净化要求祈祷、操练贞洁，以及意向与目光的纯正。</w:t>
      </w:r>
    </w:p>
    <w:p>
      <w:pPr>
        <w:pStyle w:val="BodyText"/>
      </w:pPr>
      <w:r>
        <w:t xml:space="preserve">心灵的洁净要求端庄，也就是耐心、得体与谨慎。端庄保护人的亲密核心。</w:t>
      </w:r>
    </w:p>
    <w:p>
      <w:r>
        <w:br w:type="page"/>
      </w:r>
    </w:p>
    <w:bookmarkEnd w:id="3727"/>
    <w:bookmarkStart w:id="3762" w:name="第十条第十诫"/>
    <w:p>
      <w:pPr>
        <w:pStyle w:val="Heading4"/>
      </w:pPr>
      <w:r>
        <w:t xml:space="preserve">第十条：第十诫</w:t>
      </w:r>
    </w:p>
    <w:p>
      <w:pPr>
        <w:pStyle w:val="BlockText"/>
      </w:pPr>
      <w:r>
        <w:t xml:space="preserve">「不可贪恋……并他一切所有的……也不可贪图人的房屋、田地、仆婢、牛驴，并他一切所有的。」</w:t>
      </w:r>
      <w:r>
        <w:rPr>
          <w:rStyle w:val="FootnoteReference"/>
        </w:rPr>
        <w:footnoteReference w:id="3728"/>
      </w:r>
    </w:p>
    <w:p>
      <w:pPr>
        <w:pStyle w:val="BlockText"/>
      </w:pPr>
      <w:r>
        <w:t xml:space="preserve">「因为你的财宝在哪里，你的心也在那里。」</w:t>
      </w:r>
      <w:r>
        <w:rPr>
          <w:rStyle w:val="FootnoteReference"/>
        </w:rPr>
        <w:footnoteReference w:id="3729"/>
      </w:r>
    </w:p>
    <w:p>
      <w:pPr>
        <w:pStyle w:val="FirstParagraph"/>
      </w:pPr>
      <w:r>
        <w:t xml:space="preserve">第十诫展开并完成第九诫；第九诫关乎肉体的私欲。第十诫禁止贪恋他人的财物，因为这正是第七诫所禁止的偷盗、抢夺与欺诈的根源。「眼目的情欲」导致第五诫所禁止的暴力与不义。</w:t>
      </w:r>
      <w:r>
        <w:rPr>
          <w:rStyle w:val="FootnoteReference"/>
        </w:rPr>
        <w:footnoteReference w:id="3730"/>
      </w:r>
      <w:r>
        <w:t xml:space="preserve">贪婪和苟合同样都起源于第一到第三条律法诫命所禁止的偶像崇拜。</w:t>
      </w:r>
      <w:r>
        <w:rPr>
          <w:rStyle w:val="FootnoteReference"/>
        </w:rPr>
        <w:footnoteReference w:id="3731"/>
      </w:r>
      <w:r>
        <w:t xml:space="preserve">第十诫关乎内心的意向；它与第九诫一起，总结了律法的一切诫命。</w:t>
      </w:r>
    </w:p>
    <w:bookmarkStart w:id="3741" w:name="一贪欲的无序"/>
    <w:p>
      <w:pPr>
        <w:pStyle w:val="Heading5"/>
      </w:pPr>
      <w:r>
        <w:t xml:space="preserve">一、贪欲的无序</w:t>
      </w:r>
    </w:p>
    <w:p>
      <w:pPr>
        <w:pStyle w:val="FirstParagraph"/>
      </w:pPr>
      <w:r>
        <w:t xml:space="preserve">感官欲求会使我们渴望自己没有的愉悦之物，例如饥饿时想吃东西，寒冷时想取暖。这些欲望本身是好的；但它们常常超过理性的界限，驱使我们不义地贪恋不属于我们的、而是属于他人的，或本该归给他人的东西。</w:t>
      </w:r>
    </w:p>
    <w:p>
      <w:pPr>
        <w:pStyle w:val="BodyText"/>
      </w:pPr>
      <w:r>
        <w:t xml:space="preserve">第十诫禁止贪婪，以及无止境地积攒地上财物的欲望。它禁止那种出于对财富及其带来之权势的情绪冲动而产生的贪财。它也禁止那种想通过损害邻人在现世财物上的利益而行不义的欲望：</w:t>
      </w:r>
    </w:p>
    <w:p>
      <w:pPr>
        <w:pStyle w:val="BodyText"/>
      </w:pPr>
      <w:r>
        <w:t xml:space="preserve">\n &gt;</w:t>
      </w:r>
      <w:r>
        <w:t xml:space="preserve"> </w:t>
      </w:r>
      <w:r>
        <w:t xml:space="preserve">&gt; 「当律法说：『不可贪恋』时，这些话的意思是：我们应当把对任何不属于我们的东西的欲望驱逐出去。我们对他人财物的渴求是巨大的、无边的、永不满足的。因此经上记着：『贪爱银子的，不因得银子知足。』」</w:t>
      </w:r>
      <w:r>
        <w:rPr>
          <w:rStyle w:val="FootnoteReference"/>
        </w:rPr>
        <w:footnoteReference w:id="3732"/>
      </w:r>
    </w:p>
    <w:p>
      <w:pPr>
        <w:pStyle w:val="BodyText"/>
      </w:pPr>
      <w:r>
        <w:t xml:space="preserve">只要是用正当的方法，渴望获得属于邻人的东西，并不违反这条诫命。传统的教理讲授很现实地提到「那些更难与自己犯罪的欲望争战的人」，因此「更需要催促他们遵守这条诫命」：</w:t>
      </w:r>
    </w:p>
    <w:p>
      <w:pPr>
        <w:pStyle w:val="BodyText"/>
      </w:pPr>
      <w:r>
        <w:t xml:space="preserve">\n &gt;</w:t>
      </w:r>
      <w:r>
        <w:t xml:space="preserve"> </w:t>
      </w:r>
      <w:r>
        <w:t xml:space="preserve">&gt; 「……那些渴望市场缺货、盼望物价上涨的商人；那些无法忍受自己不是唯一买卖者的人，好叫自己能卖得更贵、买得更便宜；那些希望同伴陷入贫困的人，好借着卖给他们或从他们那里买来获利……那些希望疾病扩散的医生；那些渴望有许多重大案件和诉讼的律师。」</w:t>
      </w:r>
      <w:r>
        <w:rPr>
          <w:rStyle w:val="FootnoteReference"/>
        </w:rPr>
        <w:footnoteReference w:id="3733"/>
      </w:r>
    </w:p>
    <w:p>
      <w:pPr>
        <w:pStyle w:val="BodyText"/>
      </w:pPr>
      <w:r>
        <w:t xml:space="preserve">第十诫要求把嫉妒从人的心里驱逐出去。当先知拿单想激起大卫王悔改时，他给大卫讲了一个故事：一个穷人只有一只母羊羔，他把它当作自己的女儿一样对待；而一个富人尽管有许多羊群，却嫉妒穷人，最后还偷走了他的羊羔。</w:t>
      </w:r>
      <w:r>
        <w:rPr>
          <w:rStyle w:val="FootnoteReference"/>
        </w:rPr>
        <w:footnoteReference w:id="3734"/>
      </w:r>
      <w:r>
        <w:t xml:space="preserve">嫉妒可能引向最恶的罪行。</w:t>
      </w:r>
      <w:r>
        <w:rPr>
          <w:rStyle w:val="FootnoteReference"/>
        </w:rPr>
        <w:footnoteReference w:id="3735"/>
      </w:r>
      <w:r>
        <w:t xml:space="preserve">「死亡是因魔鬼嫉妒而进入世界的」：</w:t>
      </w:r>
      <w:r>
        <w:rPr>
          <w:rStyle w:val="FootnoteReference"/>
        </w:rPr>
        <w:footnoteReference w:id="3736"/>
      </w:r>
    </w:p>
    <w:p>
      <w:pPr>
        <w:pStyle w:val="BodyText"/>
      </w:pPr>
      <w:r>
        <w:t xml:space="preserve">\n &gt;</w:t>
      </w:r>
      <w:r>
        <w:t xml:space="preserve"> </w:t>
      </w:r>
      <w:r>
        <w:t xml:space="preserve">&gt; 「我们彼此争斗，嫉妒使我们彼此为敌……如果每个人都努力搅乱基督的身体，我们最后会走到哪里？我们是在把基督的身体变成一具尸体……我们宣称自己是同一个有机体的肢体，却像野兽一样彼此吞吃。」</w:t>
      </w:r>
      <w:r>
        <w:rPr>
          <w:rStyle w:val="FootnoteReference"/>
        </w:rPr>
        <w:footnoteReference w:id="3737"/>
      </w:r>
    </w:p>
    <w:p>
      <w:pPr>
        <w:pStyle w:val="BodyText"/>
      </w:pPr>
      <w:r>
        <w:t xml:space="preserve">嫉妒是一项本罪。它指看到他人的财物而感到忧伤，并且对这些财物产生过度的欲望，想把它们据为己有，甚至不惜不义地去取得。当嫉妒希望邻人遭受严重的伤害时，它就是致死的罪：</w:t>
      </w:r>
    </w:p>
    <w:p>
      <w:pPr>
        <w:pStyle w:val="BodyText"/>
      </w:pPr>
      <w:r>
        <w:t xml:space="preserve">\n &gt;</w:t>
      </w:r>
      <w:r>
        <w:t xml:space="preserve"> </w:t>
      </w:r>
      <w:r>
        <w:t xml:space="preserve">&gt; 圣奥古斯丁把嫉妒看作「魔鬼的罪」。</w:t>
      </w:r>
      <w:r>
        <w:rPr>
          <w:rStyle w:val="FootnoteReference"/>
        </w:rPr>
        <w:footnoteReference w:id="3738"/>
      </w:r>
      <w:r>
        <w:t xml:space="preserve">「从嫉妒产生仇恨、毁谤、诬告、因邻人遭遇不幸而喜乐，以及因邻人兴盛而不悦。」</w:t>
      </w:r>
      <w:r>
        <w:rPr>
          <w:rStyle w:val="FootnoteReference"/>
        </w:rPr>
        <w:footnoteReference w:id="3739"/>
      </w:r>
    </w:p>
    <w:p>
      <w:pPr>
        <w:pStyle w:val="BodyText"/>
      </w:pPr>
      <w:r>
        <w:t xml:space="preserve">嫉妒代表一种忧伤，因此也是对仁爱的拒绝；受洗的人应当以操练善意来对抗它。嫉妒常常来自骄傲；受洗的人应当训练自己活在谦卑里：</w:t>
      </w:r>
    </w:p>
    <w:p>
      <w:pPr>
        <w:pStyle w:val="BodyText"/>
      </w:pPr>
      <w:r>
        <w:t xml:space="preserve">\n &gt;</w:t>
      </w:r>
      <w:r>
        <w:t xml:space="preserve"> </w:t>
      </w:r>
      <w:r>
        <w:t xml:space="preserve">&gt; 「你愿意看见神因你得荣耀吗？那就为你弟兄的进步而喜乐，你立刻就把荣耀归给神。因为当他的仆人能因他人的功劳而喜乐，从而战胜嫉妒时，神就要受赞美。」</w:t>
      </w:r>
      <w:r>
        <w:rPr>
          <w:rStyle w:val="FootnoteReference"/>
        </w:rPr>
        <w:footnoteReference w:id="3740"/>
      </w:r>
    </w:p>
    <w:bookmarkEnd w:id="3741"/>
    <w:bookmarkStart w:id="3747" w:name="二圣灵的渴望"/>
    <w:p>
      <w:pPr>
        <w:pStyle w:val="Heading5"/>
      </w:pPr>
      <w:r>
        <w:t xml:space="preserve">二、圣灵的渴望</w:t>
      </w:r>
    </w:p>
    <w:p>
      <w:pPr>
        <w:pStyle w:val="FirstParagraph"/>
      </w:pPr>
      <w:r>
        <w:t xml:space="preserve">律法与恩典的安排，使人的心转离贪财和嫉妒。它引导人渴望至高的善；它教导人那能满足人心的圣灵的渴望。那位应许的神始终警告人，不要被那从起初就显得「好作食物……悦人的眼目……可喜爱的，能使人有智慧」的东西诱惑。</w:t>
      </w:r>
      <w:r>
        <w:rPr>
          <w:rStyle w:val="FootnoteReference"/>
        </w:rPr>
        <w:footnoteReference w:id="3742"/>
      </w:r>
    </w:p>
    <w:p>
      <w:pPr>
        <w:pStyle w:val="BodyText"/>
      </w:pPr>
      <w:r>
        <w:t xml:space="preserve">托付给以色列的律法，从来不足以使受其约束的人称义；它甚至成了「私欲」的工具。</w:t>
      </w:r>
      <w:r>
        <w:rPr>
          <w:rStyle w:val="FootnoteReference"/>
        </w:rPr>
        <w:footnoteReference w:id="3743"/>
      </w:r>
      <w:r>
        <w:t xml:space="preserve">想要与实行之间的落差，指出了神的律法——也就是「我心中的律」——与另一种律之间的冲突；那另一种律「把我掳去，叫我附从那肢体中犯罪的律」。</w:t>
      </w:r>
      <w:r>
        <w:rPr>
          <w:rStyle w:val="FootnoteReference"/>
        </w:rPr>
        <w:footnoteReference w:id="3744"/>
      </w:r>
    </w:p>
    <w:p>
      <w:pPr>
        <w:pStyle w:val="BodyText"/>
      </w:pPr>
      <w:r>
        <w:t xml:space="preserve">「但如今神的义在律法以外已经显明出来，有律法和先知为证：就是神的义，因信耶稣基督加给一切相信的人，并没有分别。」</w:t>
      </w:r>
      <w:r>
        <w:rPr>
          <w:rStyle w:val="FootnoteReference"/>
        </w:rPr>
        <w:footnoteReference w:id="3745"/>
      </w:r>
      <w:r>
        <w:t xml:space="preserve">从此，基督的信徒「已经把肉体连肉体的邪情私欲同钉在十字架上了」；他们受圣灵引导，并跟随圣灵的渴望。</w:t>
      </w:r>
      <w:r>
        <w:rPr>
          <w:rStyle w:val="FootnoteReference"/>
        </w:rPr>
        <w:footnoteReference w:id="3746"/>
      </w:r>
    </w:p>
    <w:bookmarkEnd w:id="3747"/>
    <w:bookmarkStart w:id="3757" w:name="三心灵的贫穷"/>
    <w:p>
      <w:pPr>
        <w:pStyle w:val="Heading5"/>
      </w:pPr>
      <w:r>
        <w:t xml:space="preserve">三、心灵的贫穷</w:t>
      </w:r>
    </w:p>
    <w:p>
      <w:pPr>
        <w:pStyle w:val="FirstParagraph"/>
      </w:pPr>
      <w:r>
        <w:t xml:space="preserve">耶稣吩咐他的门徒要把他置于一切与众人之上，并为他以及福音的缘故，吩咐他们「撇下一切所有的」。</w:t>
      </w:r>
      <w:r>
        <w:rPr>
          <w:rStyle w:val="FootnoteReference"/>
        </w:rPr>
        <w:footnoteReference w:id="3748"/>
      </w:r>
      <w:r>
        <w:t xml:space="preserve">在他受难前不久，他以耶路撒冷那位穷寡妇作榜样：她在贫穷中，把自己赖以度日的一切都献上了。</w:t>
      </w:r>
      <w:r>
        <w:rPr>
          <w:rStyle w:val="FootnoteReference"/>
        </w:rPr>
        <w:footnoteReference w:id="3749"/>
      </w:r>
      <w:r>
        <w:t xml:space="preserve">进入天国，必须遵守摆脱财富束缚的诫命。</w:t>
      </w:r>
    </w:p>
    <w:p>
      <w:pPr>
        <w:pStyle w:val="BodyText"/>
      </w:pPr>
      <w:r>
        <w:t xml:space="preserve">所有基督的信徒都应「端正地引导自己的情感，免得因使用世物而妨碍他们追求圆满仁爱，也免得因一种违背福音贫穷精神的执著财富而受到阻拦。」</w:t>
      </w:r>
      <w:r>
        <w:rPr>
          <w:rStyle w:val="FootnoteReference"/>
        </w:rPr>
        <w:footnoteReference w:id="3750"/>
      </w:r>
    </w:p>
    <w:p>
      <w:pPr>
        <w:pStyle w:val="BodyText"/>
      </w:pPr>
      <w:r>
        <w:t xml:space="preserve">「虚心的人有福了！因为天国是他们的。」</w:t>
      </w:r>
      <w:r>
        <w:rPr>
          <w:rStyle w:val="FootnoteReference"/>
        </w:rPr>
        <w:footnoteReference w:id="3751"/>
      </w:r>
      <w:r>
        <w:t xml:space="preserve">八福揭示了幸福与恩典、美与和平的秩序。耶稣颂扬贫穷人的喜乐，因为天国已经属于他们。</w:t>
      </w:r>
      <w:r>
        <w:rPr>
          <w:rStyle w:val="FootnoteReference"/>
        </w:rPr>
        <w:footnoteReference w:id="3752"/>
      </w:r>
    </w:p>
    <w:p>
      <w:pPr>
        <w:pStyle w:val="BodyText"/>
      </w:pPr>
      <w:r>
        <w:t xml:space="preserve">\n &gt;</w:t>
      </w:r>
      <w:r>
        <w:t xml:space="preserve"> </w:t>
      </w:r>
      <w:r>
        <w:t xml:space="preserve">&gt; 「道把自愿的谦卑称为『心灵的贫穷』；使徒在说：『他本来富足，却为你们成了贫穷。』时，就举出了神的贫穷作为例子。」</w:t>
      </w:r>
      <w:r>
        <w:rPr>
          <w:rStyle w:val="FootnoteReference"/>
        </w:rPr>
        <w:footnoteReference w:id="3753"/>
      </w:r>
    </w:p>
    <w:p>
      <w:pPr>
        <w:pStyle w:val="BodyText"/>
      </w:pPr>
      <w:r>
        <w:t xml:space="preserve">主为富足的人忧伤，因为他们在财物的丰盛里找到自己的安慰。</w:t>
      </w:r>
      <w:r>
        <w:rPr>
          <w:rStyle w:val="FootnoteReference"/>
        </w:rPr>
        <w:footnoteReference w:id="3754"/>
      </w:r>
      <w:r>
        <w:t xml:space="preserve">「让骄傲的人去寻求并爱地上的国吧，但虚心的人有福了，因为天国是他们的。」</w:t>
      </w:r>
      <w:r>
        <w:rPr>
          <w:rStyle w:val="FootnoteReference"/>
        </w:rPr>
        <w:footnoteReference w:id="3755"/>
      </w:r>
      <w:r>
        <w:t xml:space="preserve">把自己交托给天上父的护理，使我们从对明天的忧虑中得释放。</w:t>
      </w:r>
      <w:r>
        <w:rPr>
          <w:rStyle w:val="FootnoteReference"/>
        </w:rPr>
        <w:footnoteReference w:id="3756"/>
      </w:r>
      <w:r>
        <w:t xml:space="preserve">信靠神，是为虚心之人的福乐作准备。他们将要见神。</w:t>
      </w:r>
    </w:p>
    <w:bookmarkEnd w:id="3757"/>
    <w:bookmarkStart w:id="3761" w:name="四我想要见神"/>
    <w:p>
      <w:pPr>
        <w:pStyle w:val="Heading5"/>
      </w:pPr>
      <w:r>
        <w:t xml:space="preserve">四、「我想要见神」</w:t>
      </w:r>
    </w:p>
    <w:p>
      <w:pPr>
        <w:pStyle w:val="FirstParagraph"/>
      </w:pPr>
      <w:r>
        <w:t xml:space="preserve">对真正幸福的渴望，使人从对这世界财物的过度依恋中得自由，好让他在见神与享受神的福乐中得到圆满。「这应许［得见神］超越一切福乐……在圣经里，看见就是拥有……凡看见神的人，就得着了他所能想象的一切美善。」</w:t>
      </w:r>
      <w:r>
        <w:rPr>
          <w:rStyle w:val="FootnoteReference"/>
        </w:rPr>
        <w:footnoteReference w:id="3758"/>
      </w:r>
    </w:p>
    <w:p>
      <w:pPr>
        <w:pStyle w:val="BodyText"/>
      </w:pPr>
      <w:r>
        <w:t xml:space="preserve">对圣洁的子民来说，还需要靠从上而来的恩典去争战，才能得着神所应许的美善。为了拥有并默观神，基督的信徒治死自己的贪恋，并在神恩典的帮助下，胜过享乐与权势的诱惑。</w:t>
      </w:r>
    </w:p>
    <w:p>
      <w:pPr>
        <w:pStyle w:val="BodyText"/>
      </w:pPr>
      <w:r>
        <w:t xml:space="preserve">在这条成全之路上，圣灵与新妇向一切听见的人呼唤：</w:t>
      </w:r>
      <w:r>
        <w:rPr>
          <w:rStyle w:val="FootnoteReference"/>
        </w:rPr>
        <w:footnoteReference w:id="3759"/>
      </w:r>
      <w:r>
        <w:t xml:space="preserve">要与神进入圆满的共融：</w:t>
      </w:r>
    </w:p>
    <w:p>
      <w:pPr>
        <w:pStyle w:val="BodyText"/>
      </w:pPr>
      <w:r>
        <w:t xml:space="preserve">\n &gt;</w:t>
      </w:r>
      <w:r>
        <w:t xml:space="preserve"> </w:t>
      </w:r>
      <w:r>
        <w:t xml:space="preserve">&gt; 「在那里，将有真正的荣耀；没有人会因误解或奉承而被称赞。真正的尊荣不会被拒绝给配得的人，也不会被授予不配的人；同样，不配的人不会假装自己配得，因为只有配得的人才会被接纳。在那里，真正的平安要掌权；没有人会从自己或他人那里经历对立。神自己将成为德行的赏报；他赐下德行，并应许把他自己作为可能存在的最好、最大的赏报赐下……『我要作他们的神，你们要作我的子民。』……这也是使徒的话的意思：『叫神在万物之上，为万物之主。』神自己将成为我们渴望的目标；我们将无穷尽地默观他，无厌足地爱他，无疲倦地赞美他。这恩赐、这状态、这行动，就像永生本身一样，必定是众人所共有的。」</w:t>
      </w:r>
      <w:r>
        <w:rPr>
          <w:rStyle w:val="FootnoteReference"/>
        </w:rPr>
        <w:footnoteReference w:id="3760"/>
      </w:r>
    </w:p>
    <w:bookmarkEnd w:id="3761"/>
    <w:bookmarkEnd w:id="3762"/>
    <w:bookmarkStart w:id="3764" w:name="综述-65"/>
    <w:p>
      <w:pPr>
        <w:pStyle w:val="Heading4"/>
      </w:pPr>
      <w:r>
        <w:t xml:space="preserve">综述</w:t>
      </w:r>
    </w:p>
    <w:p>
      <w:pPr>
        <w:pStyle w:val="FirstParagraph"/>
      </w:pPr>
      <w:r>
        <w:t xml:space="preserve">「因为你的财宝在哪里，你的心也在那里。」</w:t>
      </w:r>
      <w:r>
        <w:rPr>
          <w:rStyle w:val="FootnoteReference"/>
        </w:rPr>
        <w:footnoteReference w:id="3763"/>
      </w:r>
    </w:p>
    <w:p>
      <w:pPr>
        <w:pStyle w:val="BodyText"/>
      </w:pPr>
      <w:r>
        <w:t xml:space="preserve">第十诫禁止那种出于对财富及其带来之权势的情绪冲动而产生的贪财。</w:t>
      </w:r>
    </w:p>
    <w:p>
      <w:pPr>
        <w:pStyle w:val="BodyText"/>
      </w:pPr>
      <w:r>
        <w:t xml:space="preserve">嫉妒就是看到他人的财物而感到忧伤，并且对这些财物产生过度的欲望，想把它们据为己有。它是一项本罪。</w:t>
      </w:r>
    </w:p>
    <w:p>
      <w:pPr>
        <w:pStyle w:val="BodyText"/>
      </w:pPr>
      <w:r>
        <w:t xml:space="preserve">受洗的人藉着善意、谦卑，并把自己交托给神的护理来对抗嫉妒。</w:t>
      </w:r>
    </w:p>
    <w:p>
      <w:pPr>
        <w:pStyle w:val="BodyText"/>
      </w:pPr>
      <w:r>
        <w:t xml:space="preserve">基督的信徒「已经把肉体连肉体的邪情私欲同钉在十字架上了」（加 5:24）；他们受圣灵引导，并跟随圣灵的渴望。</w:t>
      </w:r>
    </w:p>
    <w:p>
      <w:pPr>
        <w:pStyle w:val="BodyText"/>
      </w:pPr>
      <w:r>
        <w:t xml:space="preserve">进入天国必须摆脱财富束缚。「虚心的人有福了！」</w:t>
      </w:r>
    </w:p>
    <w:p>
      <w:pPr>
        <w:pStyle w:val="BodyText"/>
      </w:pPr>
      <w:r>
        <w:t xml:space="preserve">「我想要见神」表达了人真正的渴望。对神的干渴要借着永生的活水得满足（参约 4:14）。</w:t>
      </w:r>
    </w:p>
    <w:p>
      <w:r>
        <w:br w:type="page"/>
      </w:r>
    </w:p>
    <w:bookmarkEnd w:id="3764"/>
    <w:bookmarkEnd w:id="3765"/>
    <w:bookmarkEnd w:id="3766"/>
    <w:bookmarkEnd w:id="3767"/>
    <w:bookmarkStart w:id="4229" w:name="卷四基督徒祈祷"/>
    <w:p>
      <w:pPr>
        <w:pStyle w:val="Heading1"/>
      </w:pPr>
      <w:r>
        <w:t xml:space="preserve">卷四：基督徒祈祷</w:t>
      </w:r>
    </w:p>
    <w:p>
      <w:r>
        <w:br w:type="page"/>
      </w:r>
    </w:p>
    <w:bookmarkStart w:id="4039" w:name="第一部分基督徒生活中的祈祷"/>
    <w:p>
      <w:pPr>
        <w:pStyle w:val="Heading2"/>
      </w:pPr>
      <w:r>
        <w:t xml:space="preserve">第一部分：基督徒生活中的祈祷</w:t>
      </w:r>
    </w:p>
    <w:p>
      <w:pPr>
        <w:pStyle w:val="FirstParagraph"/>
      </w:pPr>
      <w:r>
        <w:t xml:space="preserve">「信仰的奥秘是大的！」教会在使徒信经中宣认这奥秘（</w:t>
      </w:r>
      <w:r>
        <w:rPr>
          <w:i/>
          <w:iCs/>
        </w:rPr>
        <w:t xml:space="preserve">卷一</w:t>
      </w:r>
      <w:r>
        <w:t xml:space="preserve">），并在圣事礼仪中庆祝这奥秘（</w:t>
      </w:r>
      <w:r>
        <w:rPr>
          <w:i/>
          <w:iCs/>
        </w:rPr>
        <w:t xml:space="preserve">卷二</w:t>
      </w:r>
      <w:r>
        <w:t xml:space="preserve">），使信徒的生活能在圣灵里效法基督，以光荣父神（</w:t>
      </w:r>
      <w:r>
        <w:rPr>
          <w:i/>
          <w:iCs/>
        </w:rPr>
        <w:t xml:space="preserve">卷三</w:t>
      </w:r>
      <w:r>
        <w:t xml:space="preserve">）。因此，这奥秘要求信徒相信它、庆祝它，并在与那又活又真的神建立起有生命、个人性的关系中，从它而活。这关系就是祈祷。</w:t>
      </w:r>
    </w:p>
    <w:bookmarkStart w:id="3782" w:name="什么是祈祷"/>
    <w:p>
      <w:pPr>
        <w:pStyle w:val="Heading3"/>
      </w:pPr>
      <w:r>
        <w:t xml:space="preserve">什么是祈祷？</w:t>
      </w:r>
    </w:p>
    <w:p>
      <w:pPr>
        <w:pStyle w:val="FirstParagraph"/>
      </w:pPr>
      <w:r>
        <w:t xml:space="preserve">\n &gt;</w:t>
      </w:r>
      <w:r>
        <w:t xml:space="preserve"> </w:t>
      </w:r>
      <w:r>
        <w:t xml:space="preserve">&gt; 「对我来说，祈祷是心灵的涌动；是转向天上的简单一瞥；是承认与爱的呼喊，拥抱试炼也拥抱喜乐。」</w:t>
      </w:r>
      <w:r>
        <w:rPr>
          <w:rStyle w:val="FootnoteReference"/>
        </w:rPr>
        <w:footnoteReference w:id="3768"/>
      </w:r>
    </w:p>
    <w:p>
      <w:pPr>
        <w:pStyle w:val="BodyText"/>
      </w:pPr>
      <w:r>
        <w:rPr>
          <w:b/>
          <w:bCs/>
        </w:rPr>
        <w:t xml:space="preserve">祈祷作为神的恩赐</w:t>
      </w:r>
    </w:p>
    <w:p>
      <w:pPr>
        <w:pStyle w:val="BodyText"/>
      </w:pPr>
      <w:r>
        <w:t xml:space="preserve">「祈祷就是举心向神，或向神求合宜的恩惠。」</w:t>
      </w:r>
      <w:r>
        <w:rPr>
          <w:rStyle w:val="FootnoteReference"/>
        </w:rPr>
        <w:footnoteReference w:id="3769"/>
      </w:r>
      <w:r>
        <w:t xml:space="preserve">但我们祈祷时，是从自己骄傲与意志的高处说话，还是「从深处」——从谦卑而痛悔的心发出呢？</w:t>
      </w:r>
      <w:r>
        <w:rPr>
          <w:rStyle w:val="FootnoteReference"/>
        </w:rPr>
        <w:footnoteReference w:id="3770"/>
      </w:r>
      <w:r>
        <w:t xml:space="preserve">自卑的，必升为高。</w:t>
      </w:r>
      <w:r>
        <w:rPr>
          <w:rStyle w:val="FootnoteReference"/>
        </w:rPr>
        <w:footnoteReference w:id="3771"/>
      </w:r>
      <w:r>
        <w:rPr>
          <w:i/>
          <w:iCs/>
        </w:rPr>
        <w:t xml:space="preserve">谦卑</w:t>
      </w:r>
      <w:r>
        <w:t xml:space="preserve">是祈祷的基础。只有当我们谦卑地承认「我们本不晓得当怎样祷告」</w:t>
      </w:r>
      <w:r>
        <w:rPr>
          <w:rStyle w:val="FootnoteReference"/>
        </w:rPr>
        <w:footnoteReference w:id="3772"/>
      </w:r>
      <w:r>
        <w:t xml:space="preserve">时，我们才准备好白白领受祈祷的恩赐。「人是在神面前的乞丐。」</w:t>
      </w:r>
      <w:r>
        <w:rPr>
          <w:rStyle w:val="FootnoteReference"/>
        </w:rPr>
        <w:footnoteReference w:id="3773"/>
      </w:r>
    </w:p>
    <w:p>
      <w:pPr>
        <w:pStyle w:val="BodyText"/>
      </w:pPr>
      <w:r>
        <w:t xml:space="preserve">「你若知道神的恩赐！」</w:t>
      </w:r>
      <w:r>
        <w:rPr>
          <w:rStyle w:val="FootnoteReference"/>
        </w:rPr>
        <w:footnoteReference w:id="3774"/>
      </w:r>
      <w:r>
        <w:t xml:space="preserve">祈祷的奇妙，在井旁被揭示出来：我们来寻水时，基督在那里迎向每一个人。是他先寻找我们，并向我们要水喝。耶稣口渴；他的请求出自神对我们之渴望的深处。无论我们是否意识到，祈祷就是神的干渴与我们的干渴相遇。神渴望我们渴望他。</w:t>
      </w:r>
      <w:r>
        <w:rPr>
          <w:rStyle w:val="FootnoteReference"/>
        </w:rPr>
        <w:footnoteReference w:id="3775"/>
      </w:r>
    </w:p>
    <w:p>
      <w:pPr>
        <w:pStyle w:val="BodyText"/>
      </w:pPr>
      <w:r>
        <w:t xml:space="preserve">「你若早求他，他也必早给了你活水。」</w:t>
      </w:r>
      <w:r>
        <w:rPr>
          <w:rStyle w:val="FootnoteReference"/>
        </w:rPr>
        <w:footnoteReference w:id="3776"/>
      </w:r>
      <w:r>
        <w:t xml:space="preserve">矛盾的是，我们求告的祈祷，其实是对那位永生的神之恳求的回应：「因为我的百姓作了两件恶事，就是离弃我这活水的泉源，为自己凿出池子，是破裂不能存水的池子。」</w:t>
      </w:r>
      <w:r>
        <w:rPr>
          <w:rStyle w:val="FootnoteReference"/>
        </w:rPr>
        <w:footnoteReference w:id="3777"/>
      </w:r>
      <w:r>
        <w:t xml:space="preserve">祈祷是信心对救恩白白应许的回应，也是爱对神独生子之干渴的回应。</w:t>
      </w:r>
      <w:r>
        <w:rPr>
          <w:rStyle w:val="FootnoteReference"/>
        </w:rPr>
        <w:footnoteReference w:id="3778"/>
      </w:r>
    </w:p>
    <w:p>
      <w:pPr>
        <w:pStyle w:val="BodyText"/>
      </w:pPr>
      <w:r>
        <w:rPr>
          <w:b/>
          <w:bCs/>
        </w:rPr>
        <w:t xml:space="preserve">祈祷作为约</w:t>
      </w:r>
    </w:p>
    <w:p>
      <w:pPr>
        <w:pStyle w:val="BodyText"/>
      </w:pPr>
      <w:r>
        <w:t xml:space="preserve">祈祷从哪里来？不论祈祷是用言语还是用姿态表达，祈祷的是整个人。但当圣经指明祈祷的源头时，有时说是灵魂或灵，却最常说的是心（超过一千次）。按圣经的说法，是</w:t>
      </w:r>
      <w:r>
        <w:rPr>
          <w:i/>
          <w:iCs/>
        </w:rPr>
        <w:t xml:space="preserve">心</w:t>
      </w:r>
      <w:r>
        <w:t xml:space="preserve">在祈祷。如果我们的心远离神，祈祷的话语就是徒然。</w:t>
      </w:r>
    </w:p>
    <w:p>
      <w:pPr>
        <w:pStyle w:val="BodyText"/>
      </w:pPr>
      <w:r>
        <w:t xml:space="preserve">心是我所在之处，是我生活之处；按闪族或圣经的说法，心是「我退回去」的地方。心是我们隐藏的中心，超出我们的理性和他人的把握；只有神的灵能洞察人的心，并完全认识它。心是作决定的地方，比我们的心理冲动更深。心是真理的地方，我们在那里选择生命或死亡。心是相遇的地方：因为我们作为神的形象，是活在关系之中；心是约的地方。</w:t>
      </w:r>
    </w:p>
    <w:p>
      <w:pPr>
        <w:pStyle w:val="BodyText"/>
      </w:pPr>
      <w:r>
        <w:t xml:space="preserve">基督徒祈祷是在基督里，神与人之间的约的关系。它是神与人的行动，既从圣灵也从我们里面涌出，完全指向父，并与那位成了人的神子之人性意志相结合。</w:t>
      </w:r>
    </w:p>
    <w:p>
      <w:pPr>
        <w:pStyle w:val="BodyText"/>
      </w:pPr>
      <w:r>
        <w:rPr>
          <w:b/>
          <w:bCs/>
        </w:rPr>
        <w:t xml:space="preserve">祈祷作为共融</w:t>
      </w:r>
    </w:p>
    <w:p>
      <w:pPr>
        <w:pStyle w:val="BodyText"/>
      </w:pPr>
      <w:r>
        <w:t xml:space="preserve">在新约里，祈祷是神的儿女与那无比良善的父、与他的子耶稣基督、并与圣灵之间的生活关系。天国的恩典就是「至圣、君尊的三位一体……与整个人的灵的结合」。</w:t>
      </w:r>
      <w:r>
        <w:rPr>
          <w:rStyle w:val="FootnoteReference"/>
        </w:rPr>
        <w:footnoteReference w:id="3779"/>
      </w:r>
      <w:r>
        <w:t xml:space="preserve">因此，祈祷生活就是习惯于活在那至圣的神面前，并与他共融。这生命的共融永远是可能的，因为借着洗礼，我们已经与基督联合了。</w:t>
      </w:r>
      <w:r>
        <w:rPr>
          <w:rStyle w:val="FootnoteReference"/>
        </w:rPr>
        <w:footnoteReference w:id="3780"/>
      </w:r>
      <w:r>
        <w:t xml:space="preserve">祈祷之所以是</w:t>
      </w:r>
      <w:r>
        <w:rPr>
          <w:i/>
          <w:iCs/>
        </w:rPr>
        <w:t xml:space="preserve">基督徒的</w:t>
      </w:r>
      <w:r>
        <w:t xml:space="preserve">，在于它与基督共融，并遍及整个教会——他的身体。祈祷的尺度就是基督的爱。</w:t>
      </w:r>
      <w:r>
        <w:rPr>
          <w:rStyle w:val="FootnoteReference"/>
        </w:rPr>
        <w:footnoteReference w:id="3781"/>
      </w:r>
    </w:p>
    <w:p>
      <w:r>
        <w:br w:type="page"/>
      </w:r>
    </w:p>
    <w:bookmarkEnd w:id="3782"/>
    <w:bookmarkStart w:id="3923" w:name="第一章祈祷的启示"/>
    <w:p>
      <w:pPr>
        <w:pStyle w:val="Heading3"/>
      </w:pPr>
      <w:r>
        <w:t xml:space="preserve">第一章：祈祷的启示</w:t>
      </w:r>
    </w:p>
    <w:p>
      <w:pPr>
        <w:pStyle w:val="FirstParagraph"/>
      </w:pPr>
      <w:r>
        <w:rPr>
          <w:b/>
          <w:bCs/>
        </w:rPr>
        <w:t xml:space="preserve">普遍的祈祷呼召</w:t>
      </w:r>
    </w:p>
    <w:p>
      <w:pPr>
        <w:pStyle w:val="BodyText"/>
      </w:pPr>
      <w:r>
        <w:t xml:space="preserve">人是在寻找神。在创造的行动中，神把每个存在从虚无中呼召出来。「赐他荣耀尊贵为冠冕」，人仅次于天使，能够承认「耶和华我们的主啊，你的名在全地何其美」。</w:t>
      </w:r>
      <w:r>
        <w:rPr>
          <w:rStyle w:val="FootnoteReference"/>
        </w:rPr>
        <w:footnoteReference w:id="3783"/>
      </w:r>
      <w:r>
        <w:t xml:space="preserve">即使人因罪失去了神的样式，他仍是造物主的形象，也仍保有对那位呼召他进入存在者的渴望。一切宗教都见证了人对神的根本性寻求。</w:t>
      </w:r>
      <w:r>
        <w:rPr>
          <w:rStyle w:val="FootnoteReference"/>
        </w:rPr>
        <w:footnoteReference w:id="3784"/>
      </w:r>
    </w:p>
    <w:p>
      <w:pPr>
        <w:pStyle w:val="BodyText"/>
      </w:pPr>
      <w:r>
        <w:t xml:space="preserve">是神先呼召人。人可能忘记造他的主，或躲避他的面；可能追逐偶像，或指控神明抛弃了他；然而那又活又真的神仍不知疲倦地呼召每个人进入那奥秘的相遇，也就是祈祷。在祈祷中，信实之神爱的主动永远先行；我们自己的第一步永远是回应。随着神逐步启示自己，也把人启示给自己，祈祷就显得是一种彼此的呼唤、一场约的戏剧。这戏剧藉着言语与行动牵动人的心，并贯穿整个救恩史。</w:t>
      </w:r>
    </w:p>
    <w:p>
      <w:r>
        <w:br w:type="page"/>
      </w:r>
    </w:p>
    <w:bookmarkStart w:id="3823" w:name="第一条在旧约中"/>
    <w:p>
      <w:pPr>
        <w:pStyle w:val="Heading4"/>
      </w:pPr>
      <w:r>
        <w:t xml:space="preserve">第一条：在旧约中</w:t>
      </w:r>
    </w:p>
    <w:p>
      <w:pPr>
        <w:pStyle w:val="FirstParagraph"/>
      </w:pPr>
      <w:r>
        <w:rPr>
          <w:b/>
          <w:bCs/>
        </w:rPr>
        <w:t xml:space="preserve">受造——祈祷的源头</w:t>
      </w:r>
    </w:p>
    <w:p>
      <w:pPr>
        <w:pStyle w:val="BodyText"/>
      </w:pPr>
      <w:r>
        <w:t xml:space="preserve">在旧约里，祈祷的启示位于人的堕落与复原之间，也就是介于神对他最初儿女那带着忧伤的呼唤：「你在哪里？」……「你做的是什么事呢？」</w:t>
      </w:r>
      <w:r>
        <w:rPr>
          <w:rStyle w:val="FootnoteReference"/>
        </w:rPr>
        <w:footnoteReference w:id="3785"/>
      </w:r>
      <w:r>
        <w:t xml:space="preserve">与神的独生子进入世界时的回应之间：「神啊，我来了，为要照你的旨意行。」</w:t>
      </w:r>
      <w:r>
        <w:rPr>
          <w:rStyle w:val="FootnoteReference"/>
        </w:rPr>
        <w:footnoteReference w:id="3786"/>
      </w:r>
      <w:r>
        <w:t xml:space="preserve">祈祷与人类历史紧密相连，因为它是在历史事件中与神的关系。</w:t>
      </w:r>
    </w:p>
    <w:p>
      <w:pPr>
        <w:pStyle w:val="BodyText"/>
      </w:pPr>
      <w:r>
        <w:t xml:space="preserve">祈祷首先从</w:t>
      </w:r>
      <w:r>
        <w:rPr>
          <w:i/>
          <w:iCs/>
        </w:rPr>
        <w:t xml:space="preserve">受造</w:t>
      </w:r>
      <w:r>
        <w:t xml:space="preserve">的现实开始被活出来。创世记前九章把这种与神的关系描述为：献上亚伯羊群中头生的供物；在以挪士的时代呼求神的名；以及「与神同行」。</w:t>
      </w:r>
      <w:r>
        <w:rPr>
          <w:rStyle w:val="FootnoteReference"/>
        </w:rPr>
        <w:footnoteReference w:id="3787"/>
      </w:r>
      <w:r>
        <w:t xml:space="preserve">挪亚的祭蒙神喜悦；神赐福给他，也借着他赐福一切受造界，因为他的心正直且专一；挪亚像他以前的以诺一样，「与神同行」。</w:t>
      </w:r>
      <w:r>
        <w:rPr>
          <w:rStyle w:val="FootnoteReference"/>
        </w:rPr>
        <w:footnoteReference w:id="3788"/>
      </w:r>
      <w:r>
        <w:t xml:space="preserve">这种祈祷也被许多宗教中的义人活出来。</w:t>
      </w:r>
    </w:p>
    <w:p>
      <w:pPr>
        <w:pStyle w:val="BodyText"/>
      </w:pPr>
      <w:r>
        <w:t xml:space="preserve">在他与一切有生命者那永不废弃的约中，</w:t>
      </w:r>
      <w:r>
        <w:rPr>
          <w:rStyle w:val="FootnoteReference"/>
        </w:rPr>
        <w:footnoteReference w:id="3789"/>
      </w:r>
      <w:r>
        <w:t xml:space="preserve">神始终呼召人祈祷。但在旧约里，祈祷尤其是从我们的祖宗亚伯拉罕开始被启示出来。</w:t>
      </w:r>
    </w:p>
    <w:p>
      <w:pPr>
        <w:pStyle w:val="BodyText"/>
      </w:pPr>
      <w:r>
        <w:rPr>
          <w:b/>
          <w:bCs/>
        </w:rPr>
        <w:t xml:space="preserve">神的应许与信心的祈祷</w:t>
      </w:r>
    </w:p>
    <w:p>
      <w:pPr>
        <w:pStyle w:val="BodyText"/>
      </w:pPr>
      <w:r>
        <w:t xml:space="preserve">当神呼召他时，亚伯拉罕就「照着耶和华的吩咐」出去。</w:t>
      </w:r>
      <w:r>
        <w:rPr>
          <w:rStyle w:val="FootnoteReference"/>
        </w:rPr>
        <w:footnoteReference w:id="3790"/>
      </w:r>
      <w:r>
        <w:t xml:space="preserve">亚伯拉罕的心完全顺服于道，因此他顺服。这样的心之专注——按神的旨意作决定——对祈祷是不可少的；而所用的言语，只有在与这种专注相关时才算重要。亚伯拉罕的祈祷首先以行动表达：作为一个沉默的人，他在旅程的每个阶段都为耶和华筑一座坛。后来，亚伯拉罕才出现第一次以言语表达的祈祷：一种含蓄的抱怨，提醒神他的应许似乎尚未实现。</w:t>
      </w:r>
      <w:r>
        <w:rPr>
          <w:rStyle w:val="FootnoteReference"/>
        </w:rPr>
        <w:footnoteReference w:id="3791"/>
      </w:r>
      <w:r>
        <w:t xml:space="preserve">因此，祈祷这戏剧的一个面向从一开始就显露出来：在神的信实上，信心所受的考验。</w:t>
      </w:r>
    </w:p>
    <w:p>
      <w:pPr>
        <w:pStyle w:val="BodyText"/>
      </w:pPr>
      <w:r>
        <w:t xml:space="preserve">因为亚伯拉罕信神，行在他面前，并与他立约，</w:t>
      </w:r>
      <w:r>
        <w:rPr>
          <w:rStyle w:val="FootnoteReference"/>
        </w:rPr>
        <w:footnoteReference w:id="3792"/>
      </w:r>
      <w:r>
        <w:t xml:space="preserve">这位族长就准备好在帐棚里迎接一位神秘的客旅。亚伯拉罕在幔利那出众的款待，预示了真应许之子的报喜。</w:t>
      </w:r>
      <w:r>
        <w:rPr>
          <w:rStyle w:val="FootnoteReference"/>
        </w:rPr>
        <w:footnoteReference w:id="3793"/>
      </w:r>
      <w:r>
        <w:t xml:space="preserve">此后，当神把他的计划托付给他时，亚伯拉罕的心就与主对人的怜悯同调，他也大胆地以勇敢的信赖为他们代求。</w:t>
      </w:r>
      <w:r>
        <w:rPr>
          <w:rStyle w:val="FootnoteReference"/>
        </w:rPr>
        <w:footnoteReference w:id="3794"/>
      </w:r>
    </w:p>
    <w:p>
      <w:pPr>
        <w:pStyle w:val="BodyText"/>
      </w:pPr>
      <w:r>
        <w:t xml:space="preserve">作为信心净化的最后阶段，亚伯拉罕——「得了应许」的人——</w:t>
      </w:r>
      <w:r>
        <w:rPr>
          <w:rStyle w:val="FootnoteReference"/>
        </w:rPr>
        <w:footnoteReference w:id="3795"/>
      </w:r>
      <w:r>
        <w:t xml:space="preserve">被要求献上神赐给他的儿子。亚伯拉罕的信心没有动摇（「我儿，神必自己预备作燔祭的羊羔。」），因为他「以为神还能叫人从死里复活」。</w:t>
      </w:r>
      <w:r>
        <w:rPr>
          <w:rStyle w:val="FootnoteReference"/>
        </w:rPr>
        <w:footnoteReference w:id="3796"/>
      </w:r>
      <w:r>
        <w:t xml:space="preserve">这样，信者之父就被塑造成父的样式：父不爱惜自己的儿子，却为我们众人舍了他。</w:t>
      </w:r>
      <w:r>
        <w:rPr>
          <w:rStyle w:val="FootnoteReference"/>
        </w:rPr>
        <w:footnoteReference w:id="3797"/>
      </w:r>
      <w:r>
        <w:t xml:space="preserve">祈祷使人恢复到神的形象，也使人能分享神那拯救众人的大爱的能力。</w:t>
      </w:r>
      <w:r>
        <w:rPr>
          <w:rStyle w:val="FootnoteReference"/>
        </w:rPr>
        <w:footnoteReference w:id="3798"/>
      </w:r>
    </w:p>
    <w:p>
      <w:pPr>
        <w:pStyle w:val="BodyText"/>
      </w:pPr>
      <w:r>
        <w:t xml:space="preserve">神更新他对雅各——以色列十二支派的祖先——的应许。</w:t>
      </w:r>
      <w:r>
        <w:rPr>
          <w:rStyle w:val="FootnoteReference"/>
        </w:rPr>
        <w:footnoteReference w:id="3799"/>
      </w:r>
      <w:r>
        <w:t xml:space="preserve">在与哥哥以扫相见之前，雅各整夜与一位神秘者摔跤；那位神秘者拒绝说出自己的名字，却在黎明离开前祝福了他。从这个叙述中，教会的灵修传统保留了一个象征：祈祷是信心的争战，也是坚持到底之人的凯旋。</w:t>
      </w:r>
      <w:r>
        <w:rPr>
          <w:rStyle w:val="FootnoteReference"/>
        </w:rPr>
        <w:footnoteReference w:id="3800"/>
      </w:r>
    </w:p>
    <w:p>
      <w:pPr>
        <w:pStyle w:val="BodyText"/>
      </w:pPr>
      <w:r>
        <w:rPr>
          <w:b/>
          <w:bCs/>
        </w:rPr>
        <w:t xml:space="preserve">摩西与中保的祈祷</w:t>
      </w:r>
    </w:p>
    <w:p>
      <w:pPr>
        <w:pStyle w:val="BodyText"/>
      </w:pPr>
      <w:r>
        <w:t xml:space="preserve">当应许开始实现时（逾越节、出埃及、赐下律法，以及约的缔结），摩西的祈祷就成为代求祈祷最突出的榜样；这祈祷将实现在那位「在神和人中间，只有一位中保，乃是降世为人的基督耶稣」里。</w:t>
      </w:r>
      <w:r>
        <w:rPr>
          <w:rStyle w:val="FootnoteReference"/>
        </w:rPr>
        <w:footnoteReference w:id="3801"/>
      </w:r>
    </w:p>
    <w:p>
      <w:pPr>
        <w:pStyle w:val="BodyText"/>
      </w:pPr>
      <w:r>
        <w:t xml:space="preserve">在这里，主动仍是来自神。他从燃烧的荆棘中呼唤摩西。</w:t>
      </w:r>
      <w:r>
        <w:rPr>
          <w:rStyle w:val="FootnoteReference"/>
        </w:rPr>
        <w:footnoteReference w:id="3802"/>
      </w:r>
      <w:r>
        <w:t xml:space="preserve">这事件将成为犹太人与基督徒灵修传统中，祈祷的基本图像之一。当「亚伯拉罕的神、以撒的神、雅各的神」呼召摩西作他的仆人时，这是因为他是愿意人得生命的永生神。神启示自己，为要拯救人；但他不是独自拯救，也不是不顾人而拯救：他呼召摩西作他的使者，成为他怜悯与救恩工作的同工。在这使命里带着某种来自神的恳求；而摩西经过长久的辩论之后，才使自己的意志与那施行救恩之神的意志同调。但在神把计划托付给他的对话中，摩西也学会了怎样祈祷：他退缩、找借口，尤其不断发问；而主正是在回应他的提问时，把他那不可言说的名托付给他；这名将借着主大能的作为被启示出来。</w:t>
      </w:r>
    </w:p>
    <w:p>
      <w:pPr>
        <w:pStyle w:val="BodyText"/>
      </w:pPr>
      <w:r>
        <w:t xml:space="preserve">「耶和华与摩西面对面说话，好像人与朋友说话一般。」</w:t>
      </w:r>
      <w:r>
        <w:rPr>
          <w:rStyle w:val="FootnoteReference"/>
        </w:rPr>
        <w:footnoteReference w:id="3803"/>
      </w:r>
      <w:r>
        <w:t xml:space="preserve">摩西的祈祷是默观祈祷的典型：藉此，神的仆人对自己的使命保持忠信。摩西经常、长久地与神交谈：他上山聆听并恳求，然后下到百姓那里，把他神的话复述给他们作引导。「摩西为人极其谦和，胜过世上的众人。」并且神说：「我的仆人摩西不是这样；他是在我全家尽忠的。我要与他面对面说话，乃是明说，不用谜语。」</w:t>
      </w:r>
      <w:r>
        <w:rPr>
          <w:rStyle w:val="FootnoteReference"/>
        </w:rPr>
        <w:footnoteReference w:id="3804"/>
      </w:r>
    </w:p>
    <w:p>
      <w:pPr>
        <w:pStyle w:val="BodyText"/>
      </w:pPr>
      <w:r>
        <w:t xml:space="preserve">从与那信实的神——不轻易发怒，并有丰盛慈爱——的亲密中，</w:t>
      </w:r>
      <w:r>
        <w:rPr>
          <w:rStyle w:val="FootnoteReference"/>
        </w:rPr>
        <w:footnoteReference w:id="3805"/>
      </w:r>
      <w:r>
        <w:t xml:space="preserve">摩西获得了为代求所需的力量与决心。他不是为自己祈祷，而是为那群神收为自己的子民祈祷。在与亚玛力人争战时，摩西已经为他们代求，并祈祷求得米利暗得医治。</w:t>
      </w:r>
      <w:r>
        <w:rPr>
          <w:rStyle w:val="FootnoteReference"/>
        </w:rPr>
        <w:footnoteReference w:id="3806"/>
      </w:r>
      <w:r>
        <w:t xml:space="preserve">但尤其是在百姓背道之后，摩西在神面前「站在破口中」，为要拯救百姓。</w:t>
      </w:r>
      <w:r>
        <w:rPr>
          <w:rStyle w:val="FootnoteReference"/>
        </w:rPr>
        <w:footnoteReference w:id="3807"/>
      </w:r>
      <w:r>
        <w:t xml:space="preserve">他祈祷中的理由——因为代求也是一场奥秘的争战——将激发犹太子民以及教会中伟大代求者的勇敢：神就是爱；因此他是公义并信实的；他不能自相矛盾；他必须记念自己奇妙的作为，因为这关乎他的荣耀；他不能离弃这称为他名下的百姓。</w:t>
      </w:r>
    </w:p>
    <w:p>
      <w:pPr>
        <w:pStyle w:val="BodyText"/>
      </w:pPr>
      <w:r>
        <w:rPr>
          <w:b/>
          <w:bCs/>
        </w:rPr>
        <w:t xml:space="preserve">大卫与君王的祈祷</w:t>
      </w:r>
    </w:p>
    <w:p>
      <w:pPr>
        <w:pStyle w:val="BodyText"/>
      </w:pPr>
      <w:r>
        <w:t xml:space="preserve">神子民的祈祷在神居所的荫庇下繁茂：先是约柜，后来是圣殿。起初，百姓的领袖——牧者与先知——教导他们祈祷。幼年的撒母耳必定从母亲哈拿学会如何「侍立在耶和华面前」，也从祭司以利学会如何聆听神的话：「耶和华啊，请说，仆人敬听！」</w:t>
      </w:r>
      <w:r>
        <w:rPr>
          <w:rStyle w:val="FootnoteReference"/>
        </w:rPr>
        <w:footnoteReference w:id="3808"/>
      </w:r>
      <w:r>
        <w:t xml:space="preserve">后来，他也会认识代求的代价与后果：「至于我，断不停止为你们祷告，以致得罪耶和华；我必以善道正路指教你们。」</w:t>
      </w:r>
      <w:r>
        <w:rPr>
          <w:rStyle w:val="FootnoteReference"/>
        </w:rPr>
        <w:footnoteReference w:id="3809"/>
      </w:r>
    </w:p>
    <w:p>
      <w:pPr>
        <w:pStyle w:val="BodyText"/>
      </w:pPr>
      <w:r>
        <w:t xml:space="preserve">大卫卓然是「合神心意」的君王，是那为百姓祈祷、也奉百姓之名祈祷的牧者。他顺服神的旨意，他的赞美与悔改，将成为百姓祈祷的典范。他的祈祷——神所膏者的祈祷——忠实地依附神的应许，并表达对神这唯一君王与主，那充满爱与喜乐的信赖。</w:t>
      </w:r>
      <w:r>
        <w:rPr>
          <w:rStyle w:val="FootnoteReference"/>
        </w:rPr>
        <w:footnoteReference w:id="3810"/>
      </w:r>
      <w:r>
        <w:t xml:space="preserve">在诗篇中，大卫受圣灵默示，是犹太人与基督徒祈祷的第一位先知。基督——真正的弥赛亚、大卫的子孙——的祈祷，将揭示并成全这种祈祷的意义。</w:t>
      </w:r>
    </w:p>
    <w:p>
      <w:pPr>
        <w:pStyle w:val="BodyText"/>
      </w:pPr>
      <w:r>
        <w:t xml:space="preserve">耶路撒冷圣殿——大卫想要建造的祈祷之殿——将由他的儿子所罗门完成。在献殿的祈祷中，人凭借神的应许与约，凭借神的名在他子民中间的积极临在，并回忆出埃及的伟大作为。</w:t>
      </w:r>
      <w:r>
        <w:rPr>
          <w:rStyle w:val="FootnoteReference"/>
        </w:rPr>
        <w:footnoteReference w:id="3811"/>
      </w:r>
      <w:r>
        <w:t xml:space="preserve">君王向天举手，为自己、为全体百姓、也为将来的世代恳求主赦免他们的罪，并赐给他们日用所需，好叫列国知道只有他是神，并叫他百姓的心完全归向他。</w:t>
      </w:r>
    </w:p>
    <w:p>
      <w:pPr>
        <w:pStyle w:val="BodyText"/>
      </w:pPr>
      <w:r>
        <w:rPr>
          <w:b/>
          <w:bCs/>
        </w:rPr>
        <w:t xml:space="preserve">以利亚、先知与心的归正</w:t>
      </w:r>
    </w:p>
    <w:p>
      <w:pPr>
        <w:pStyle w:val="BodyText"/>
      </w:pPr>
      <w:r>
        <w:t xml:space="preserve">对神的子民来说，圣殿本该是他们接受祈祷教育的地方：朝圣、节期与祭献、晚上的献祭、香，以及陈设饼（「陈设饼」）——这些显示至高、至近之神的圣洁与荣耀的标记，都是对祈祷的呼召，也是祈祷的途径。但仪式主义常常促成过度外在化的敬拜。百姓需要在信心里受教育，并需要心的归正；这就是先知的使命，无论在被掳之前还是之后都是如此。</w:t>
      </w:r>
    </w:p>
    <w:p>
      <w:pPr>
        <w:pStyle w:val="BodyText"/>
      </w:pPr>
      <w:r>
        <w:t xml:space="preserve">以利亚被称为先知的「父」，是「寻求耶和华的族类，是寻求你面的雅各」。</w:t>
      </w:r>
      <w:r>
        <w:rPr>
          <w:rStyle w:val="FootnoteReference"/>
        </w:rPr>
        <w:footnoteReference w:id="3812"/>
      </w:r>
      <w:r>
        <w:t xml:space="preserve">以利亚的名字「耶和华是我的神」，预告了百姓在迦密山上回应他祈祷时的呼喊：「耶和华是神！耶和华是神！」</w:t>
      </w:r>
      <w:r>
        <w:rPr>
          <w:rStyle w:val="FootnoteReference"/>
        </w:rPr>
        <w:footnoteReference w:id="3813"/>
      </w:r>
      <w:r>
        <w:t xml:space="preserve">圣雅各提到以利亚，为要鼓励我们祈祷：「义人祈祷所发的力量是大有功效的。」</w:t>
      </w:r>
      <w:r>
        <w:rPr>
          <w:rStyle w:val="FootnoteReference"/>
        </w:rPr>
        <w:footnoteReference w:id="3814"/>
      </w:r>
    </w:p>
    <w:p>
      <w:pPr>
        <w:pStyle w:val="BodyText"/>
      </w:pPr>
      <w:r>
        <w:t xml:space="preserve">以利亚在基立溪的退省中学会怜悯之后，他教导撒勒法的寡妇相信神的道，并以他迫切的祈祷坚固她的信心：神使寡妇的孩子复活。</w:t>
      </w:r>
      <w:r>
        <w:rPr>
          <w:rStyle w:val="FootnoteReference"/>
        </w:rPr>
        <w:footnoteReference w:id="3815"/>
      </w:r>
    </w:p>
    <w:p>
      <w:pPr>
        <w:pStyle w:val="BodyText"/>
      </w:pPr>
      <w:r>
        <w:t xml:space="preserve">迦密山上的祭献，是神子民信心的一次决定性考验。主回应以利亚的恳求：「耶和华啊，求你应允我，应允我！」在晚上献祭的时候，耶和华的火就烧尽了燔祭。东方礼仪在圣餐的</w:t>
      </w:r>
      <w:r>
        <w:rPr>
          <w:i/>
          <w:iCs/>
        </w:rPr>
        <w:t xml:space="preserve">圣灵呼求</w:t>
      </w:r>
      <w:r>
        <w:t xml:space="preserve">中反复诵念以利亚的恳求。</w:t>
      </w:r>
    </w:p>
    <w:p>
      <w:pPr>
        <w:pStyle w:val="BodyText"/>
      </w:pPr>
      <w:r>
        <w:t xml:space="preserve">最后，以利亚踏上通向旷野的道路，走向那位又活又真的神向子民启示自己的地方；他像之前的摩西一样，躲在「磐石穴中」，直到神奥秘的临在经过。</w:t>
      </w:r>
      <w:r>
        <w:rPr>
          <w:rStyle w:val="FootnoteReference"/>
        </w:rPr>
        <w:footnoteReference w:id="3816"/>
      </w:r>
      <w:r>
        <w:t xml:space="preserve">但只有在耶稣变像的山上，摩西与以利亚才会看见他们所寻求者那揭开帕子的面；那位钉十字架又复活者的面上，「显出耶稣基督的面上神荣耀的光」。</w:t>
      </w:r>
      <w:r>
        <w:rPr>
          <w:rStyle w:val="FootnoteReference"/>
        </w:rPr>
        <w:footnoteReference w:id="3817"/>
      </w:r>
    </w:p>
    <w:p>
      <w:pPr>
        <w:pStyle w:val="BodyText"/>
      </w:pPr>
      <w:r>
        <w:t xml:space="preserve">先知在与神「一对一」的相遇中，为自己的使命汲取光与力。他们的祈祷不是逃离这不忠的世界，而是专注于神的道。有时他们的祈祷是争辩或抱怨，但它永远是代求：等待并预备救主之神——历史的主——的介入。</w:t>
      </w:r>
      <w:r>
        <w:rPr>
          <w:rStyle w:val="FootnoteReference"/>
        </w:rPr>
        <w:footnoteReference w:id="3818"/>
      </w:r>
    </w:p>
    <w:p>
      <w:pPr>
        <w:pStyle w:val="BodyText"/>
      </w:pPr>
      <w:r>
        <w:rPr>
          <w:b/>
          <w:bCs/>
        </w:rPr>
        <w:t xml:space="preserve">诗篇：会众的祈祷</w:t>
      </w:r>
    </w:p>
    <w:p>
      <w:pPr>
        <w:pStyle w:val="BodyText"/>
      </w:pPr>
      <w:r>
        <w:t xml:space="preserve">从大卫的时代直到弥赛亚来临，这些圣书中出现的经文，显示为自己祈祷与为他人祈祷不断加深。</w:t>
      </w:r>
      <w:r>
        <w:rPr>
          <w:rStyle w:val="FootnoteReference"/>
        </w:rPr>
        <w:footnoteReference w:id="3819"/>
      </w:r>
      <w:r>
        <w:t xml:space="preserve">于是，诗篇逐步被收集成诗篇集的五卷（或称「赞美诗」），成为旧约祈祷的杰作。</w:t>
      </w:r>
    </w:p>
    <w:p>
      <w:pPr>
        <w:pStyle w:val="BodyText"/>
      </w:pPr>
      <w:r>
        <w:t xml:space="preserve">诗篇既滋养也表达神子民在耶路撒冷的大节期，和每个安息日在会堂聚集时的祈祷。他们的祈祷同时是个人的，也是共同的；它既关乎祈祷的人，也关乎所有人。诗篇出自圣地与散居各地的团体，却拥抱整个受造界。诗篇的祈祷纪念过去拯救的事件，却也延伸到未来，甚至直到历史的终结；它追念神已经实现的应许，并等待将最终成全这些应许的弥赛亚。诗篇被基督所祈祷，并在他身上得以成全，因此诗篇仍是教会祈祷不可缺少的部分。</w:t>
      </w:r>
      <w:r>
        <w:rPr>
          <w:rStyle w:val="FootnoteReference"/>
        </w:rPr>
        <w:footnoteReference w:id="3820"/>
      </w:r>
    </w:p>
    <w:p>
      <w:pPr>
        <w:pStyle w:val="BodyText"/>
      </w:pPr>
      <w:r>
        <w:t xml:space="preserve">诗篇集是一部神的道成为人的祈祷的书。在旧约的其他书里，「言语宣讲［神的］作为，并揭示其中所包含的奥秘。」</w:t>
      </w:r>
      <w:r>
        <w:rPr>
          <w:rStyle w:val="FootnoteReference"/>
        </w:rPr>
        <w:footnoteReference w:id="3821"/>
      </w:r>
      <w:r>
        <w:t xml:space="preserve">诗人献给神的歌唱之言，既表达也颂扬主拯救的作为；同一位圣灵既默示神的作为，也默示人的回应。基督将把二者结合起来。在他里面，诗篇仍继续教我们怎样祈祷。</w:t>
      </w:r>
    </w:p>
    <w:p>
      <w:pPr>
        <w:pStyle w:val="BodyText"/>
      </w:pPr>
      <w:r>
        <w:t xml:space="preserve">诗篇里各式各样的祈祷形式，既在圣殿礼仪中成形，也在人心中成形。无论是赞美诗，还是哀歌或感恩的祷文；无论是个人祈祷还是团体祈祷；无论是君王的诗歌、朝圣之歌或智慧的默想，诗篇既是神在他子民历史中奇妙作为的镜子，也反映诗人自己的人生经验。即便某一首诗篇反映的是过去的事件，它仍保有如此直接的朴素，使任何时代、任何处境的人都能真诚地用它来祈祷。</w:t>
      </w:r>
    </w:p>
    <w:p>
      <w:pPr>
        <w:pStyle w:val="BodyText"/>
      </w:pPr>
      <w:r>
        <w:t xml:space="preserve">诗篇贯穿始终地显出一些恒常特征：祈祷的朴素与自发；借着并连同受造界中一切美善来渴慕神自己；信徒的困境——他因对主那优先的爱，暴露在众多仇敌与诱惑之下，却在确信神的爱并顺服神的旨意中，等待那位信实的神将要怎样行。诗篇的祈祷总是由赞美所托住；正因如此，这部合集流传给我们的标题如此贴切：「赞美」。诗篇集为会众的敬拜而被编集，它既发出祈祷的呼召，也歌唱对呼召的回应：</w:t>
      </w:r>
      <w:r>
        <w:rPr>
          <w:i/>
          <w:iCs/>
        </w:rPr>
        <w:t xml:space="preserve">哈利路亚！</w:t>
      </w:r>
      <w:r>
        <w:t xml:space="preserve">（「阿利路亚」），「你们要赞美耶和华！」</w:t>
      </w:r>
    </w:p>
    <w:p>
      <w:pPr>
        <w:pStyle w:val="BodyText"/>
      </w:pPr>
      <w:r>
        <w:t xml:space="preserve">\n &gt;</w:t>
      </w:r>
      <w:r>
        <w:t xml:space="preserve"> </w:t>
      </w:r>
      <w:r>
        <w:t xml:space="preserve">&gt; 还有什么比诗篇更令人喜悦呢？大卫说得好：「你们要赞美耶和华，因歌颂我们的神为善为美；赞美的话是合宜的。」是的，诗篇是百姓口中的祝福，是对神的赞美，是会众的致敬，是普遍的欢呼，是为众人发声的话语，是教会的声音，是以歌表达的信仰宣认。</w:t>
      </w:r>
      <w:r>
        <w:rPr>
          <w:rStyle w:val="FootnoteReference"/>
        </w:rPr>
        <w:footnoteReference w:id="3822"/>
      </w:r>
    </w:p>
    <w:bookmarkEnd w:id="3823"/>
    <w:bookmarkStart w:id="3824" w:name="综述-66"/>
    <w:p>
      <w:pPr>
        <w:pStyle w:val="Heading4"/>
      </w:pPr>
      <w:r>
        <w:t xml:space="preserve">综述</w:t>
      </w:r>
    </w:p>
    <w:p>
      <w:pPr>
        <w:pStyle w:val="FirstParagraph"/>
      </w:pPr>
      <w:r>
        <w:t xml:space="preserve">「祈祷就是举心向神，或向神求合宜的恩惠」（圣大马士革的约翰，</w:t>
      </w:r>
      <w:r>
        <w:rPr>
          <w:i/>
          <w:iCs/>
        </w:rPr>
        <w:t xml:space="preserve">De fide orth.</w:t>
      </w:r>
      <w:r>
        <w:t xml:space="preserve"> </w:t>
      </w:r>
      <w:r>
        <w:t xml:space="preserve">3，24：PG 94，1089C）。</w:t>
      </w:r>
    </w:p>
    <w:p>
      <w:pPr>
        <w:pStyle w:val="BodyText"/>
      </w:pPr>
      <w:r>
        <w:t xml:space="preserve">神不知疲倦地呼召每一个人进入与他那奥秘的相遇。祈祷贯穿整个救恩史，呈现为神与人之间彼此的呼唤。</w:t>
      </w:r>
    </w:p>
    <w:p>
      <w:pPr>
        <w:pStyle w:val="BodyText"/>
      </w:pPr>
      <w:r>
        <w:t xml:space="preserve">亚伯拉罕与雅各的祈祷被呈现为信心的争战：以信赖神的信实为标记，并确信坚持到底的人必得着所应许的胜利。</w:t>
      </w:r>
    </w:p>
    <w:p>
      <w:pPr>
        <w:pStyle w:val="BodyText"/>
      </w:pPr>
      <w:r>
        <w:t xml:space="preserve">摩西的祈祷回应又活又真的神为拯救他子民而发起的主动。它预示那唯一中保基督耶稣的代求祈祷。</w:t>
      </w:r>
    </w:p>
    <w:p>
      <w:pPr>
        <w:pStyle w:val="BodyText"/>
      </w:pPr>
      <w:r>
        <w:t xml:space="preserve">神子民的祈祷在神临在于地上的居所——约柜与圣殿——的荫庇下繁茂，并在他们的牧者，尤其是大卫王，以及先知的引导下成长。</w:t>
      </w:r>
    </w:p>
    <w:p>
      <w:pPr>
        <w:pStyle w:val="BodyText"/>
      </w:pPr>
      <w:r>
        <w:t xml:space="preserve">先知呼召百姓心的归正，并像以利亚那样，热切寻求神的面，同时为百姓代求。</w:t>
      </w:r>
    </w:p>
    <w:p>
      <w:pPr>
        <w:pStyle w:val="BodyText"/>
      </w:pPr>
      <w:r>
        <w:t xml:space="preserve">诗篇构成旧约祈祷的杰作。它呈现两个不可分割的特质：个人性与共同性。它延伸到历史的一切层面：既追念神已实现的应许，也期待弥赛亚的来临。</w:t>
      </w:r>
    </w:p>
    <w:p>
      <w:pPr>
        <w:pStyle w:val="BodyText"/>
      </w:pPr>
      <w:r>
        <w:t xml:space="preserve">诗篇被基督所祈祷，并在他身上得以成全，因此诗篇是教会祈祷中不可或缺、且恒久常存的要素。它适用于任何处境、任何时代的人。</w:t>
      </w:r>
    </w:p>
    <w:p>
      <w:r>
        <w:br w:type="page"/>
      </w:r>
    </w:p>
    <w:bookmarkEnd w:id="3824"/>
    <w:bookmarkStart w:id="3874" w:name="第二条在时期的圆满中"/>
    <w:p>
      <w:pPr>
        <w:pStyle w:val="Heading4"/>
      </w:pPr>
      <w:r>
        <w:t xml:space="preserve">第二条：在时期的圆满中</w:t>
      </w:r>
    </w:p>
    <w:p>
      <w:pPr>
        <w:pStyle w:val="FirstParagraph"/>
      </w:pPr>
      <w:r>
        <w:t xml:space="preserve">祈祷这戏剧在那成了肉身并住在我们中间的道里，向我们完全显明。想借着福音中见证者所宣告的内容来理解他的祈祷，就是走近圣主耶稣，如同摩西走近燃烧的荆棘：先在祈祷中默观他，然后聆听他怎样教导我们祈祷，好认识他怎样垂听我们的祈祷。</w:t>
      </w:r>
    </w:p>
    <w:p>
      <w:pPr>
        <w:pStyle w:val="BodyText"/>
      </w:pPr>
      <w:r>
        <w:rPr>
          <w:b/>
          <w:bCs/>
        </w:rPr>
        <w:t xml:space="preserve">耶稣祈祷</w:t>
      </w:r>
    </w:p>
    <w:p>
      <w:pPr>
        <w:pStyle w:val="BodyText"/>
      </w:pPr>
      <w:r>
        <w:t xml:space="preserve">神子成为童贞女之子，也按他的人心学习祈祷。他从母亲那里学习祈祷的经文；母亲把全能者所行的一切「大事」存记在心，反复思想。</w:t>
      </w:r>
      <w:r>
        <w:rPr>
          <w:rStyle w:val="FootnoteReference"/>
        </w:rPr>
        <w:footnoteReference w:id="3825"/>
      </w:r>
      <w:r>
        <w:t xml:space="preserve">他在拿撒勒会堂和耶路撒冷圣殿里，以他子民的祈祷之言与节奏学习祈祷。但他的祈祷来自另一个隐藏的源头；他在十二岁时就暗示了这一点：「岂不知我应当以我父的事为念吗？」</w:t>
      </w:r>
      <w:r>
        <w:rPr>
          <w:rStyle w:val="FootnoteReference"/>
        </w:rPr>
        <w:footnoteReference w:id="3826"/>
      </w:r>
      <w:r>
        <w:t xml:space="preserve">在这里，时期圆满中的祈祷之新意开始显露：父所期待子女献上的</w:t>
      </w:r>
      <w:r>
        <w:rPr>
          <w:i/>
          <w:iCs/>
        </w:rPr>
        <w:t xml:space="preserve">儿子般的祈祷</w:t>
      </w:r>
      <w:r>
        <w:t xml:space="preserve">，终于要由独生子在他的人性里，与人一同并为人而活出来。</w:t>
      </w:r>
    </w:p>
    <w:p>
      <w:pPr>
        <w:pStyle w:val="BodyText"/>
      </w:pPr>
      <w:r>
        <w:t xml:space="preserve">路加福音强调圣灵的行动，以及祈祷在基督职事中的意义。耶稣在使命的关键时刻之前祈祷：在他受洗和变像时，父为他作见证之前；并在他借着苦难完成父那爱的计划之前。</w:t>
      </w:r>
      <w:r>
        <w:rPr>
          <w:rStyle w:val="FootnoteReference"/>
        </w:rPr>
        <w:footnoteReference w:id="3827"/>
      </w:r>
      <w:r>
        <w:t xml:space="preserve">他也在与使徒使命相关的关键时刻之前祈祷：在拣选并呼召十二人之前；在彼得宣认他是「神所立的基督」之前；并再次祈祷，使众使徒之长在受试探时不至于失去信心。</w:t>
      </w:r>
      <w:r>
        <w:rPr>
          <w:rStyle w:val="FootnoteReference"/>
        </w:rPr>
        <w:footnoteReference w:id="3828"/>
      </w:r>
      <w:r>
        <w:t xml:space="preserve">耶稣在父要他完成的救恩事件之前的祈祷，是他的人性意志对父那爱的旨意所作的谦卑而信赖的交付。</w:t>
      </w:r>
    </w:p>
    <w:p>
      <w:pPr>
        <w:pStyle w:val="BodyText"/>
      </w:pPr>
      <w:r>
        <w:t xml:space="preserve">「耶稣在一个地方祷告；祷告完了，有个门徒对他说：主啊，求你教导我们祷告。」</w:t>
      </w:r>
      <w:r>
        <w:rPr>
          <w:rStyle w:val="FootnoteReference"/>
        </w:rPr>
        <w:footnoteReference w:id="3829"/>
      </w:r>
      <w:r>
        <w:t xml:space="preserve">门徒看见师傅祈祷，也渴望祈祷。神子既是祈祷的导师，门徒借着</w:t>
      </w:r>
      <w:r>
        <w:rPr>
          <w:i/>
          <w:iCs/>
        </w:rPr>
        <w:t xml:space="preserve">默观</w:t>
      </w:r>
      <w:r>
        <w:t xml:space="preserve">并聆听他，就学习向父祈祷。</w:t>
      </w:r>
    </w:p>
    <w:p>
      <w:pPr>
        <w:pStyle w:val="BodyText"/>
      </w:pPr>
      <w:r>
        <w:t xml:space="preserve">耶稣常常离开众人，独自到山上祈祷，最好是在夜里。</w:t>
      </w:r>
      <w:r>
        <w:rPr>
          <w:rStyle w:val="FootnoteReference"/>
        </w:rPr>
        <w:footnoteReference w:id="3830"/>
      </w:r>
      <w:r>
        <w:t xml:space="preserve">他在祈祷中</w:t>
      </w:r>
      <w:r>
        <w:rPr>
          <w:i/>
          <w:iCs/>
        </w:rPr>
        <w:t xml:space="preserve">包含所有人</w:t>
      </w:r>
      <w:r>
        <w:t xml:space="preserve">，因为他在降生成人中取了人性；当他把自己奉献给父时，也把众人奉献给父。耶稣——那成了肉身的道——借着他的人性祈祷，分担他「弟兄」所经历的一切；他体恤他们的软弱，为要解救他们。</w:t>
      </w:r>
      <w:r>
        <w:rPr>
          <w:rStyle w:val="FootnoteReference"/>
        </w:rPr>
        <w:footnoteReference w:id="3831"/>
      </w:r>
      <w:r>
        <w:t xml:space="preserve">父为此差遣他。他的言语与作为，是他在隐密中祈祷的可见表现。</w:t>
      </w:r>
    </w:p>
    <w:p>
      <w:pPr>
        <w:pStyle w:val="BodyText"/>
      </w:pPr>
      <w:r>
        <w:t xml:space="preserve">福音作者保留了基督在公开生活中两段更明确的祈祷。两段都以感恩开始。在第一段中，耶稣称谢父、承认并称颂父，因为父把天国的奥秘向自以为有学问的人隐藏起来，却启示给婴孩——也就是八福中的贫穷人。</w:t>
      </w:r>
      <w:r>
        <w:rPr>
          <w:rStyle w:val="FootnoteReference"/>
        </w:rPr>
        <w:footnoteReference w:id="3832"/>
      </w:r>
      <w:r>
        <w:t xml:space="preserve">他那句「是的，父啊！」表达他内心的深处，表达他对父「美意」的依附；这呼应了他母亲在他受孕时那</w:t>
      </w:r>
      <w:r>
        <w:rPr>
          <w:i/>
          <w:iCs/>
        </w:rPr>
        <w:t xml:space="preserve">情愿照你的话成就在我身上</w:t>
      </w:r>
      <w:r>
        <w:t xml:space="preserve">，并预示他在痛苦挣扎中将对父所说的话。耶稣全部的祈祷都包含在他这充满爱的依附中：他的人心依附于父旨意的奥秘。</w:t>
      </w:r>
      <w:r>
        <w:rPr>
          <w:rStyle w:val="FootnoteReference"/>
        </w:rPr>
        <w:footnoteReference w:id="3833"/>
      </w:r>
    </w:p>
    <w:p>
      <w:pPr>
        <w:pStyle w:val="BodyText"/>
      </w:pPr>
      <w:r>
        <w:t xml:space="preserve">第二段祈祷发生在拉撒路复活之前，由圣约翰记载。</w:t>
      </w:r>
      <w:r>
        <w:rPr>
          <w:rStyle w:val="FootnoteReference"/>
        </w:rPr>
        <w:footnoteReference w:id="3834"/>
      </w:r>
      <w:r>
        <w:t xml:space="preserve">感恩先于事件：「父啊，我感谢你，因为你已经听我。」这意味着父总是垂听他的祈求。耶稣立刻又补充说：「我也知道你常听我。」这意味着耶稣也</w:t>
      </w:r>
      <w:r>
        <w:rPr>
          <w:i/>
          <w:iCs/>
        </w:rPr>
        <w:t xml:space="preserve">不断这样祈求</w:t>
      </w:r>
      <w:r>
        <w:t xml:space="preserve">。耶稣这以感恩为特征的祈祷，向我们揭示该怎样求：在恩赐还未赐下之前，耶稣先把自己交付给那位在赐下恩赐时也把自己赐下的神。赐恩者比恩赐更宝贵；他是「财宝」；他子之心住在他里面；恩赐则「也」赐下来。</w:t>
      </w:r>
      <w:r>
        <w:rPr>
          <w:rStyle w:val="FootnoteReference"/>
        </w:rPr>
        <w:footnoteReference w:id="3835"/>
      </w:r>
    </w:p>
    <w:p>
      <w:pPr>
        <w:pStyle w:val="BodyText"/>
      </w:pPr>
      <w:r>
        <w:t xml:space="preserve">当时辰到了，耶稣要完成父那爱的计划时，他让人窥见他那儿子般祈祷的无边深处：不仅在他甘心交出自己之前（「阿爸！……然而不要成就我的意思，只要成就你的意思。」）</w:t>
      </w:r>
      <w:r>
        <w:rPr>
          <w:rStyle w:val="FootnoteReference"/>
        </w:rPr>
        <w:footnoteReference w:id="3836"/>
      </w:r>
      <w:r>
        <w:t xml:space="preserve">，也在</w:t>
      </w:r>
      <w:r>
        <w:rPr>
          <w:i/>
          <w:iCs/>
        </w:rPr>
        <w:t xml:space="preserve">他在十字架上最后的话语</w:t>
      </w:r>
      <w:r>
        <w:t xml:space="preserve">里；在那里，祈祷与自我奉献完全合一：「父啊！赦免他们；因为他们所做的，他们不晓得。」</w:t>
      </w:r>
      <w:r>
        <w:rPr>
          <w:rStyle w:val="FootnoteReference"/>
        </w:rPr>
        <w:footnoteReference w:id="3837"/>
      </w:r>
      <w:r>
        <w:t xml:space="preserve">「我实在告诉你，今日你要同我在乐园里了。」</w:t>
      </w:r>
      <w:r>
        <w:rPr>
          <w:rStyle w:val="FootnoteReference"/>
        </w:rPr>
        <w:footnoteReference w:id="3838"/>
      </w:r>
      <w:r>
        <w:t xml:space="preserve">「母亲，看，你的儿子。」——「看，你的母亲。」</w:t>
      </w:r>
      <w:r>
        <w:rPr>
          <w:rStyle w:val="FootnoteReference"/>
        </w:rPr>
        <w:footnoteReference w:id="3839"/>
      </w:r>
      <w:r>
        <w:t xml:space="preserve">「我渴了。」</w:t>
      </w:r>
      <w:r>
        <w:rPr>
          <w:rStyle w:val="FootnoteReference"/>
        </w:rPr>
        <w:footnoteReference w:id="3840"/>
      </w:r>
      <w:r>
        <w:t xml:space="preserve">「我的神，我的神，为什么离弃我？」</w:t>
      </w:r>
      <w:r>
        <w:rPr>
          <w:rStyle w:val="FootnoteReference"/>
        </w:rPr>
        <w:footnoteReference w:id="3841"/>
      </w:r>
      <w:r>
        <w:t xml:space="preserve">「成了！」</w:t>
      </w:r>
      <w:r>
        <w:rPr>
          <w:rStyle w:val="FootnoteReference"/>
        </w:rPr>
        <w:footnoteReference w:id="3842"/>
      </w:r>
      <w:r>
        <w:t xml:space="preserve">「父啊！我将我的灵魂交在你手里！」</w:t>
      </w:r>
      <w:r>
        <w:rPr>
          <w:rStyle w:val="FootnoteReference"/>
        </w:rPr>
        <w:footnoteReference w:id="3843"/>
      </w:r>
      <w:r>
        <w:t xml:space="preserve">直到他断气时的「大声喊叫」，交出他的灵。</w:t>
      </w:r>
      <w:r>
        <w:rPr>
          <w:rStyle w:val="FootnoteReference"/>
        </w:rPr>
        <w:footnoteReference w:id="3844"/>
      </w:r>
    </w:p>
    <w:p>
      <w:pPr>
        <w:pStyle w:val="BodyText"/>
      </w:pPr>
      <w:r>
        <w:t xml:space="preserve">人类自古至今在罪与死亡奴役之下的一切痛苦，救恩史中的一切祈求与代求，都汇聚在这位降生之道的呼喊中。父在这里收纳这一切，并在超越一切指望的意义上，以使子复活来回应。因此，祈祷的戏剧在受造与救恩的安排中得以应验并完成。诗篇集给我们在基督里祈祷的钥匙。在复活的「今日」，父说：「你是我的儿子，我今日生你。你求我，我就将列国赐你为基业，将地极赐你为田产。」</w:t>
      </w:r>
    </w:p>
    <w:p>
      <w:pPr>
        <w:pStyle w:val="BodyText"/>
      </w:pPr>
      <w:r>
        <w:t xml:space="preserve">\n &gt;</w:t>
      </w:r>
      <w:r>
        <w:t xml:space="preserve"> </w:t>
      </w:r>
      <w:r>
        <w:t xml:space="preserve">&gt;</w:t>
      </w:r>
      <w:r>
        <w:t xml:space="preserve"> </w:t>
      </w:r>
      <w:r>
        <w:rPr>
          <w:i/>
          <w:iCs/>
        </w:rPr>
        <w:t xml:space="preserve">希伯来书</w:t>
      </w:r>
      <w:r>
        <w:t xml:space="preserve">用极具张力的方式表达耶稣的祈祷如何完成救恩的胜利：「基督在肉体的时候，既大声哀哭，流泪祷告恳求那能救他免死的主，就因他的虔诚蒙了应允。他虽然为儿子，还是因所受的苦难学了顺从。他既得以完全，就为凡顺从他的人成了永远得救的根源。」</w:t>
      </w:r>
      <w:r>
        <w:rPr>
          <w:rStyle w:val="FootnoteReference"/>
        </w:rPr>
        <w:footnoteReference w:id="3845"/>
      </w:r>
    </w:p>
    <w:p>
      <w:pPr>
        <w:pStyle w:val="BodyText"/>
      </w:pPr>
      <w:r>
        <w:rPr>
          <w:b/>
          <w:bCs/>
        </w:rPr>
        <w:t xml:space="preserve">耶稣教导我们怎样祈祷</w:t>
      </w:r>
    </w:p>
    <w:p>
      <w:pPr>
        <w:pStyle w:val="BodyText"/>
      </w:pPr>
      <w:r>
        <w:t xml:space="preserve">当耶稣祈祷时，他已经在教我们怎样祈祷。他向父的祈祷，是我们向神祈祷的神学道路（信心、盼望与仁爱之路）。但福音也把耶稣关于祈祷的明确教导赐给我们。像一位智慧的老师，他从我们所在之处抓住我们，并逐步带领我们走向父。耶稣面对跟随他的群众，就以他们从旧约已经知道的祈祷为基础，向他们开启即将来临之天国的崭新。然后他用比喻向他们揭示这种新意。最后，他要对他的门徒开诚布公地讲论父与圣灵；这些门徒将成为他教会里的祈祷导师。</w:t>
      </w:r>
    </w:p>
    <w:p>
      <w:pPr>
        <w:pStyle w:val="BodyText"/>
      </w:pPr>
      <w:r>
        <w:t xml:space="preserve">从登山宝训开始，耶稣坚持</w:t>
      </w:r>
      <w:r>
        <w:rPr>
          <w:i/>
          <w:iCs/>
        </w:rPr>
        <w:t xml:space="preserve">心的归正</w:t>
      </w:r>
      <w:r>
        <w:t xml:space="preserve">：在祭坛上献礼物以前先与弟兄和好；爱仇敌并为逼迫人的祷告；在隐密处向父祈祷；不堆砌空话；从心深处的祈祷式宽恕；心灵的洁净；并在一切之先寻求天国。</w:t>
      </w:r>
      <w:r>
        <w:rPr>
          <w:rStyle w:val="FootnoteReference"/>
        </w:rPr>
        <w:footnoteReference w:id="3846"/>
      </w:r>
      <w:r>
        <w:t xml:space="preserve">这种儿子般的归正完全指向父。</w:t>
      </w:r>
    </w:p>
    <w:p>
      <w:pPr>
        <w:pStyle w:val="BodyText"/>
      </w:pPr>
      <w:r>
        <w:t xml:space="preserve">一旦委身于归正，心就学习在</w:t>
      </w:r>
      <w:r>
        <w:rPr>
          <w:i/>
          <w:iCs/>
        </w:rPr>
        <w:t xml:space="preserve">信心</w:t>
      </w:r>
      <w:r>
        <w:t xml:space="preserve">里祈祷。信心是儿女般地依附神，超越我们所感觉和所理解的。之所以可能，是因为爱子使我们能来到父面前。他能要求我们「祈求」和「叩门」，因为他自己就是门和道路。</w:t>
      </w:r>
      <w:r>
        <w:rPr>
          <w:rStyle w:val="FootnoteReference"/>
        </w:rPr>
        <w:footnoteReference w:id="3847"/>
      </w:r>
    </w:p>
    <w:p>
      <w:pPr>
        <w:pStyle w:val="BodyText"/>
      </w:pPr>
      <w:r>
        <w:t xml:space="preserve">正如耶稣向父祈祷，并在领受恩赐之前先感谢，同样他也教导我们儿女般的勇敢：「所以我告诉你们，凡你们祷告祈求的，无论是什么，只要信是得着的，就必得着。」</w:t>
      </w:r>
      <w:r>
        <w:rPr>
          <w:rStyle w:val="FootnoteReference"/>
        </w:rPr>
        <w:footnoteReference w:id="3848"/>
      </w:r>
      <w:r>
        <w:t xml:space="preserve">这就是祈祷的能力，也是那不疑惑的信心的能力：「在信的人，凡事都能。」</w:t>
      </w:r>
      <w:r>
        <w:rPr>
          <w:rStyle w:val="FootnoteReference"/>
        </w:rPr>
        <w:footnoteReference w:id="3849"/>
      </w:r>
      <w:r>
        <w:t xml:space="preserve">耶稣既为自己乡亲的「不信」和门徒的「小信」而忧伤，</w:t>
      </w:r>
      <w:r>
        <w:rPr>
          <w:rStyle w:val="FootnoteReference"/>
        </w:rPr>
        <w:footnoteReference w:id="3850"/>
      </w:r>
      <w:r>
        <w:t xml:space="preserve">也为罗马百夫长和迦南妇人那大的信心而惊叹。</w:t>
      </w:r>
      <w:r>
        <w:rPr>
          <w:rStyle w:val="FootnoteReference"/>
        </w:rPr>
        <w:footnoteReference w:id="3851"/>
      </w:r>
    </w:p>
    <w:p>
      <w:pPr>
        <w:pStyle w:val="BodyText"/>
      </w:pPr>
      <w:r>
        <w:t xml:space="preserve">信心的祈祷不只是在口头上说「主啊，主啊」，而是让心准备好去遵行父的旨意。</w:t>
      </w:r>
      <w:r>
        <w:rPr>
          <w:rStyle w:val="FootnoteReference"/>
        </w:rPr>
        <w:footnoteReference w:id="3852"/>
      </w:r>
      <w:r>
        <w:t xml:space="preserve">耶稣呼召他的门徒把这种愿意与神计划同工的关切带进自己的祈祷中。</w:t>
      </w:r>
      <w:r>
        <w:rPr>
          <w:rStyle w:val="FootnoteReference"/>
        </w:rPr>
        <w:footnoteReference w:id="3853"/>
      </w:r>
    </w:p>
    <w:p>
      <w:pPr>
        <w:pStyle w:val="BodyText"/>
      </w:pPr>
      <w:r>
        <w:t xml:space="preserve">在耶稣里，「神的国近了。」</w:t>
      </w:r>
      <w:r>
        <w:rPr>
          <w:rStyle w:val="FootnoteReference"/>
        </w:rPr>
        <w:footnoteReference w:id="3854"/>
      </w:r>
      <w:r>
        <w:t xml:space="preserve">他呼唤听他的人归正并信福音，也呼唤他们警醒。在祈祷中，门徒保持守望，专注于那位既是、也要来的主：记念他第一次在肉身的卑微中来临，并盼望他第二次在荣耀中来临。</w:t>
      </w:r>
      <w:r>
        <w:rPr>
          <w:rStyle w:val="FootnoteReference"/>
        </w:rPr>
        <w:footnoteReference w:id="3855"/>
      </w:r>
      <w:r>
        <w:t xml:space="preserve">门徒在与师傅共融中祈祷，这祈祷是一场争战；只有在祈祷中守望，人才不会陷入试探。</w:t>
      </w:r>
      <w:r>
        <w:rPr>
          <w:rStyle w:val="FootnoteReference"/>
        </w:rPr>
        <w:footnoteReference w:id="3856"/>
      </w:r>
    </w:p>
    <w:p>
      <w:pPr>
        <w:pStyle w:val="BodyText"/>
      </w:pPr>
      <w:r>
        <w:t xml:space="preserve">圣路加给我们传下三个关于祈祷的主要比喻：</w:t>
      </w:r>
    </w:p>
    <w:p>
      <w:pPr>
        <w:pStyle w:val="Compact"/>
        <w:numPr>
          <w:ilvl w:val="0"/>
          <w:numId w:val="1030"/>
        </w:numPr>
      </w:pPr>
      <w:r>
        <w:t xml:space="preserve">第一个比喻，「那不住求的朋友」，</w:t>
      </w:r>
      <w:r>
        <w:rPr>
          <w:rStyle w:val="FootnoteReference"/>
        </w:rPr>
        <w:footnoteReference w:id="3857"/>
      </w:r>
      <w:r>
        <w:t xml:space="preserve">邀请我们迫切祈祷：「叩门，就给你们开门。」这样祈祷的人，天父会「把他所需要的给他」，尤其是那包含一切恩赐的圣灵。</w:t>
      </w:r>
    </w:p>
    <w:p>
      <w:pPr>
        <w:pStyle w:val="Compact"/>
        <w:numPr>
          <w:ilvl w:val="0"/>
          <w:numId w:val="1030"/>
        </w:numPr>
      </w:pPr>
      <w:r>
        <w:t xml:space="preserve">第二个比喻，「那不住求的寡妇」，</w:t>
      </w:r>
      <w:r>
        <w:rPr>
          <w:rStyle w:val="FootnoteReference"/>
        </w:rPr>
        <w:footnoteReference w:id="3858"/>
      </w:r>
      <w:r>
        <w:t xml:space="preserve">集中在祈祷的一种品质上：必须常常祷告，不可灰心，并以信心的忍耐坚持。「然而，人子来的时候，遇得见世上有信心吗？」</w:t>
      </w:r>
    </w:p>
    <w:p>
      <w:pPr>
        <w:pStyle w:val="Compact"/>
        <w:numPr>
          <w:ilvl w:val="0"/>
          <w:numId w:val="1030"/>
        </w:numPr>
      </w:pPr>
      <w:r>
        <w:t xml:space="preserve">第三个比喻，「法利赛人与税吏」，</w:t>
      </w:r>
      <w:r>
        <w:rPr>
          <w:rStyle w:val="FootnoteReference"/>
        </w:rPr>
        <w:footnoteReference w:id="3859"/>
      </w:r>
      <w:r>
        <w:t xml:space="preserve">关乎祈祷之心的谦卑：「神啊，开恩可怜我这个罪人！」教会继续把这祈祷当作自己的祈祷：Kyrie eleison！</w:t>
      </w:r>
    </w:p>
    <w:p>
      <w:pPr>
        <w:pStyle w:val="FirstParagraph"/>
      </w:pPr>
      <w:r>
        <w:t xml:space="preserve">当耶稣把向父祈祷的奥秘公开托付给门徒时，他就把他们的祈祷、也把我们的祈祷应当是什么样子启示给他们——这是在他以荣耀的人性回到父那里之后。新意在于「奉他的名」祈求。</w:t>
      </w:r>
      <w:r>
        <w:rPr>
          <w:rStyle w:val="FootnoteReference"/>
        </w:rPr>
        <w:footnoteReference w:id="3860"/>
      </w:r>
      <w:r>
        <w:t xml:space="preserve">对圣子的信，使门徒进入对父的认识，因为耶稣是「道路、真理、生命」。</w:t>
      </w:r>
      <w:r>
        <w:rPr>
          <w:rStyle w:val="FootnoteReference"/>
        </w:rPr>
        <w:footnoteReference w:id="3861"/>
      </w:r>
      <w:r>
        <w:t xml:space="preserve">信在爱中结出果实：也就是遵守耶稣的道和诫命；也就是与他一同住在父里面；父在他里面如此爱我们，以致他也住在我们里面。在这新约中，我们确信自己的祈求必蒙垂听，是建立在耶稣的祈祷之上。</w:t>
      </w:r>
      <w:r>
        <w:rPr>
          <w:rStyle w:val="FootnoteReference"/>
        </w:rPr>
        <w:footnoteReference w:id="3862"/>
      </w:r>
    </w:p>
    <w:p>
      <w:pPr>
        <w:pStyle w:val="BodyText"/>
      </w:pPr>
      <w:r>
        <w:t xml:space="preserve">更进一步，当我们的祈祷与耶稣的祈祷联合时，父赐给我们的，是「另外赐给你们一位保惠师……就是真理的圣灵」。</w:t>
      </w:r>
      <w:r>
        <w:rPr>
          <w:rStyle w:val="FootnoteReference"/>
        </w:rPr>
        <w:footnoteReference w:id="3863"/>
      </w:r>
      <w:r>
        <w:t xml:space="preserve">这种祈祷及其处境的新幅度，贯穿在告别训言之中。</w:t>
      </w:r>
      <w:r>
        <w:rPr>
          <w:rStyle w:val="FootnoteReference"/>
        </w:rPr>
        <w:footnoteReference w:id="3864"/>
      </w:r>
      <w:r>
        <w:t xml:space="preserve">在圣灵里，基督徒祈祷是与父的爱的共融：不仅借着基督，也在基督里：「向来你们没有奉我的名求什么，如今你们求就必得着，叫你们的喜乐可以满足。」</w:t>
      </w:r>
      <w:r>
        <w:rPr>
          <w:rStyle w:val="FootnoteReference"/>
        </w:rPr>
        <w:footnoteReference w:id="3865"/>
      </w:r>
    </w:p>
    <w:p>
      <w:pPr>
        <w:pStyle w:val="BodyText"/>
      </w:pPr>
      <w:r>
        <w:rPr>
          <w:b/>
          <w:bCs/>
        </w:rPr>
        <w:t xml:space="preserve">耶稣垂听我们的祈祷</w:t>
      </w:r>
    </w:p>
    <w:p>
      <w:pPr>
        <w:pStyle w:val="BodyText"/>
      </w:pPr>
      <w:r>
        <w:t xml:space="preserve">在他公开职事中，耶稣就已经藉着一些记号垂听向他的祈祷；这些记号预示他死亡与复活的能力：耶稣垂听信心的祈祷，无论这祈祷是用言语表达的（麻风病人、睚鲁、迦南妇人、善盗）</w:t>
      </w:r>
      <w:r>
        <w:rPr>
          <w:rStyle w:val="FootnoteReference"/>
        </w:rPr>
        <w:footnoteReference w:id="3866"/>
      </w:r>
      <w:r>
        <w:t xml:space="preserve">还是沉默表达的（抬瘫子的人、摸他衣裳繸子的患血漏女人、以及那犯罪女人的眼泪与香膏）。</w:t>
      </w:r>
      <w:r>
        <w:rPr>
          <w:rStyle w:val="FootnoteReference"/>
        </w:rPr>
        <w:footnoteReference w:id="3867"/>
      </w:r>
      <w:r>
        <w:t xml:space="preserve">瞎子迫切的请求「大卫的子孙，可怜我们吧」或「大卫的子孙耶稣啊，可怜我吧！」在传统上被更新为向耶稣祈祷的一种方式，称为「耶稣祷文」：「主耶稣基督，神的儿子，可怜我这个罪人！」</w:t>
      </w:r>
      <w:r>
        <w:rPr>
          <w:rStyle w:val="FootnoteReference"/>
        </w:rPr>
        <w:footnoteReference w:id="3868"/>
      </w:r>
      <w:r>
        <w:t xml:space="preserve">耶稣医治病症或赦免罪过时，总是回应那以信心献上的祈祷：「你的信救了你；平平安安地去吧！」</w:t>
      </w:r>
    </w:p>
    <w:p>
      <w:pPr>
        <w:pStyle w:val="BodyText"/>
      </w:pPr>
      <w:r>
        <w:t xml:space="preserve">\n &gt;</w:t>
      </w:r>
      <w:r>
        <w:t xml:space="preserve"> </w:t>
      </w:r>
      <w:r>
        <w:t xml:space="preserve">&gt; 圣奥古斯丁精妙地总结了耶稣祈祷的三个幅度：「他作为我们的祭司为我们祈祷；作为我们的元首在我们里面祈祷；作为我们的神被我们祈祷。因此，让我们在他里面承认我们的声音，也在我们里面承认他的声音。」</w:t>
      </w:r>
      <w:r>
        <w:rPr>
          <w:rStyle w:val="FootnoteReference"/>
        </w:rPr>
        <w:footnoteReference w:id="3869"/>
      </w:r>
    </w:p>
    <w:p>
      <w:pPr>
        <w:pStyle w:val="BodyText"/>
      </w:pPr>
      <w:r>
        <w:rPr>
          <w:b/>
          <w:bCs/>
        </w:rPr>
        <w:t xml:space="preserve">童贞马利亚的祈祷</w:t>
      </w:r>
    </w:p>
    <w:p>
      <w:pPr>
        <w:pStyle w:val="BodyText"/>
      </w:pPr>
      <w:r>
        <w:t xml:space="preserve">马利亚的祈祷在时期圆满的黎明向我们显明。在神子降生成人之前，以及在圣灵倾注之前，她的祈祷以独特的方式与父那仁爱计划合作：在报喜时，为基督的受孕；在五旬节时，为教会——他的身体——的形成。</w:t>
      </w:r>
      <w:r>
        <w:rPr>
          <w:rStyle w:val="FootnoteReference"/>
        </w:rPr>
        <w:footnoteReference w:id="3870"/>
      </w:r>
      <w:r>
        <w:t xml:space="preserve">在他谦卑使女的信心里，神的恩赐得到了他从起初就等待的接纳。那位全能者使她成为「蒙大恩的」，她以献上整个生命来回应：「我是主的使女，情愿照你的话成就在我身上。」这就是基督徒的祈祷：完全属于神，因为他完全属于我们。</w:t>
      </w:r>
    </w:p>
    <w:p>
      <w:pPr>
        <w:pStyle w:val="BodyText"/>
      </w:pPr>
      <w:r>
        <w:t xml:space="preserve">福音向我们揭示马利亚如何在信心里祈祷并代求。在迦拿，</w:t>
      </w:r>
      <w:r>
        <w:rPr>
          <w:rStyle w:val="FootnoteReference"/>
        </w:rPr>
        <w:footnoteReference w:id="3871"/>
      </w:r>
      <w:r>
        <w:t xml:space="preserve">耶稣的母亲为婚宴的需要向他的儿子祈求；这标志着另一场筵席——羔羊的婚宴：在那筵席中，基督应教会——他的新妇——的请求，赐下他的身体和血。在新约的时辰，在十字架下，</w:t>
      </w:r>
      <w:r>
        <w:rPr>
          <w:rStyle w:val="FootnoteReference"/>
        </w:rPr>
        <w:footnoteReference w:id="3872"/>
      </w:r>
      <w:r>
        <w:t xml:space="preserve">马利亚作为女人、新的夏娃、真正的「众生之母」，得到了垂听。</w:t>
      </w:r>
    </w:p>
    <w:p>
      <w:pPr>
        <w:pStyle w:val="BodyText"/>
      </w:pPr>
      <w:r>
        <w:t xml:space="preserve">因此，马利亚的颂歌，</w:t>
      </w:r>
      <w:r>
        <w:rPr>
          <w:rStyle w:val="FootnoteReference"/>
        </w:rPr>
        <w:footnoteReference w:id="3873"/>
      </w:r>
      <w:r>
        <w:t xml:space="preserve">尊主颂（拉丁文：Magnificat；拜占庭礼：Megalynei），既是神之母的歌，也是教会的歌；既是锡安女子的歌，也是新神子民的歌；既是对救恩安排中倾注之恩典圆满的感恩之歌，也是「贫穷人」的歌——他们的盼望因向我们祖先所作的应许得以实现而被满足：「直到永远」，也就是「给亚伯拉罕和他的后裔」。</w:t>
      </w:r>
    </w:p>
    <w:bookmarkEnd w:id="3874"/>
    <w:bookmarkStart w:id="3875" w:name="综述-67"/>
    <w:p>
      <w:pPr>
        <w:pStyle w:val="Heading4"/>
      </w:pPr>
      <w:r>
        <w:t xml:space="preserve">综述</w:t>
      </w:r>
    </w:p>
    <w:p>
      <w:pPr>
        <w:pStyle w:val="FirstParagraph"/>
      </w:pPr>
      <w:r>
        <w:t xml:space="preserve">耶稣那儿子般的祈祷，是新约中祈祷的完美典范。耶稣的祈祷常在独处与隐密中进行，并包含对父旨意的爱之依附，甚至直到十字架；也包含对父必垂听的绝对信赖。</w:t>
      </w:r>
    </w:p>
    <w:p>
      <w:pPr>
        <w:pStyle w:val="BodyText"/>
      </w:pPr>
      <w:r>
        <w:t xml:space="preserve">在他的教导中，耶稣教导门徒以洁净的心、活泼而坚持的信心、儿女般的勇敢来祈祷。他呼召他们保持警醒，并邀请他们奉他的名把自己的祈求呈给神。耶稣基督自己也会回应向他所作的祈祷。</w:t>
      </w:r>
    </w:p>
    <w:p>
      <w:pPr>
        <w:pStyle w:val="BodyText"/>
      </w:pPr>
      <w:r>
        <w:t xml:space="preserve">童贞马利亚的祈祷——她的「情愿照你的话成就在我身上」与尊主颂——以在信心中慷慨奉献她整个生命为特征。</w:t>
      </w:r>
    </w:p>
    <w:p>
      <w:r>
        <w:br w:type="page"/>
      </w:r>
    </w:p>
    <w:bookmarkEnd w:id="3875"/>
    <w:bookmarkStart w:id="3921" w:name="第三条在教会时期"/>
    <w:p>
      <w:pPr>
        <w:pStyle w:val="Heading4"/>
      </w:pPr>
      <w:r>
        <w:t xml:space="preserve">第三条：在教会时期</w:t>
      </w:r>
    </w:p>
    <w:p>
      <w:pPr>
        <w:pStyle w:val="FirstParagraph"/>
      </w:pPr>
      <w:r>
        <w:t xml:space="preserve">在五旬节那天，应许的圣灵倾倒在门徒身上；他们「都聚集在一处」。</w:t>
      </w:r>
      <w:r>
        <w:rPr>
          <w:rStyle w:val="FootnoteReference"/>
        </w:rPr>
        <w:footnoteReference w:id="3876"/>
      </w:r>
      <w:r>
        <w:t xml:space="preserve">在等待圣灵时，「这些人同着几个妇人和耶稣的母亲马利亚，并耶稣的弟兄，都同心合意地恒切祷告。」</w:t>
      </w:r>
      <w:r>
        <w:rPr>
          <w:rStyle w:val="FootnoteReference"/>
        </w:rPr>
        <w:footnoteReference w:id="3877"/>
      </w:r>
      <w:r>
        <w:t xml:space="preserve">那位教导教会、并使教会想起耶稣所说的一切的圣灵，</w:t>
      </w:r>
      <w:r>
        <w:rPr>
          <w:rStyle w:val="FootnoteReference"/>
        </w:rPr>
        <w:footnoteReference w:id="3878"/>
      </w:r>
      <w:r>
        <w:t xml:space="preserve">也要把教会塑造成活在祈祷中的教会。</w:t>
      </w:r>
    </w:p>
    <w:p>
      <w:pPr>
        <w:pStyle w:val="BodyText"/>
      </w:pPr>
      <w:r>
        <w:t xml:space="preserve">在耶路撒冷最初的团体中，信徒「都恒心遵守使徒的教训，彼此交接，擘饼，祈祷。」</w:t>
      </w:r>
      <w:r>
        <w:rPr>
          <w:rStyle w:val="FootnoteReference"/>
        </w:rPr>
        <w:footnoteReference w:id="3879"/>
      </w:r>
      <w:r>
        <w:t xml:space="preserve">这个次序是教会祈祷的典型：建立在使徒信仰之上；由仁爱作证实；在圣餐中得滋养。</w:t>
      </w:r>
    </w:p>
    <w:p>
      <w:pPr>
        <w:pStyle w:val="BodyText"/>
      </w:pPr>
      <w:r>
        <w:t xml:space="preserve">首先，这些是信徒在圣经中听见并阅读的祈祷，但他们也把它们当作自己的祈祷——尤其是诗篇，因为诗篇在基督里得以应验。</w:t>
      </w:r>
      <w:r>
        <w:rPr>
          <w:rStyle w:val="FootnoteReference"/>
        </w:rPr>
        <w:footnoteReference w:id="3880"/>
      </w:r>
      <w:r>
        <w:t xml:space="preserve">圣灵就这样使基督的记忆在教会祈祷时保持活着，也带领教会进入圆满的真理，并激发新的表述，来表达那深不可测的基督奥秘——他在教会生活、圣事与使命中的运行。这些表述在伟大的礼仪与灵修传统中得到发展。使徒和正典圣经所启示的</w:t>
      </w:r>
      <w:r>
        <w:rPr>
          <w:i/>
          <w:iCs/>
        </w:rPr>
        <w:t xml:space="preserve">祈祷形式</w:t>
      </w:r>
      <w:r>
        <w:t xml:space="preserve">，仍然是基督徒祈祷的规范。</w:t>
      </w:r>
    </w:p>
    <w:bookmarkStart w:id="3886" w:name="一祝福与朝拜"/>
    <w:p>
      <w:pPr>
        <w:pStyle w:val="Heading5"/>
      </w:pPr>
      <w:r>
        <w:t xml:space="preserve">一、祝福与朝拜</w:t>
      </w:r>
    </w:p>
    <w:p>
      <w:pPr>
        <w:pStyle w:val="FirstParagraph"/>
      </w:pPr>
      <w:r>
        <w:rPr>
          <w:i/>
          <w:iCs/>
        </w:rPr>
        <w:t xml:space="preserve">祝福</w:t>
      </w:r>
      <w:r>
        <w:t xml:space="preserve">表达基督徒祈祷的基本动向：这是神与人的相遇。在祝福中，神的恩赐与人对恩赐的接纳，在彼此的对话中结合起来。祝福的祈祷是人对神恩赐的回应：因为神赐福，人心也就能回过头来祝福那位一切祝福的源头。</w:t>
      </w:r>
    </w:p>
    <w:p>
      <w:pPr>
        <w:pStyle w:val="BodyText"/>
      </w:pPr>
      <w:r>
        <w:t xml:space="preserve">这动向由两种基本形式表达：我们的祈祷在圣灵里藉着基督升向父——我们祝福父，因为他先祝福了我们；</w:t>
      </w:r>
      <w:r>
        <w:rPr>
          <w:rStyle w:val="FootnoteReference"/>
        </w:rPr>
        <w:footnoteReference w:id="3881"/>
      </w:r>
      <w:r>
        <w:t xml:space="preserve">也祈求圣灵的恩典藉着基督从父那里降下——他赐福我们。</w:t>
      </w:r>
      <w:r>
        <w:rPr>
          <w:rStyle w:val="FootnoteReference"/>
        </w:rPr>
        <w:footnoteReference w:id="3882"/>
      </w:r>
    </w:p>
    <w:p>
      <w:pPr>
        <w:pStyle w:val="BodyText"/>
      </w:pPr>
      <w:r>
        <w:rPr>
          <w:i/>
          <w:iCs/>
        </w:rPr>
        <w:t xml:space="preserve">朝拜</w:t>
      </w:r>
      <w:r>
        <w:t xml:space="preserve">是人承认自己在造物主面前是受造物时的第一种态度。它高举造我们的主的伟大</w:t>
      </w:r>
      <w:r>
        <w:rPr>
          <w:rStyle w:val="FootnoteReference"/>
        </w:rPr>
        <w:footnoteReference w:id="3883"/>
      </w:r>
      <w:r>
        <w:t xml:space="preserve">，也高举那拯救者的全能——他把我们从恶中释放。朝拜是灵对「荣耀的王」的致敬，</w:t>
      </w:r>
      <w:r>
        <w:rPr>
          <w:rStyle w:val="FootnoteReference"/>
        </w:rPr>
        <w:footnoteReference w:id="3884"/>
      </w:r>
      <w:r>
        <w:t xml:space="preserve">是在「更伟大的」神面前的恭敬沉默。</w:t>
      </w:r>
      <w:r>
        <w:rPr>
          <w:rStyle w:val="FootnoteReference"/>
        </w:rPr>
        <w:footnoteReference w:id="3885"/>
      </w:r>
      <w:r>
        <w:t xml:space="preserve">对那三次至圣、掌权的爱之神的朝拜，与谦卑交融，并使我们的祈求有把握。</w:t>
      </w:r>
    </w:p>
    <w:bookmarkEnd w:id="3886"/>
    <w:bookmarkStart w:id="3897" w:name="二祈求的祈祷"/>
    <w:p>
      <w:pPr>
        <w:pStyle w:val="Heading5"/>
      </w:pPr>
      <w:r>
        <w:t xml:space="preserve">二、祈求的祈祷</w:t>
      </w:r>
    </w:p>
    <w:p>
      <w:pPr>
        <w:pStyle w:val="FirstParagraph"/>
      </w:pPr>
      <w:r>
        <w:t xml:space="preserve">新约中求告的词汇带有丰富的意义层次：求、恳求、央求、呼求、祈求、呼喊，甚至「在祈祷上竭力」。</w:t>
      </w:r>
      <w:r>
        <w:rPr>
          <w:rStyle w:val="FootnoteReference"/>
        </w:rPr>
        <w:footnoteReference w:id="3887"/>
      </w:r>
      <w:r>
        <w:t xml:space="preserve">其中最常见、也最自然自发的形式，就是祈求：我们借着祈求的祈祷，表达我们意识到自己与神的关系。我们是受造物，不是自己的起源，不是患难的主宰，也不是自己的终向。我们是罪人；作为基督徒，我们知道自己曾背离父。我们的祈求本身，就已经是回转向他。</w:t>
      </w:r>
    </w:p>
    <w:p>
      <w:pPr>
        <w:pStyle w:val="BodyText"/>
      </w:pPr>
      <w:r>
        <w:t xml:space="preserve">新约里几乎没有旧约中常见的哀求祈祷。在复活的基督里，教会的祈求被盼望托住，即使我们仍在期待中等待，并必须每天重新归正。基督徒的祈求，也就是圣保罗所说的「叹息」，来自另一个深处：来自受造界「一同叹息劳苦」的深处，也来自我们自己「等候……身体得赎」的深处，「我们得救是在乎盼望」。</w:t>
      </w:r>
      <w:r>
        <w:rPr>
          <w:rStyle w:val="FootnoteReference"/>
        </w:rPr>
        <w:footnoteReference w:id="3888"/>
      </w:r>
      <w:r>
        <w:t xml:space="preserve">但最终，圣灵「亲自用说不出来的叹息替我们祷告」，并且「帮助我们软弱；我们本不晓得当怎样祷告，只是圣灵亲自用说不出来的叹息替我们祷告」。</w:t>
      </w:r>
      <w:r>
        <w:rPr>
          <w:rStyle w:val="FootnoteReference"/>
        </w:rPr>
        <w:footnoteReference w:id="3889"/>
      </w:r>
    </w:p>
    <w:p>
      <w:pPr>
        <w:pStyle w:val="BodyText"/>
      </w:pPr>
      <w:r>
        <w:t xml:space="preserve">祈求祈祷的第一个动向，是</w:t>
      </w:r>
      <w:r>
        <w:rPr>
          <w:i/>
          <w:iCs/>
        </w:rPr>
        <w:t xml:space="preserve">求赦免</w:t>
      </w:r>
      <w:r>
        <w:t xml:space="preserve">，如同比喻中的税吏：「神啊，开恩可怜我这个罪人！」</w:t>
      </w:r>
      <w:r>
        <w:rPr>
          <w:rStyle w:val="FootnoteReference"/>
        </w:rPr>
        <w:footnoteReference w:id="3890"/>
      </w:r>
      <w:r>
        <w:t xml:space="preserve">这是正直而洁净祈祷的前提。信赖的谦卑使我们回到父与他子耶稣基督之间、以及彼此之间的共融之光中，好叫「我们一切所求的，就从他得着」。</w:t>
      </w:r>
      <w:r>
        <w:rPr>
          <w:rStyle w:val="FootnoteReference"/>
        </w:rPr>
        <w:footnoteReference w:id="3891"/>
      </w:r>
      <w:r>
        <w:t xml:space="preserve">求赦免既是圣餐礼仪的前提，也是个人祈祷的前提。</w:t>
      </w:r>
    </w:p>
    <w:p>
      <w:pPr>
        <w:pStyle w:val="BodyText"/>
      </w:pPr>
      <w:r>
        <w:t xml:space="preserve">基督徒的祈求以对</w:t>
      </w:r>
      <w:r>
        <w:rPr>
          <w:i/>
          <w:iCs/>
        </w:rPr>
        <w:t xml:space="preserve">将来之国度</w:t>
      </w:r>
      <w:r>
        <w:t xml:space="preserve">的渴望与</w:t>
      </w:r>
      <w:r>
        <w:rPr>
          <w:i/>
          <w:iCs/>
        </w:rPr>
        <w:t xml:space="preserve">寻求</w:t>
      </w:r>
      <w:r>
        <w:t xml:space="preserve">为中心，符合基督的教导。</w:t>
      </w:r>
      <w:r>
        <w:rPr>
          <w:rStyle w:val="FootnoteReference"/>
        </w:rPr>
        <w:footnoteReference w:id="3892"/>
      </w:r>
      <w:r>
        <w:t xml:space="preserve">这些祈求有其层级：我们先为国度祈求，然后为迎接国度并与国度的来临同工所需的一切祈求。这与基督和圣灵使命的合作——如今也就是教会的使命——是使徒团体祈祷的对象。</w:t>
      </w:r>
      <w:r>
        <w:rPr>
          <w:rStyle w:val="FootnoteReference"/>
        </w:rPr>
        <w:footnoteReference w:id="3893"/>
      </w:r>
      <w:r>
        <w:t xml:space="preserve">尤其是使徒保罗的祈祷，向我们揭示：神对众教会的眷顾应当怎样激发基督徒的祈祷。</w:t>
      </w:r>
      <w:r>
        <w:rPr>
          <w:rStyle w:val="FootnoteReference"/>
        </w:rPr>
        <w:footnoteReference w:id="3894"/>
      </w:r>
      <w:r>
        <w:t xml:space="preserve">每个受洗者都借着祈祷为国度的来临而工作。</w:t>
      </w:r>
    </w:p>
    <w:p>
      <w:pPr>
        <w:pStyle w:val="BodyText"/>
      </w:pPr>
      <w:r>
        <w:t xml:space="preserve">当我们分享神拯救的爱时，我们就明白：</w:t>
      </w:r>
      <w:r>
        <w:rPr>
          <w:i/>
          <w:iCs/>
        </w:rPr>
        <w:t xml:space="preserve">每一种需要</w:t>
      </w:r>
      <w:r>
        <w:t xml:space="preserve">都可以成为祈求的对象。基督为救赎万有而承担万有；因此，当我们奉他的名向父所求时，基督就在其中得荣耀。</w:t>
      </w:r>
      <w:r>
        <w:rPr>
          <w:rStyle w:val="FootnoteReference"/>
        </w:rPr>
        <w:footnoteReference w:id="3895"/>
      </w:r>
      <w:r>
        <w:t xml:space="preserve">带着这样的信赖，圣雅各和圣保罗劝勉我们要</w:t>
      </w:r>
      <w:r>
        <w:rPr>
          <w:i/>
          <w:iCs/>
        </w:rPr>
        <w:t xml:space="preserve">时时</w:t>
      </w:r>
      <w:r>
        <w:t xml:space="preserve">祈祷。</w:t>
      </w:r>
      <w:r>
        <w:rPr>
          <w:rStyle w:val="FootnoteReference"/>
        </w:rPr>
        <w:footnoteReference w:id="3896"/>
      </w:r>
    </w:p>
    <w:bookmarkEnd w:id="3897"/>
    <w:bookmarkStart w:id="3906" w:name="三代求的祈祷"/>
    <w:p>
      <w:pPr>
        <w:pStyle w:val="Heading5"/>
      </w:pPr>
      <w:r>
        <w:t xml:space="preserve">三、代求的祈祷</w:t>
      </w:r>
    </w:p>
    <w:p>
      <w:pPr>
        <w:pStyle w:val="FirstParagraph"/>
      </w:pPr>
      <w:r>
        <w:t xml:space="preserve">代求是一种祈求的祈祷，它带领我们像耶稣那样祈祷。他是为众人——尤其为罪人——向父代求的那唯一代求者。</w:t>
      </w:r>
      <w:r>
        <w:rPr>
          <w:rStyle w:val="FootnoteReference"/>
        </w:rPr>
        <w:footnoteReference w:id="3898"/>
      </w:r>
      <w:r>
        <w:t xml:space="preserve">他「能拯救到底；因为他是长远活着，替他们祈求。」</w:t>
      </w:r>
      <w:r>
        <w:rPr>
          <w:rStyle w:val="FootnoteReference"/>
        </w:rPr>
        <w:footnoteReference w:id="3899"/>
      </w:r>
      <w:r>
        <w:t xml:space="preserve">圣灵「亲自替我们祷告……照着神的旨意替圣徒祈求」。</w:t>
      </w:r>
      <w:r>
        <w:rPr>
          <w:rStyle w:val="FootnoteReference"/>
        </w:rPr>
        <w:footnoteReference w:id="3900"/>
      </w:r>
    </w:p>
    <w:p>
      <w:pPr>
        <w:pStyle w:val="BodyText"/>
      </w:pPr>
      <w:r>
        <w:t xml:space="preserve">从亚伯拉罕开始，代求——为别人求——就是一颗与神怜悯同调之心的特征。在教会时期，基督徒的代求作为圣徒相通的表达，参与基督的代求。在代求中，祈祷的人「不单顾自己的事，也顾别人的事」，甚至为那些伤害他的人祈祷。</w:t>
      </w:r>
      <w:r>
        <w:rPr>
          <w:rStyle w:val="FootnoteReference"/>
        </w:rPr>
        <w:footnoteReference w:id="3901"/>
      </w:r>
    </w:p>
    <w:p>
      <w:pPr>
        <w:pStyle w:val="BodyText"/>
      </w:pPr>
      <w:r>
        <w:t xml:space="preserve">最初的基督徒团体强烈地活出这种共融。</w:t>
      </w:r>
      <w:r>
        <w:rPr>
          <w:rStyle w:val="FootnoteReference"/>
        </w:rPr>
        <w:footnoteReference w:id="3902"/>
      </w:r>
      <w:r>
        <w:t xml:space="preserve">因此，使徒保罗既让他们分享他宣讲福音的职事，</w:t>
      </w:r>
      <w:r>
        <w:rPr>
          <w:rStyle w:val="FootnoteReference"/>
        </w:rPr>
        <w:footnoteReference w:id="3903"/>
      </w:r>
      <w:r>
        <w:t xml:space="preserve">也为他们代求。</w:t>
      </w:r>
      <w:r>
        <w:rPr>
          <w:rStyle w:val="FootnoteReference"/>
        </w:rPr>
        <w:footnoteReference w:id="3904"/>
      </w:r>
      <w:r>
        <w:t xml:space="preserve">基督徒的代求没有边界：「为万人，为君王和一切在位的」，为逼迫者，为那些拒绝福音之人的得救。</w:t>
      </w:r>
      <w:r>
        <w:rPr>
          <w:rStyle w:val="FootnoteReference"/>
        </w:rPr>
        <w:footnoteReference w:id="3905"/>
      </w:r>
    </w:p>
    <w:bookmarkEnd w:id="3906"/>
    <w:bookmarkStart w:id="3908" w:name="四感恩的祈祷"/>
    <w:p>
      <w:pPr>
        <w:pStyle w:val="Heading5"/>
      </w:pPr>
      <w:r>
        <w:t xml:space="preserve">四、感恩的祈祷</w:t>
      </w:r>
    </w:p>
    <w:p>
      <w:pPr>
        <w:pStyle w:val="FirstParagraph"/>
      </w:pPr>
      <w:r>
        <w:t xml:space="preserve">感恩是教会祈祷的特征；教会在庆祝圣餐时，显明并更充分地成为她所是的。的确，在救恩工程中，基督把受造界从罪与死亡中释放出来，使之重新被分别为圣，并使之归回父，为光荣父。身体的肢体所作的感恩，参与他们元首的感恩。</w:t>
      </w:r>
    </w:p>
    <w:p>
      <w:pPr>
        <w:pStyle w:val="BodyText"/>
      </w:pPr>
      <w:r>
        <w:t xml:space="preserve">如同在祈求祈祷中一样，每一件事件与需要都能成为感恩的奉献。圣保罗的书信常以感恩开头并以感恩结束，而主耶稣总在其中临在：「凡事谢恩；因为这是神在基督耶稣里向你们所定的旨意。」；「你们要恒切祷告，在此警醒感恩。」</w:t>
      </w:r>
      <w:r>
        <w:rPr>
          <w:rStyle w:val="FootnoteReference"/>
        </w:rPr>
        <w:footnoteReference w:id="3907"/>
      </w:r>
    </w:p>
    <w:bookmarkEnd w:id="3908"/>
    <w:bookmarkStart w:id="3920" w:name="五赞美的祈祷"/>
    <w:p>
      <w:pPr>
        <w:pStyle w:val="Heading5"/>
      </w:pPr>
      <w:r>
        <w:t xml:space="preserve">五、赞美的祈祷</w:t>
      </w:r>
    </w:p>
    <w:p>
      <w:pPr>
        <w:pStyle w:val="FirstParagraph"/>
      </w:pPr>
      <w:r>
        <w:t xml:space="preserve">赞美是最直接承认「神是神」的祈祷形式。它为神自己而赞美神，把荣耀归给他，完全超越他所做的事，只因为他是他自己。赞美分享清心之人的福乐：他们在信心中爱神，尚未在荣耀中见他，就先爱他。借着赞美，圣灵与我们的灵联合，见证我们是神的儿女，</w:t>
      </w:r>
      <w:r>
        <w:rPr>
          <w:rStyle w:val="FootnoteReference"/>
        </w:rPr>
        <w:footnoteReference w:id="3909"/>
      </w:r>
      <w:r>
        <w:t xml:space="preserve">并为那独生子作证：我们在他里面成为儿女，也借着他光荣父。赞美拥抱其他祈祷形式，并把它们带向那既是源头又是终向的神：「只有一位神，就是父，万物都本于他，我们也归于他。」</w:t>
      </w:r>
      <w:r>
        <w:rPr>
          <w:rStyle w:val="FootnoteReference"/>
        </w:rPr>
        <w:footnoteReference w:id="3910"/>
      </w:r>
    </w:p>
    <w:p>
      <w:pPr>
        <w:pStyle w:val="BodyText"/>
      </w:pPr>
      <w:r>
        <w:t xml:space="preserve">圣路加在他的福音中常表达对基督奇事的惊叹与赞美，并在他的</w:t>
      </w:r>
      <w:r>
        <w:rPr>
          <w:i/>
          <w:iCs/>
        </w:rPr>
        <w:t xml:space="preserve">使徒行传</w:t>
      </w:r>
      <w:r>
        <w:t xml:space="preserve">中特别强调这些作为圣灵的行动：耶路撒冷团体、彼得和约翰治好的瘸子、群众因此把荣耀归给神、以及彼西底的外邦人「听见这话，就欢喜了，赞美神的道」。</w:t>
      </w:r>
      <w:r>
        <w:rPr>
          <w:rStyle w:val="FootnoteReference"/>
        </w:rPr>
        <w:footnoteReference w:id="3911"/>
      </w:r>
    </w:p>
    <w:p>
      <w:pPr>
        <w:pStyle w:val="BodyText"/>
      </w:pPr>
      <w:r>
        <w:t xml:space="preserve">「当用诗章、颂词、灵歌彼此对说，口唱心和地赞美主。」</w:t>
      </w:r>
      <w:r>
        <w:rPr>
          <w:rStyle w:val="FootnoteReference"/>
        </w:rPr>
        <w:footnoteReference w:id="3912"/>
      </w:r>
      <w:r>
        <w:t xml:space="preserve">像新约的默示作者一样，最初的基督徒团体以新的方式阅读诗篇集，并在其中歌唱基督的奥秘。凭着圣灵的新意，他们也在那前所未闻的事件之光中创作赞美诗与颂歌：神在他儿子身上所成就的——他的降生成人、战胜死亡的死亡、他的复活，以及他升天坐在父的右边。</w:t>
      </w:r>
      <w:r>
        <w:rPr>
          <w:rStyle w:val="FootnoteReference"/>
        </w:rPr>
        <w:footnoteReference w:id="3913"/>
      </w:r>
      <w:r>
        <w:t xml:space="preserve">对神的光荣颂，也就是对神的赞美，就从整个救恩安排这一「奇妙的作为」中涌出。</w:t>
      </w:r>
      <w:r>
        <w:rPr>
          <w:rStyle w:val="FootnoteReference"/>
        </w:rPr>
        <w:footnoteReference w:id="3914"/>
      </w:r>
    </w:p>
    <w:p>
      <w:pPr>
        <w:pStyle w:val="BodyText"/>
      </w:pPr>
      <w:r>
        <w:t xml:space="preserve">那启示「以后必成的事」的</w:t>
      </w:r>
      <w:r>
        <w:rPr>
          <w:i/>
          <w:iCs/>
        </w:rPr>
        <w:t xml:space="preserve">启示录</w:t>
      </w:r>
      <w:r>
        <w:t xml:space="preserve">，被天上礼仪的歌声推动，</w:t>
      </w:r>
      <w:r>
        <w:rPr>
          <w:rStyle w:val="FootnoteReference"/>
        </w:rPr>
        <w:footnoteReference w:id="3915"/>
      </w:r>
      <w:r>
        <w:t xml:space="preserve">也被「见证人」（殉道者）的代求推动。</w:t>
      </w:r>
      <w:r>
        <w:rPr>
          <w:rStyle w:val="FootnoteReference"/>
        </w:rPr>
        <w:footnoteReference w:id="3916"/>
      </w:r>
      <w:r>
        <w:t xml:space="preserve">先知和圣徒，那些因见证耶稣而在地上被杀的人，那从大患难中出来、走在我们前面进入国度的广大群众，都同声歌唱那坐宝座者和羔羊的赞美与荣耀。</w:t>
      </w:r>
      <w:r>
        <w:rPr>
          <w:rStyle w:val="FootnoteReference"/>
        </w:rPr>
        <w:footnoteReference w:id="3917"/>
      </w:r>
      <w:r>
        <w:t xml:space="preserve">教会在地上与他们共融，也在试炼中以信心唱这些歌。借着祈求与代求，信心在无望之中仍怀着盼望，并向「众光之父」献上感恩，因为「各样美善的恩赐和各样全备的赏赐」都是从他而降。</w:t>
      </w:r>
      <w:r>
        <w:rPr>
          <w:rStyle w:val="FootnoteReference"/>
        </w:rPr>
        <w:footnoteReference w:id="3918"/>
      </w:r>
      <w:r>
        <w:t xml:space="preserve">因此，信心就是纯粹的赞美。</w:t>
      </w:r>
    </w:p>
    <w:p>
      <w:pPr>
        <w:pStyle w:val="BodyText"/>
      </w:pPr>
      <w:r>
        <w:t xml:space="preserve">圣餐包含并表达一切祈祷形式：它是基督整个身体为光荣神名而献上的「洁净的供物」；</w:t>
      </w:r>
      <w:r>
        <w:rPr>
          <w:rStyle w:val="FootnoteReference"/>
        </w:rPr>
        <w:footnoteReference w:id="3919"/>
      </w:r>
      <w:r>
        <w:t xml:space="preserve">并且按东西方的传统，它就是那「赞美的祭献」。</w:t>
      </w:r>
    </w:p>
    <w:bookmarkEnd w:id="3920"/>
    <w:bookmarkEnd w:id="3921"/>
    <w:bookmarkStart w:id="3922" w:name="综述-68"/>
    <w:p>
      <w:pPr>
        <w:pStyle w:val="Heading4"/>
      </w:pPr>
      <w:r>
        <w:t xml:space="preserve">综述</w:t>
      </w:r>
    </w:p>
    <w:p>
      <w:pPr>
        <w:pStyle w:val="FirstParagraph"/>
      </w:pPr>
      <w:r>
        <w:t xml:space="preserve">那位教导教会、并使教会想起耶稣所说的一切的圣灵，也教导教会活在祈祷中，并激发以同样基本的祈祷形式所表达的新话语：祝福、祈求、代求、感恩与赞美。</w:t>
      </w:r>
    </w:p>
    <w:p>
      <w:pPr>
        <w:pStyle w:val="BodyText"/>
      </w:pPr>
      <w:r>
        <w:t xml:space="preserve">因为神赐福人心，人心也就能回过头来祝福那位一切祝福的源头。</w:t>
      </w:r>
    </w:p>
    <w:p>
      <w:pPr>
        <w:pStyle w:val="BodyText"/>
      </w:pPr>
      <w:r>
        <w:t xml:space="preserve">求赦免、寻求国度，以及每一种真实的需要，都是祈求祈祷的对象。</w:t>
      </w:r>
    </w:p>
    <w:p>
      <w:pPr>
        <w:pStyle w:val="BodyText"/>
      </w:pPr>
      <w:r>
        <w:t xml:space="preserve">代求的祈祷是在为别人求。它没有边界，并延伸到自己的仇敌。</w:t>
      </w:r>
    </w:p>
    <w:p>
      <w:pPr>
        <w:pStyle w:val="BodyText"/>
      </w:pPr>
      <w:r>
        <w:t xml:space="preserve">每一种喜乐与痛苦、每一件事件与需要，都能成为感恩的内容；感恩分享基督的感恩，应当充满人的整个生命：「凡事谢恩」（帖前 5:18）。</w:t>
      </w:r>
    </w:p>
    <w:p>
      <w:pPr>
        <w:pStyle w:val="BodyText"/>
      </w:pPr>
      <w:r>
        <w:t xml:space="preserve">赞美的祈祷完全不求回报，升向神，为神自己而赞美他，把荣耀归给他，完全超越他所做的事，只因为他是他自己。</w:t>
      </w:r>
    </w:p>
    <w:p>
      <w:r>
        <w:br w:type="page"/>
      </w:r>
    </w:p>
    <w:bookmarkEnd w:id="3922"/>
    <w:bookmarkEnd w:id="3923"/>
    <w:bookmarkStart w:id="3978" w:name="第二章祈祷的圣传"/>
    <w:p>
      <w:pPr>
        <w:pStyle w:val="Heading3"/>
      </w:pPr>
      <w:r>
        <w:t xml:space="preserve">第二章：祈祷的圣传</w:t>
      </w:r>
    </w:p>
    <w:p>
      <w:pPr>
        <w:pStyle w:val="FirstParagraph"/>
      </w:pPr>
      <w:r>
        <w:t xml:space="preserve">祈祷不能被简化为内在冲动的自发倾泻：要祈祷，人必须愿意祈祷。也不够只是知道圣经对祈祷启示了什么；人还必须学习怎样祈祷。藉着在「相信并祈祷的教会」里，</w:t>
      </w:r>
      <w:r>
        <w:rPr>
          <w:rStyle w:val="FootnoteReference"/>
        </w:rPr>
        <w:footnoteReference w:id="3924"/>
      </w:r>
      <w:r>
        <w:t xml:space="preserve">以活生生的传递（圣传），圣灵教导神的儿女如何祈祷。</w:t>
      </w:r>
    </w:p>
    <w:p>
      <w:pPr>
        <w:pStyle w:val="BodyText"/>
      </w:pPr>
      <w:r>
        <w:t xml:space="preserve">基督徒祈祷的圣传，是信仰圣传成形与成长的方式之一，尤其藉着信徒的默观与研读——他们把救恩安排中的事件与言语珍藏在心里；也藉着他们对自己所经验之灵性实在的深刻把握。</w:t>
      </w:r>
      <w:r>
        <w:rPr>
          <w:rStyle w:val="FootnoteReference"/>
        </w:rPr>
        <w:footnoteReference w:id="3925"/>
      </w:r>
    </w:p>
    <w:p>
      <w:r>
        <w:br w:type="page"/>
      </w:r>
    </w:p>
    <w:bookmarkStart w:id="3938" w:name="第一条祈祷的泉源"/>
    <w:p>
      <w:pPr>
        <w:pStyle w:val="Heading4"/>
      </w:pPr>
      <w:r>
        <w:t xml:space="preserve">第一条：祈祷的泉源</w:t>
      </w:r>
    </w:p>
    <w:p>
      <w:pPr>
        <w:pStyle w:val="FirstParagraph"/>
      </w:pPr>
      <w:r>
        <w:rPr>
          <w:b/>
          <w:bCs/>
        </w:rPr>
        <w:t xml:space="preserve">神的道</w:t>
      </w:r>
    </w:p>
    <w:p>
      <w:pPr>
        <w:pStyle w:val="BodyText"/>
      </w:pPr>
      <w:r>
        <w:t xml:space="preserve">圣灵是在祈祷的心里涌出「直到永生」的</w:t>
      </w:r>
      <w:r>
        <w:rPr>
          <w:i/>
          <w:iCs/>
        </w:rPr>
        <w:t xml:space="preserve">活水</w:t>
      </w:r>
      <w:r>
        <w:t xml:space="preserve">。</w:t>
      </w:r>
      <w:r>
        <w:rPr>
          <w:rStyle w:val="FootnoteReference"/>
        </w:rPr>
        <w:footnoteReference w:id="3926"/>
      </w:r>
      <w:r>
        <w:t xml:space="preserve">是他教导我们在源头那里接纳这活水：也就是基督。的确，在基督徒生活中有好几个泉源，基督在那里等候我们，使我们能饮于圣灵。</w:t>
      </w:r>
    </w:p>
    <w:p>
      <w:pPr>
        <w:pStyle w:val="BodyText"/>
      </w:pPr>
      <w:r>
        <w:t xml:space="preserve">教会「特别并强烈地劝勉所有基督徒信徒……要藉着频繁阅读神的圣经，学习『认识基督耶稣为至宝』（腓 3:8）……但他们也要记得，阅读圣经应当伴随祈祷，使神与人之间发生对话。因为：『我们祈祷时是在对他说话；我们阅读神的神谕时，是在聆听他。』」</w:t>
      </w:r>
      <w:r>
        <w:rPr>
          <w:rStyle w:val="FootnoteReference"/>
        </w:rPr>
        <w:footnoteReference w:id="3927"/>
      </w:r>
    </w:p>
    <w:p>
      <w:pPr>
        <w:pStyle w:val="BodyText"/>
      </w:pPr>
      <w:r>
        <w:t xml:space="preserve">灵修作者借用太 7:7 来概括：祈祷中受神的道滋养之心应具备的态度是：「在阅读中寻求，你就会在默想中找到；在心祷中叩门，默观就会为你开门。」</w:t>
      </w:r>
      <w:r>
        <w:rPr>
          <w:rStyle w:val="FootnoteReference"/>
        </w:rPr>
        <w:footnoteReference w:id="3928"/>
      </w:r>
    </w:p>
    <w:p>
      <w:pPr>
        <w:pStyle w:val="BodyText"/>
      </w:pPr>
      <w:r>
        <w:rPr>
          <w:b/>
          <w:bCs/>
        </w:rPr>
        <w:t xml:space="preserve">教会的礼仪</w:t>
      </w:r>
    </w:p>
    <w:p>
      <w:pPr>
        <w:pStyle w:val="BodyText"/>
      </w:pPr>
      <w:r>
        <w:t xml:space="preserve">在教会的圣事礼仪中，基督与圣灵的使命宣告、使之临在，并传递救恩的奥秘；而这奥秘在祈祷的心里继续展开。灵修作者有时把心比作祭坛。祈祷在礼仪庆典中与庆典之后，把礼仪内化并吸收。即使是在「暗中」活出来，</w:t>
      </w:r>
      <w:r>
        <w:rPr>
          <w:rStyle w:val="FootnoteReference"/>
        </w:rPr>
        <w:footnoteReference w:id="3929"/>
      </w:r>
      <w:r>
        <w:t xml:space="preserve">祈祷也永远是</w:t>
      </w:r>
      <w:r>
        <w:rPr>
          <w:i/>
          <w:iCs/>
        </w:rPr>
        <w:t xml:space="preserve">教会的</w:t>
      </w:r>
      <w:r>
        <w:t xml:space="preserve">祈祷；它是与三位一体的共融。</w:t>
      </w:r>
      <w:r>
        <w:rPr>
          <w:rStyle w:val="FootnoteReference"/>
        </w:rPr>
        <w:footnoteReference w:id="3930"/>
      </w:r>
    </w:p>
    <w:p>
      <w:pPr>
        <w:pStyle w:val="BodyText"/>
      </w:pPr>
      <w:r>
        <w:rPr>
          <w:b/>
          <w:bCs/>
        </w:rPr>
        <w:t xml:space="preserve">超自然德行</w:t>
      </w:r>
    </w:p>
    <w:p>
      <w:pPr>
        <w:pStyle w:val="BodyText"/>
      </w:pPr>
      <w:r>
        <w:t xml:space="preserve">进入祈祷，如同进入礼仪：要经过</w:t>
      </w:r>
      <w:r>
        <w:rPr>
          <w:i/>
          <w:iCs/>
        </w:rPr>
        <w:t xml:space="preserve">信心</w:t>
      </w:r>
      <w:r>
        <w:t xml:space="preserve">的窄门。我们借着他临在的标记，寻求并渴望主的圣容；我们想听并持守他的道。</w:t>
      </w:r>
    </w:p>
    <w:p>
      <w:pPr>
        <w:pStyle w:val="BodyText"/>
      </w:pPr>
      <w:r>
        <w:t xml:space="preserve">圣灵教导我们在期待基督再来中庆祝礼仪，也教导我们在</w:t>
      </w:r>
      <w:r>
        <w:rPr>
          <w:i/>
          <w:iCs/>
        </w:rPr>
        <w:t xml:space="preserve">盼望</w:t>
      </w:r>
      <w:r>
        <w:t xml:space="preserve">中祈祷。反过来，教会的祈祷与个人的祈祷也滋养我们里面的盼望。诗篇尤其用具体而多样的语言，教我们把盼望定睛在神身上：「我曾耐性等候耶和华；他垂听我的呼求。」</w:t>
      </w:r>
      <w:r>
        <w:rPr>
          <w:rStyle w:val="FootnoteReference"/>
        </w:rPr>
        <w:footnoteReference w:id="3931"/>
      </w:r>
      <w:r>
        <w:t xml:space="preserve">正如圣保罗所祈祷的：「但愿使人有盼望的神，因信将诸般的喜乐平安充满你们的心，使你们借着圣灵的能力，大有盼望。」</w:t>
      </w:r>
      <w:r>
        <w:rPr>
          <w:rStyle w:val="FootnoteReference"/>
        </w:rPr>
        <w:footnoteReference w:id="3932"/>
      </w:r>
    </w:p>
    <w:p>
      <w:pPr>
        <w:pStyle w:val="BodyText"/>
      </w:pPr>
      <w:r>
        <w:t xml:space="preserve">「盼望不至于羞耻；因为所赐给我们的圣灵将神的爱浇灌在我们心里。」</w:t>
      </w:r>
      <w:r>
        <w:rPr>
          <w:rStyle w:val="FootnoteReference"/>
        </w:rPr>
        <w:footnoteReference w:id="3933"/>
      </w:r>
      <w:r>
        <w:t xml:space="preserve">由礼仪生活塑造的祈祷，把一切都带进那爱里：我们在基督里被这爱所爱，这爱也使我们能回应他，以他爱我们的方式去爱。爱是祈祷的源头；从这源头汲取的人，会达到祈祷的高峰。正如阿尔斯本堂神父所说：</w:t>
      </w:r>
    </w:p>
    <w:p>
      <w:pPr>
        <w:pStyle w:val="BlockText"/>
      </w:pPr>
      <w:r>
        <w:t xml:space="preserve">我的神啊，我爱你；我唯一的渴望，就是爱你直到我生命最后一口气。我爱你，我无限可爱的神；我宁可在爱你中死去，也不愿在不爱你中活着。我爱你，主啊；我唯一所求的恩典，就是永远爱你……我的神啊，如果我的舌头不能在每一刻都说我爱你，我愿我的心在我每一次呼吸时都向你重复这一句。</w:t>
      </w:r>
      <w:r>
        <w:rPr>
          <w:rStyle w:val="FootnoteReference"/>
        </w:rPr>
        <w:footnoteReference w:id="3934"/>
      </w:r>
    </w:p>
    <w:p>
      <w:pPr>
        <w:pStyle w:val="FirstParagraph"/>
      </w:pPr>
      <w:r>
        <w:rPr>
          <w:b/>
          <w:bCs/>
        </w:rPr>
        <w:t xml:space="preserve">「今日」</w:t>
      </w:r>
    </w:p>
    <w:p>
      <w:pPr>
        <w:pStyle w:val="BodyText"/>
      </w:pPr>
      <w:r>
        <w:t xml:space="preserve">我们在某些时刻借着聆听主的道、并参与他的逾越奥秘而学习祈祷；但他的灵在任何时候都赐给我们，就在</w:t>
      </w:r>
      <w:r>
        <w:rPr>
          <w:i/>
          <w:iCs/>
        </w:rPr>
        <w:t xml:space="preserve">每一天</w:t>
      </w:r>
      <w:r>
        <w:t xml:space="preserve">的事件中，使祈祷从我们里面涌出。耶稣关于向我们的父祈祷的教导，与他关于护理的教导同出一脉：</w:t>
      </w:r>
      <w:r>
        <w:rPr>
          <w:rStyle w:val="FootnoteReference"/>
        </w:rPr>
        <w:footnoteReference w:id="3935"/>
      </w:r>
      <w:r>
        <w:t xml:space="preserve">时间在父的手里；我们是在当下与他相遇，不是昨天，也不是明天，而是今天：「惟愿你们今天听他的话：你们不可硬着心。」</w:t>
      </w:r>
      <w:r>
        <w:rPr>
          <w:rStyle w:val="FootnoteReference"/>
        </w:rPr>
        <w:footnoteReference w:id="3936"/>
      </w:r>
    </w:p>
    <w:p>
      <w:pPr>
        <w:pStyle w:val="BodyText"/>
      </w:pPr>
      <w:r>
        <w:t xml:space="preserve">在每一天、每一刻的事件中祈祷，是天国的奥秘之一：这奥秘启示给「小孩子」、基督的仆人、八福中的贫穷人。祈祷使正义与和平之国度的来临影响历史的进程，这是正确且美好的；但同样重要的是，把祈祷的帮助带进谦卑的日常处境中；一切祈祷形式都能成为主用来比拟国度的面酵。</w:t>
      </w:r>
      <w:r>
        <w:rPr>
          <w:rStyle w:val="FootnoteReference"/>
        </w:rPr>
        <w:footnoteReference w:id="3937"/>
      </w:r>
    </w:p>
    <w:bookmarkEnd w:id="3938"/>
    <w:bookmarkStart w:id="3939" w:name="综述-69"/>
    <w:p>
      <w:pPr>
        <w:pStyle w:val="Heading4"/>
      </w:pPr>
      <w:r>
        <w:t xml:space="preserve">综述</w:t>
      </w:r>
    </w:p>
    <w:p>
      <w:pPr>
        <w:pStyle w:val="FirstParagraph"/>
      </w:pPr>
      <w:r>
        <w:t xml:space="preserve">圣灵在教会里藉着活生生的传递——圣传——教导神的儿女祈祷。</w:t>
      </w:r>
    </w:p>
    <w:p>
      <w:pPr>
        <w:pStyle w:val="BodyText"/>
      </w:pPr>
      <w:r>
        <w:t xml:space="preserve">神的道、教会的礼仪，以及信心、盼望与仁爱的德行，都是祈祷的泉源。</w:t>
      </w:r>
    </w:p>
    <w:p>
      <w:r>
        <w:br w:type="page"/>
      </w:r>
    </w:p>
    <w:bookmarkEnd w:id="3939"/>
    <w:bookmarkStart w:id="3965" w:name="第二条祈祷的道路"/>
    <w:p>
      <w:pPr>
        <w:pStyle w:val="Heading4"/>
      </w:pPr>
      <w:r>
        <w:t xml:space="preserve">第二条：祈祷的道路</w:t>
      </w:r>
    </w:p>
    <w:p>
      <w:pPr>
        <w:pStyle w:val="FirstParagraph"/>
      </w:pPr>
      <w:r>
        <w:t xml:space="preserve">在活生生的祈祷传统中，每个教会会按其历史、社会与文化处境，向信徒提供一种祈祷的语言：言语、旋律、姿态、圣像等。教会的训导权</w:t>
      </w:r>
      <w:r>
        <w:rPr>
          <w:rStyle w:val="FootnoteReference"/>
        </w:rPr>
        <w:footnoteReference w:id="3940"/>
      </w:r>
      <w:r>
        <w:t xml:space="preserve">的任务，是分辨这些祈祷方式是否忠于使徒信仰的圣传；牧者和教理讲授者则有责任解释它们的意义，并始终把它们与耶稣基督联系起来。</w:t>
      </w:r>
    </w:p>
    <w:p>
      <w:pPr>
        <w:pStyle w:val="BodyText"/>
      </w:pPr>
      <w:r>
        <w:rPr>
          <w:b/>
          <w:bCs/>
        </w:rPr>
        <w:t xml:space="preserve">向父祈祷</w:t>
      </w:r>
    </w:p>
    <w:p>
      <w:pPr>
        <w:pStyle w:val="BodyText"/>
      </w:pPr>
      <w:r>
        <w:t xml:space="preserve">基督徒祈祷除了基督以外没有别的道路。无论我们的祈祷是团体的还是个人的，是口祷还是内祷，只有当我们「奉耶稣的名」祈祷时，才能来到父面前。因此，耶稣那成了人的人性，是圣灵教导我们向父神祈祷的道路。</w:t>
      </w:r>
    </w:p>
    <w:p>
      <w:pPr>
        <w:pStyle w:val="BodyText"/>
      </w:pPr>
      <w:r>
        <w:rPr>
          <w:b/>
          <w:bCs/>
        </w:rPr>
        <w:t xml:space="preserve">向耶稣祈祷</w:t>
      </w:r>
    </w:p>
    <w:p>
      <w:pPr>
        <w:pStyle w:val="BodyText"/>
      </w:pPr>
      <w:r>
        <w:t xml:space="preserve">教会的祈祷由神的道和礼仪庆典所滋养，也教导我们向主耶稣祈祷。即使教会的祈祷主要是向父而发，在一切礼仪传统中也包含一些向基督祈祷的形式。某些诗篇因在教会祈祷中的使用，以及新约，都把向基督的祈祷放在我们唇上，刻在我们心里，作为呼求：神子、神的道、主、救主、神的羔羊、君王、爱子、童贞女之子、好牧人、我们的生命、我们的光、我们的盼望、我们的复活、人类的朋友……</w:t>
      </w:r>
    </w:p>
    <w:p>
      <w:pPr>
        <w:pStyle w:val="BodyText"/>
      </w:pPr>
      <w:r>
        <w:t xml:space="preserve">但那包含一切的唯一名字，就是神子在降生成人时所领受的名：耶稣。神的名本不容人用嘴唇说出；但神的道取了我们的人性，就把这名交给我们，我们就能呼求它：「耶稣」，「耶和华拯救」。</w:t>
      </w:r>
      <w:r>
        <w:rPr>
          <w:rStyle w:val="FootnoteReference"/>
        </w:rPr>
        <w:footnoteReference w:id="3941"/>
      </w:r>
      <w:r>
        <w:t xml:space="preserve">「耶稣」这个名包含一切：神与人，以及受造与救恩的整个安排。祈祷「耶稣」，就是呼求他，并把他呼唤到我们里面来。他的名字是唯一包含其所指之临在的名字。耶稣是复活者；凡呼求耶稣之名的人，就是迎接那位爱他、并为他舍己的神子。</w:t>
      </w:r>
      <w:r>
        <w:rPr>
          <w:rStyle w:val="FootnoteReference"/>
        </w:rPr>
        <w:footnoteReference w:id="3942"/>
      </w:r>
    </w:p>
    <w:p>
      <w:pPr>
        <w:pStyle w:val="BodyText"/>
      </w:pPr>
      <w:r>
        <w:t xml:space="preserve">这种单纯的信心呼求，在东西方的祈祷传统中发展出许多形式。最常见的表述，由西奈、叙利亚和阿托斯山的灵修作者传下来，就是这句呼求：「主耶稣基督，神的儿子，可怜我们罪人。」它把腓 2:6-11 的基督论赞歌，与税吏的呼喊和求光明的瞎子的呼求结合在一起。</w:t>
      </w:r>
      <w:r>
        <w:rPr>
          <w:rStyle w:val="FootnoteReference"/>
        </w:rPr>
        <w:footnoteReference w:id="3943"/>
      </w:r>
      <w:r>
        <w:t xml:space="preserve">借着它，心向人的苦况与救主的怜悯敞开。</w:t>
      </w:r>
    </w:p>
    <w:p>
      <w:pPr>
        <w:pStyle w:val="BodyText"/>
      </w:pPr>
      <w:r>
        <w:t xml:space="preserve">呼求耶稣的圣名，是最简单的「常常祷告」之路。当这圣名被一颗谦卑而专注的心频繁重复时，祈祷并不是堆砌空话，</w:t>
      </w:r>
      <w:r>
        <w:rPr>
          <w:rStyle w:val="FootnoteReference"/>
        </w:rPr>
        <w:footnoteReference w:id="3944"/>
      </w:r>
      <w:r>
        <w:t xml:space="preserve">而是紧紧抓住道，并且「忍耐着结实」。</w:t>
      </w:r>
      <w:r>
        <w:rPr>
          <w:rStyle w:val="FootnoteReference"/>
        </w:rPr>
        <w:footnoteReference w:id="3945"/>
      </w:r>
      <w:r>
        <w:t xml:space="preserve">这祈祷「无论何时」都可能，因为它不是众多事务中的一种，而是唯一的事务：爱神；这爱在基督耶稣里使一切行动有生命，并使之改变。</w:t>
      </w:r>
    </w:p>
    <w:p>
      <w:pPr>
        <w:pStyle w:val="BodyText"/>
      </w:pPr>
      <w:r>
        <w:t xml:space="preserve">教会的祈祷敬奉并尊崇</w:t>
      </w:r>
      <w:r>
        <w:rPr>
          <w:i/>
          <w:iCs/>
        </w:rPr>
        <w:t xml:space="preserve">耶稣的心</w:t>
      </w:r>
      <w:r>
        <w:t xml:space="preserve">，正如她呼求他至圣的名一样。她朝拜那降生成人的道，也朝拜他的心；出于对人的爱，他愿意让这心因我们的罪而被刺透。基督徒祈祷喜爱在救主的脚踪里走</w:t>
      </w:r>
      <w:r>
        <w:rPr>
          <w:i/>
          <w:iCs/>
        </w:rPr>
        <w:t xml:space="preserve">十字架的道路</w:t>
      </w:r>
      <w:r>
        <w:t xml:space="preserve">。从衙门到各各他和坟墓的各处苦路，描绘了耶稣的道路：他借着他的圣十字架救赎了世界。</w:t>
      </w:r>
    </w:p>
    <w:p>
      <w:pPr>
        <w:pStyle w:val="BodyText"/>
      </w:pPr>
      <w:r>
        <w:rPr>
          <w:b/>
          <w:bCs/>
        </w:rPr>
        <w:t xml:space="preserve">「求你来，圣灵」</w:t>
      </w:r>
    </w:p>
    <w:p>
      <w:pPr>
        <w:pStyle w:val="BodyText"/>
      </w:pPr>
      <w:r>
        <w:t xml:space="preserve">「若不是被圣灵感动的，也没有能说『耶稣是主』的。」</w:t>
      </w:r>
      <w:r>
        <w:rPr>
          <w:rStyle w:val="FootnoteReference"/>
        </w:rPr>
        <w:footnoteReference w:id="3946"/>
      </w:r>
      <w:r>
        <w:t xml:space="preserve">每一次我们开始向耶稣祈祷，都是圣灵以先行的恩典牵引我们走上祈祷之路。既然他借着使我们想起基督而教我们祈祷，我们怎能不也向圣灵祈祷呢？因此，教会邀请我们每天呼求圣灵，特别是在每一项重要行动的开始和结束时。</w:t>
      </w:r>
    </w:p>
    <w:p>
      <w:pPr>
        <w:pStyle w:val="BlockText"/>
      </w:pPr>
      <w:r>
        <w:t xml:space="preserve">若圣灵不该受敬拜，他怎能借着洗礼使我得以与神的生命有分？若他该受敬拜，他岂不也该成为朝拜的对象吗？</w:t>
      </w:r>
      <w:r>
        <w:rPr>
          <w:rStyle w:val="FootnoteReference"/>
        </w:rPr>
        <w:footnoteReference w:id="3947"/>
      </w:r>
    </w:p>
    <w:p>
      <w:pPr>
        <w:pStyle w:val="FirstParagraph"/>
      </w:pPr>
      <w:r>
        <w:t xml:space="preserve">向圣灵祈求的传统形式，是藉着我们的主基督，向父呼求，求父赐给我们施慰者圣灵。</w:t>
      </w:r>
      <w:r>
        <w:rPr>
          <w:rStyle w:val="FootnoteReference"/>
        </w:rPr>
        <w:footnoteReference w:id="3948"/>
      </w:r>
      <w:r>
        <w:t xml:space="preserve">耶稣在应许赐下真理的圣灵时，坚持要人在那一刻奉他的名作这样的祈求。</w:t>
      </w:r>
      <w:r>
        <w:rPr>
          <w:rStyle w:val="FootnoteReference"/>
        </w:rPr>
        <w:footnoteReference w:id="3949"/>
      </w:r>
      <w:r>
        <w:t xml:space="preserve">但最简单、最直接的祈祷也同样是传统的：「求你来，圣灵」；每一种礼仪传统都在对经与圣歌中把它发展出来。</w:t>
      </w:r>
    </w:p>
    <w:p>
      <w:pPr>
        <w:pStyle w:val="BlockText"/>
      </w:pPr>
      <w:r>
        <w:t xml:space="preserve">求你来，圣灵，充满你信徒的心，在他们里面点燃你爱的火焰。</w:t>
      </w:r>
      <w:r>
        <w:rPr>
          <w:rStyle w:val="FootnoteReference"/>
        </w:rPr>
        <w:footnoteReference w:id="3950"/>
      </w:r>
    </w:p>
    <w:p>
      <w:pPr>
        <w:pStyle w:val="BlockText"/>
      </w:pPr>
      <w:r>
        <w:t xml:space="preserve">天上的君王，施慰者，真理之灵，你无处不在，充满万有，你是各样美善的宝库与生命的泉源，求你来，住在我们里面，洁净我们，拯救我们；你这至善者。</w:t>
      </w:r>
      <w:r>
        <w:rPr>
          <w:rStyle w:val="FootnoteReference"/>
        </w:rPr>
        <w:footnoteReference w:id="3951"/>
      </w:r>
    </w:p>
    <w:p>
      <w:pPr>
        <w:pStyle w:val="FirstParagraph"/>
      </w:pPr>
      <w:r>
        <w:t xml:space="preserve">圣灵的膏抹渗透我们整个存在；他是基督徒祈祷的内在导师。他是祈祷之活圣传的工匠。</w:t>
      </w:r>
    </w:p>
    <w:p>
      <w:pPr>
        <w:pStyle w:val="BodyText"/>
      </w:pPr>
      <w:r>
        <w:rPr>
          <w:b/>
          <w:bCs/>
        </w:rPr>
        <w:t xml:space="preserve">在与神圣母的共融中</w:t>
      </w:r>
    </w:p>
    <w:p>
      <w:pPr>
        <w:pStyle w:val="BodyText"/>
      </w:pPr>
      <w:r>
        <w:t xml:space="preserve">在祈祷中，圣灵在他荣耀的人性里，把我们与独生子的位格联合起来。借着圣灵，基督使我们与他神圣的母亲相连，因为她与他以及他的救恩工作不可分离。</w:t>
      </w:r>
    </w:p>
    <w:p>
      <w:pPr>
        <w:pStyle w:val="BodyText"/>
      </w:pPr>
      <w:r>
        <w:t xml:space="preserve">马利亚在报喜时以信心给出同意，并在十字架下毫不犹豫地保持这同意。从那时起，她的母职就延伸到她儿子的弟兄姊妹身上——他们「仍在尘寰旅途中，围绕着危险和困难」。</w:t>
      </w:r>
      <w:r>
        <w:rPr>
          <w:rStyle w:val="FootnoteReference"/>
        </w:rPr>
        <w:footnoteReference w:id="3952"/>
      </w:r>
      <w:r>
        <w:t xml:space="preserve">耶稣是唯一的中保，是我们祈祷的道路；马利亚是他的母亲，也是我们的母亲，她完全透明地指向他：按东西方的传统圣像图像学，她「指示道路」（</w:t>
      </w:r>
      <w:r>
        <w:rPr>
          <w:i/>
          <w:iCs/>
        </w:rPr>
        <w:t xml:space="preserve">hodigitria</w:t>
      </w:r>
      <w:r>
        <w:t xml:space="preserve">），并且她自己「就是道路的记号」。</w:t>
      </w:r>
    </w:p>
    <w:p>
      <w:pPr>
        <w:pStyle w:val="BodyText"/>
      </w:pPr>
      <w:r>
        <w:t xml:space="preserve">教会从马利亚以独特方式与圣灵工作合作开始，就发展出向神圣母亲祈祷，并把祈祷的中心放在那位在诸奥秘中显明的基督身上。无数表达这种祈祷的赞美诗与对经，通常交替呈现两个动向：第一个动向因主对他卑微使女所行的「大事」，以及借着她对全人类所行的大事，而「尊主为大」；</w:t>
      </w:r>
      <w:r>
        <w:rPr>
          <w:rStyle w:val="FootnoteReference"/>
        </w:rPr>
        <w:footnoteReference w:id="3953"/>
      </w:r>
      <w:r>
        <w:t xml:space="preserve">第二个动向则把神子民的祈求与赞美托付给耶稣的母亲，因为她如今认识了那人性——神子在她里面与这人性结合。</w:t>
      </w:r>
    </w:p>
    <w:p>
      <w:pPr>
        <w:pStyle w:val="BodyText"/>
      </w:pPr>
      <w:r>
        <w:t xml:space="preserve">这种向马利亚祈祷的双重动向，在</w:t>
      </w:r>
      <w:r>
        <w:rPr>
          <w:i/>
          <w:iCs/>
        </w:rPr>
        <w:t xml:space="preserve">圣母祷文</w:t>
      </w:r>
      <w:r>
        <w:t xml:space="preserve">中得到了特殊的表达：</w:t>
      </w:r>
    </w:p>
    <w:p>
      <w:pPr>
        <w:pStyle w:val="BodyText"/>
      </w:pPr>
      <w:r>
        <w:rPr>
          <w:i/>
          <w:iCs/>
        </w:rPr>
        <w:t xml:space="preserve">万福马利亚［或：庆贺马利亚］</w:t>
      </w:r>
      <w:r>
        <w:t xml:space="preserve">：天使加百列的问安开启了这祈祷。是神自己借着天使作为中介向马利亚致意。我们的祈祷敢于拾起这问安，并以神看顾他谦卑使女之卑微的目光来看马利亚，也因神在她身上所喜悦的喜乐而欢腾。</w:t>
      </w:r>
      <w:r>
        <w:rPr>
          <w:rStyle w:val="FootnoteReference"/>
        </w:rPr>
        <w:footnoteReference w:id="3954"/>
      </w:r>
    </w:p>
    <w:p>
      <w:pPr>
        <w:pStyle w:val="BodyText"/>
      </w:pPr>
      <w:r>
        <w:rPr>
          <w:i/>
          <w:iCs/>
        </w:rPr>
        <w:t xml:space="preserve">你充满圣宠，主与你同在</w:t>
      </w:r>
      <w:r>
        <w:t xml:space="preserve">：天使问安中的这两句话彼此照亮。马利亚充满圣宠，因为主与她同在。充满她的恩典，就是那位一切恩典源头的临在。「锡安的民哪，应当歌唱……耶和华你的神是施行拯救、大有能力的主。他在你中间必因你欢欣喜乐。」</w:t>
      </w:r>
      <w:r>
        <w:rPr>
          <w:rStyle w:val="FootnoteReference"/>
        </w:rPr>
        <w:footnoteReference w:id="3955"/>
      </w:r>
      <w:r>
        <w:t xml:space="preserve">马利亚是主刚刚立居所之处，因此她本身就是锡安女子，是约柜，是主的荣耀居住之处。她是「神的帐幕在人间」。</w:t>
      </w:r>
      <w:r>
        <w:rPr>
          <w:rStyle w:val="FootnoteReference"/>
        </w:rPr>
        <w:footnoteReference w:id="3956"/>
      </w:r>
      <w:r>
        <w:t xml:space="preserve">马利亚充满圣宠，完全献给那位来住在她里面、而她即将把他带给世界的那一位。</w:t>
      </w:r>
    </w:p>
    <w:p>
      <w:pPr>
        <w:pStyle w:val="BodyText"/>
      </w:pPr>
      <w:r>
        <w:rPr>
          <w:i/>
          <w:iCs/>
        </w:rPr>
        <w:t xml:space="preserve">你在妇女中是有福的！你所怀的胎耶稣也是有福的！</w:t>
      </w:r>
      <w:r>
        <w:t xml:space="preserve">在天使问安之后，我们把以利沙伯的问安当作自己的问安。「被圣灵充满」的以利沙伯，是那漫长世代中第一个称马利亚为「有福」的人。</w:t>
      </w:r>
      <w:r>
        <w:rPr>
          <w:rStyle w:val="FootnoteReference"/>
        </w:rPr>
        <w:footnoteReference w:id="3957"/>
      </w:r>
      <w:r>
        <w:t xml:space="preserve">「这相信的女子是有福的……」</w:t>
      </w:r>
      <w:r>
        <w:rPr>
          <w:rStyle w:val="FootnoteReference"/>
        </w:rPr>
        <w:footnoteReference w:id="3958"/>
      </w:r>
      <w:r>
        <w:t xml:space="preserve">马利亚「在妇女中是有福的」，因为她相信主的话必应验。亚伯拉罕因信，成了地上万族的福。</w:t>
      </w:r>
      <w:r>
        <w:rPr>
          <w:rStyle w:val="FootnoteReference"/>
        </w:rPr>
        <w:footnoteReference w:id="3959"/>
      </w:r>
      <w:r>
        <w:t xml:space="preserve">马利亚因信，成为信者之母；借着她，地上的万国领受那位神自己的祝福：耶稣，这「你所怀的胎」。</w:t>
      </w:r>
    </w:p>
    <w:p>
      <w:pPr>
        <w:pStyle w:val="BodyText"/>
      </w:pPr>
      <w:r>
        <w:rPr>
          <w:i/>
          <w:iCs/>
        </w:rPr>
        <w:t xml:space="preserve">神之圣母马利亚</w:t>
      </w:r>
      <w:r>
        <w:t xml:space="preserve">：我们与以利沙伯一同惊叹：「我主的母到我这里来，这是从哪里得的呢？」</w:t>
      </w:r>
      <w:r>
        <w:rPr>
          <w:rStyle w:val="FootnoteReference"/>
        </w:rPr>
        <w:footnoteReference w:id="3960"/>
      </w:r>
      <w:r>
        <w:t xml:space="preserve">因为她把耶稣——她的儿子——赐给我们，马利亚是神的母，也是我们的母；我们可以把自己一切的忧虑与祈求都托付给她：她为我们祈祷，如同她为自己祈祷：「情愿照你的话成就在我身上。」</w:t>
      </w:r>
      <w:r>
        <w:rPr>
          <w:rStyle w:val="FootnoteReference"/>
        </w:rPr>
        <w:footnoteReference w:id="3961"/>
      </w:r>
      <w:r>
        <w:t xml:space="preserve">当我们把自己托付给她的祈祷时，我们就与她一起把自己交托给神的旨意：「愿你的旨意成就。」</w:t>
      </w:r>
    </w:p>
    <w:p>
      <w:pPr>
        <w:pStyle w:val="BodyText"/>
      </w:pPr>
      <w:r>
        <w:rPr>
          <w:i/>
          <w:iCs/>
        </w:rPr>
        <w:t xml:space="preserve">为我们罪人祈求，及至我们死候</w:t>
      </w:r>
      <w:r>
        <w:t xml:space="preserve">：当我们求马利亚为我们祈祷时，我们承认自己是贫穷的罪人，并把自己投向「怜悯之母」、那位至圣者。我们在当下——也就是我们生命的今日——把自己交给她。而我们的信赖在此刻就更进一步扩展：把「我们死候」完全交托在她的照料之下。愿她在那时与我们同在，如同她在十字架上她儿子临终时同在一样。愿她在我们离世的时刻以母亲的身份迎接我们</w:t>
      </w:r>
      <w:r>
        <w:rPr>
          <w:rStyle w:val="FootnoteReference"/>
        </w:rPr>
        <w:footnoteReference w:id="3962"/>
      </w:r>
      <w:r>
        <w:t xml:space="preserve">，带领我们到她儿子耶稣那里，在乐园中。</w:t>
      </w:r>
    </w:p>
    <w:p>
      <w:pPr>
        <w:pStyle w:val="BodyText"/>
      </w:pPr>
      <w:r>
        <w:t xml:space="preserve">西方中世纪的热心灵修发展出玫瑰经，作为时辰礼仪的通俗替代。东方方面，被称为</w:t>
      </w:r>
      <w:r>
        <w:rPr>
          <w:i/>
          <w:iCs/>
        </w:rPr>
        <w:t xml:space="preserve">Akathistos</w:t>
      </w:r>
      <w:r>
        <w:t xml:space="preserve">与</w:t>
      </w:r>
      <w:r>
        <w:rPr>
          <w:i/>
          <w:iCs/>
        </w:rPr>
        <w:t xml:space="preserve">Paraclesis</w:t>
      </w:r>
      <w:r>
        <w:t xml:space="preserve">的连祷，在拜占庭教会里仍更接近合唱日课；而亚美尼亚、科普特和叙利亚传统则更偏好向神圣母亲的通俗赞美诗与歌唱。不过，在</w:t>
      </w:r>
      <w:r>
        <w:rPr>
          <w:i/>
          <w:iCs/>
        </w:rPr>
        <w:t xml:space="preserve">圣母祷文</w:t>
      </w:r>
      <w:r>
        <w:t xml:space="preserve">、</w:t>
      </w:r>
      <w:r>
        <w:rPr>
          <w:i/>
          <w:iCs/>
        </w:rPr>
        <w:t xml:space="preserve">theotokia</w:t>
      </w:r>
      <w:r>
        <w:t xml:space="preserve">、圣以弗冷或圣纳雷克的额我略的赞美诗中，祈祷圣传在根本上是相同的。</w:t>
      </w:r>
    </w:p>
    <w:p>
      <w:pPr>
        <w:pStyle w:val="BodyText"/>
      </w:pPr>
      <w:r>
        <w:t xml:space="preserve">马利亚是完美的</w:t>
      </w:r>
      <w:r>
        <w:rPr>
          <w:i/>
          <w:iCs/>
        </w:rPr>
        <w:t xml:space="preserve">Orans</w:t>
      </w:r>
      <w:r>
        <w:t xml:space="preserve">（祈祷者），是教会的肖像。当我们向她祈祷时，我们就与她一同依附父的计划：父差遣他的儿子拯救众人。我们像那位蒙爱的门徒一样，把耶稣的母亲接到我们家里，</w:t>
      </w:r>
      <w:r>
        <w:rPr>
          <w:rStyle w:val="FootnoteReference"/>
        </w:rPr>
        <w:footnoteReference w:id="3963"/>
      </w:r>
      <w:r>
        <w:t xml:space="preserve">因为她成了众生之母。我们可以与她一起祈祷，也可以向她祈祷。教会的祈祷借着马利亚的祈祷得以支撑，并在盼望中与之联合。</w:t>
      </w:r>
      <w:r>
        <w:rPr>
          <w:rStyle w:val="FootnoteReference"/>
        </w:rPr>
        <w:footnoteReference w:id="3964"/>
      </w:r>
    </w:p>
    <w:bookmarkEnd w:id="3965"/>
    <w:bookmarkStart w:id="3966" w:name="综述-70"/>
    <w:p>
      <w:pPr>
        <w:pStyle w:val="Heading4"/>
      </w:pPr>
      <w:r>
        <w:t xml:space="preserve">综述</w:t>
      </w:r>
    </w:p>
    <w:p>
      <w:pPr>
        <w:pStyle w:val="FirstParagraph"/>
      </w:pPr>
      <w:r>
        <w:t xml:space="preserve">祈祷主要是向父；也可以指向耶稣，尤其藉着呼求他的圣名：「主耶稣基督，神的儿子，可怜我们罪人。」</w:t>
      </w:r>
    </w:p>
    <w:p>
      <w:pPr>
        <w:pStyle w:val="BodyText"/>
      </w:pPr>
      <w:r>
        <w:t xml:space="preserve">「若不是被圣灵感动的，也没有能说『耶稣是主』的」（林前 12:3）。教会邀请我们呼求圣灵，因为他是基督徒祈祷的内在导师。</w:t>
      </w:r>
    </w:p>
    <w:p>
      <w:pPr>
        <w:pStyle w:val="BodyText"/>
      </w:pPr>
      <w:r>
        <w:t xml:space="preserve">因为马利亚以独特方式与圣灵的行动合作，教会喜爱在与童贞马利亚的共融中祈祷，与她一同尊主为大——因主为她所行的大事；并把祈求与赞美托付给她。</w:t>
      </w:r>
    </w:p>
    <w:p>
      <w:r>
        <w:br w:type="page"/>
      </w:r>
    </w:p>
    <w:bookmarkEnd w:id="3966"/>
    <w:bookmarkStart w:id="3976" w:name="第三条祈祷的向导"/>
    <w:p>
      <w:pPr>
        <w:pStyle w:val="Heading4"/>
      </w:pPr>
      <w:r>
        <w:t xml:space="preserve">第三条：祈祷的向导</w:t>
      </w:r>
    </w:p>
    <w:p>
      <w:pPr>
        <w:pStyle w:val="FirstParagraph"/>
      </w:pPr>
      <w:r>
        <w:rPr>
          <w:b/>
          <w:bCs/>
        </w:rPr>
        <w:t xml:space="preserve">如云的见证人</w:t>
      </w:r>
    </w:p>
    <w:p>
      <w:pPr>
        <w:pStyle w:val="BodyText"/>
      </w:pPr>
      <w:r>
        <w:t xml:space="preserve">那些先我们进入国度的见证人，</w:t>
      </w:r>
      <w:r>
        <w:rPr>
          <w:rStyle w:val="FootnoteReference"/>
        </w:rPr>
        <w:footnoteReference w:id="3967"/>
      </w:r>
      <w:r>
        <w:t xml:space="preserve">尤其是教会承认为圣徒的人，通过他们生活的榜样、他们著作的传递，以及他们今天的祈祷，参与祈祷之活圣传。他们默观神，赞美他，并不断关怀那些仍留在地上的人。他们进入主人的喜乐时，就「可以管理许多事」。</w:t>
      </w:r>
      <w:r>
        <w:rPr>
          <w:rStyle w:val="FootnoteReference"/>
        </w:rPr>
        <w:footnoteReference w:id="3968"/>
      </w:r>
      <w:r>
        <w:t xml:space="preserve">他们的代求是他们对神计划最崇高的服事。我们可以也应该求他们为我们和全世界代求。</w:t>
      </w:r>
    </w:p>
    <w:p>
      <w:pPr>
        <w:pStyle w:val="BodyText"/>
      </w:pPr>
      <w:r>
        <w:t xml:space="preserve">在圣徒相通中，教会历史里发展出许多多样的</w:t>
      </w:r>
      <w:r>
        <w:rPr>
          <w:i/>
          <w:iCs/>
        </w:rPr>
        <w:t xml:space="preserve">灵修</w:t>
      </w:r>
      <w:r>
        <w:t xml:space="preserve">。一些见证人对神爱人的个人灵恩被传递下来，好像以利亚的「灵」传给以利沙与施洗约翰一样，使跟随他们的人能分享这灵。</w:t>
      </w:r>
      <w:r>
        <w:rPr>
          <w:rStyle w:val="FootnoteReference"/>
        </w:rPr>
        <w:footnoteReference w:id="3969"/>
      </w:r>
      <w:r>
        <w:t xml:space="preserve">一种独特的灵修也可能在礼仪与神学潮流的汇合点上产生，见证信仰在特定人类环境及其历史中的整合。基督徒灵修的不同学派都分享祈祷之活圣传，并且是信徒不可或缺的向导。在其丰富的多样性中，它们折射出圣灵那唯一纯净的光。</w:t>
      </w:r>
    </w:p>
    <w:p>
      <w:pPr>
        <w:pStyle w:val="BlockText"/>
      </w:pPr>
      <w:r>
        <w:t xml:space="preserve">圣灵确实是圣徒的居所，而圣徒对圣灵来说，是他如同在自己家中一样居住的地方，因为圣徒把自己献为神的居所，并被称为他的殿。</w:t>
      </w:r>
      <w:r>
        <w:rPr>
          <w:rStyle w:val="FootnoteReference"/>
        </w:rPr>
        <w:footnoteReference w:id="3970"/>
      </w:r>
    </w:p>
    <w:p>
      <w:pPr>
        <w:pStyle w:val="FirstParagraph"/>
      </w:pPr>
      <w:r>
        <w:rPr>
          <w:b/>
          <w:bCs/>
        </w:rPr>
        <w:t xml:space="preserve">祈祷的仆人</w:t>
      </w:r>
    </w:p>
    <w:p>
      <w:pPr>
        <w:pStyle w:val="BodyText"/>
      </w:pPr>
      <w:r>
        <w:rPr>
          <w:i/>
          <w:iCs/>
        </w:rPr>
        <w:t xml:space="preserve">基督徒家庭</w:t>
      </w:r>
      <w:r>
        <w:t xml:space="preserve">是祈祷教育的第一处地方。家庭建立在婚姻圣事之上，是「家庭教会」；在这里，神的儿女学习「像教会那样」祈祷，并学习坚持祈祷。特别对年幼的孩子来说，每日的家庭祈祷，是教会活记忆的第一份见证；这活记忆由圣灵耐心唤醒。</w:t>
      </w:r>
    </w:p>
    <w:p>
      <w:pPr>
        <w:pStyle w:val="BodyText"/>
      </w:pPr>
      <w:r>
        <w:rPr>
          <w:i/>
          <w:iCs/>
        </w:rPr>
        <w:t xml:space="preserve">受圣秩者</w:t>
      </w:r>
      <w:r>
        <w:t xml:space="preserve">也有责任培育基督内的弟兄姊妹学习祈祷。作为好牧人的仆人，他们被祝圣，是为带领神子民来到祈祷的活水：神的道、礼仪、神学生活（信心、盼望与仁爱的生活），以及在具体处境中的神的「今日」。</w:t>
      </w:r>
      <w:r>
        <w:rPr>
          <w:rStyle w:val="FootnoteReference"/>
        </w:rPr>
        <w:footnoteReference w:id="3971"/>
      </w:r>
    </w:p>
    <w:p>
      <w:pPr>
        <w:pStyle w:val="BodyText"/>
      </w:pPr>
      <w:r>
        <w:t xml:space="preserve">许多</w:t>
      </w:r>
      <w:r>
        <w:rPr>
          <w:i/>
          <w:iCs/>
        </w:rPr>
        <w:t xml:space="preserve">献身者</w:t>
      </w:r>
      <w:r>
        <w:t xml:space="preserve">把他们的全部生命奉献给祈祷。从沙漠教父的时代起，隐修者、修士与修女就把时间献给赞美神，并为他的子民代求。献身生活若没有祈祷，就无法维持或传播；它是教会默观生活与灵性生活的活泉之一。</w:t>
      </w:r>
    </w:p>
    <w:p>
      <w:pPr>
        <w:pStyle w:val="BodyText"/>
      </w:pPr>
      <w:r>
        <w:t xml:space="preserve">儿童、青年与成人的</w:t>
      </w:r>
      <w:r>
        <w:rPr>
          <w:i/>
          <w:iCs/>
        </w:rPr>
        <w:t xml:space="preserve">教理讲授</w:t>
      </w:r>
      <w:r>
        <w:t xml:space="preserve">，旨在教导他们在个人祈祷中默想神的道，在礼仪祈祷中操练，并在任何时候把它内化，好在新生活中结出果子。教理讲授也是分辨并培育民间敬礼的时机。</w:t>
      </w:r>
      <w:r>
        <w:rPr>
          <w:rStyle w:val="FootnoteReference"/>
        </w:rPr>
        <w:footnoteReference w:id="3972"/>
      </w:r>
      <w:r>
        <w:t xml:space="preserve">背诵基本祈祷文为祈祷生活提供重要支撑，但也需要帮助学习者品味其中的意义。</w:t>
      </w:r>
    </w:p>
    <w:p>
      <w:pPr>
        <w:pStyle w:val="BodyText"/>
      </w:pPr>
      <w:r>
        <w:rPr>
          <w:i/>
          <w:iCs/>
        </w:rPr>
        <w:t xml:space="preserve">祈祷团体</w:t>
      </w:r>
      <w:r>
        <w:t xml:space="preserve">，也就是「祈祷的学校」，在今天是教会里祈祷更新的标志之一，也是推动力量之一——前提是它们要从基督徒祈祷真实的泉源汲取。关心教会的共融，是教会中真实祈祷的记号。</w:t>
      </w:r>
    </w:p>
    <w:p>
      <w:pPr>
        <w:pStyle w:val="BodyText"/>
      </w:pPr>
      <w:r>
        <w:t xml:space="preserve">圣灵为这共同的益处——祈祷——把智慧、信心与分辨的恩赐赐给某些信徒（</w:t>
      </w:r>
      <w:r>
        <w:rPr>
          <w:i/>
          <w:iCs/>
        </w:rPr>
        <w:t xml:space="preserve">灵修指导</w:t>
      </w:r>
      <w:r>
        <w:t xml:space="preserve">）。这样蒙恩的人，是祈祷之活圣传真正的仆人。</w:t>
      </w:r>
    </w:p>
    <w:p>
      <w:pPr>
        <w:pStyle w:val="BlockText"/>
      </w:pPr>
      <w:r>
        <w:t xml:space="preserve">按圣十字约翰所说，渴望迈向成全的人应当「谨慎留意把自己交在谁的手里，因为师傅如何，门徒也如何；父亲如何，儿子也如何」。他又说：「指导者除了要有学问、谨慎之外，也应当有经验……若灵修指导者没有灵性生活的经验，他就无法带领神正在呼召的人进入其中，甚至也不懂他们。」</w:t>
      </w:r>
      <w:r>
        <w:rPr>
          <w:rStyle w:val="FootnoteReference"/>
        </w:rPr>
        <w:footnoteReference w:id="3973"/>
      </w:r>
    </w:p>
    <w:p>
      <w:pPr>
        <w:pStyle w:val="FirstParagraph"/>
      </w:pPr>
      <w:r>
        <w:rPr>
          <w:b/>
          <w:bCs/>
        </w:rPr>
        <w:t xml:space="preserve">有利于祈祷的地方</w:t>
      </w:r>
    </w:p>
    <w:p>
      <w:pPr>
        <w:pStyle w:val="BodyText"/>
      </w:pPr>
      <w:r>
        <w:t xml:space="preserve">教堂——神的家——是堂区团体礼仪祈祷的适当地方。它也是朝拜基督在至圣圣事中真实临在的特选之处。选择一个有利的地方，对真实祈祷并非无关紧要。</w:t>
      </w:r>
    </w:p>
    <w:p>
      <w:pPr>
        <w:pStyle w:val="Compact"/>
        <w:numPr>
          <w:ilvl w:val="0"/>
          <w:numId w:val="1031"/>
        </w:numPr>
      </w:pPr>
      <w:r>
        <w:t xml:space="preserve">对个人祈祷来说，这可以是一个「祈祷角」，放置圣经与圣像，好让我们在那里，在隐密中来到父面前。</w:t>
      </w:r>
      <w:r>
        <w:rPr>
          <w:rStyle w:val="FootnoteReference"/>
        </w:rPr>
        <w:footnoteReference w:id="3974"/>
      </w:r>
      <w:r>
        <w:t xml:space="preserve">在基督徒家庭中，这类小小的祈祷空间促进共同祈祷。</w:t>
      </w:r>
    </w:p>
    <w:p>
      <w:pPr>
        <w:pStyle w:val="Compact"/>
        <w:numPr>
          <w:ilvl w:val="0"/>
          <w:numId w:val="1031"/>
        </w:numPr>
      </w:pPr>
      <w:r>
        <w:t xml:space="preserve">在有修道院的地区，这些团体的圣召是促进信徒参与时辰礼仪，并提供更强烈个人祈祷所需要的独处。</w:t>
      </w:r>
      <w:r>
        <w:rPr>
          <w:rStyle w:val="FootnoteReference"/>
        </w:rPr>
        <w:footnoteReference w:id="3975"/>
      </w:r>
    </w:p>
    <w:p>
      <w:pPr>
        <w:pStyle w:val="Compact"/>
        <w:numPr>
          <w:ilvl w:val="0"/>
          <w:numId w:val="1031"/>
        </w:numPr>
      </w:pPr>
      <w:r>
        <w:t xml:space="preserve">朝圣唤起我们在地上走向天乡的旅程，并且传统上是祈祷更新的特殊时刻。对寻求活水的朝圣者而言，圣地是「在教会里」活出基督徒祈祷各种形式的特别地方。</w:t>
      </w:r>
    </w:p>
    <w:bookmarkEnd w:id="3976"/>
    <w:bookmarkStart w:id="3977" w:name="综述-71"/>
    <w:p>
      <w:pPr>
        <w:pStyle w:val="Heading4"/>
      </w:pPr>
      <w:r>
        <w:t xml:space="preserve">综述</w:t>
      </w:r>
    </w:p>
    <w:p>
      <w:pPr>
        <w:pStyle w:val="FirstParagraph"/>
      </w:pPr>
      <w:r>
        <w:t xml:space="preserve">在祈祷中，朝圣的教会与圣徒的祈祷相连，并求他们代求。</w:t>
      </w:r>
    </w:p>
    <w:p>
      <w:pPr>
        <w:pStyle w:val="BodyText"/>
      </w:pPr>
      <w:r>
        <w:t xml:space="preserve">基督徒灵修的不同学派都分享祈祷之活圣传，并且是灵性生活宝贵的向导。</w:t>
      </w:r>
    </w:p>
    <w:p>
      <w:pPr>
        <w:pStyle w:val="BodyText"/>
      </w:pPr>
      <w:r>
        <w:t xml:space="preserve">基督徒家庭是祈祷教育的第一处地方。</w:t>
      </w:r>
    </w:p>
    <w:p>
      <w:pPr>
        <w:pStyle w:val="BodyText"/>
      </w:pPr>
      <w:r>
        <w:t xml:space="preserve">受圣秩者、献身生活、教理讲授、祈祷团体，以及「灵修指导」，都在教会内帮助人操练祈祷。</w:t>
      </w:r>
    </w:p>
    <w:p>
      <w:pPr>
        <w:pStyle w:val="BodyText"/>
      </w:pPr>
      <w:r>
        <w:t xml:space="preserve">最适合祈祷的地方包括个人或家庭的祈祷空间、修道院、朝圣地点，尤其是教堂——它是堂区团体礼仪祈祷的适当地方，也是圣体朝拜的特选之处。</w:t>
      </w:r>
    </w:p>
    <w:p>
      <w:r>
        <w:br w:type="page"/>
      </w:r>
    </w:p>
    <w:bookmarkEnd w:id="3977"/>
    <w:bookmarkEnd w:id="3978"/>
    <w:bookmarkStart w:id="4038" w:name="第三章祈祷生活"/>
    <w:p>
      <w:pPr>
        <w:pStyle w:val="Heading3"/>
      </w:pPr>
      <w:r>
        <w:t xml:space="preserve">第三章：祈祷生活</w:t>
      </w:r>
    </w:p>
    <w:p>
      <w:pPr>
        <w:pStyle w:val="FirstParagraph"/>
      </w:pPr>
      <w:r>
        <w:t xml:space="preserve">祈祷是新心的生命。祈祷应当在每一刻都使我们有生命。但我们往往会忘记那位是我们生命、也是我们一切的主。这就是为什么灵性生活的教父们在申命记和先知传统中坚持说，祈祷是对神的记念，经常由心的记忆唤醒：「我们记念神，应当比我们呼吸更频繁。」</w:t>
      </w:r>
      <w:r>
        <w:rPr>
          <w:rStyle w:val="FootnoteReference"/>
        </w:rPr>
        <w:footnoteReference w:id="3979"/>
      </w:r>
      <w:r>
        <w:t xml:space="preserve">但如果我们不在特定的时间里有意识地去祈祷，我们就无法「常常」祈祷。这些就是基督徒祈祷的特殊时刻，在强度与时长上都如此。</w:t>
      </w:r>
    </w:p>
    <w:p>
      <w:pPr>
        <w:pStyle w:val="BodyText"/>
      </w:pPr>
      <w:r>
        <w:t xml:space="preserve">教会的圣传向信徒提出一些祈祷的节奏，为滋养不断的祈祷。有些是每日的，例如晨祷与晚祷、饭前饭后谢恩、时辰礼仪。以圣餐为中心的主日，主要藉着祈祷得以守为圣日。礼仪年的周期及其重大节日，也构成基督徒祈祷生活的基本节奏。</w:t>
      </w:r>
    </w:p>
    <w:p>
      <w:pPr>
        <w:pStyle w:val="BodyText"/>
      </w:pPr>
      <w:r>
        <w:t xml:space="preserve">主以他所喜悦的道路与方式引导所有人，而每位信徒都按自己内心的决心和个人祈祷的表达来回应。不过，基督徒圣传保留了三种主要的祈祷表达：口祷、默想祈祷与默观祈祷。它们共有一个基本特征：收敛其心。这种警醒——持守圣道并住在神面前——使这三种表达成为祈祷生活中强烈的时刻。</w:t>
      </w:r>
    </w:p>
    <w:p>
      <w:r>
        <w:br w:type="page"/>
      </w:r>
    </w:p>
    <w:bookmarkStart w:id="3995" w:name="第一条祈祷的表达"/>
    <w:p>
      <w:pPr>
        <w:pStyle w:val="Heading4"/>
      </w:pPr>
      <w:r>
        <w:t xml:space="preserve">第一条：祈祷的表达</w:t>
      </w:r>
    </w:p>
    <w:bookmarkStart w:id="3983" w:name="一口祷"/>
    <w:p>
      <w:pPr>
        <w:pStyle w:val="Heading5"/>
      </w:pPr>
      <w:r>
        <w:t xml:space="preserve">一、口祷</w:t>
      </w:r>
    </w:p>
    <w:p>
      <w:pPr>
        <w:pStyle w:val="FirstParagraph"/>
      </w:pPr>
      <w:r>
        <w:t xml:space="preserve">神借着他的道对人说话。我们的祈祷，无论是心里的还是口里的，都是借着言语而有形有体。然而，最重要的是：当我们祈祷时，心要在我们所对话的那位面前：「祈祷是否蒙垂听，不在于言语多少，而在于灵魂的热切。」</w:t>
      </w:r>
      <w:r>
        <w:rPr>
          <w:rStyle w:val="FootnoteReference"/>
        </w:rPr>
        <w:footnoteReference w:id="3980"/>
      </w:r>
    </w:p>
    <w:p>
      <w:pPr>
        <w:pStyle w:val="BodyText"/>
      </w:pPr>
      <w:r>
        <w:t xml:space="preserve">口祷是基督徒生活不可缺少的要素。门徒被师傅无声的祈祷吸引，耶稣就教导他们一篇口祷：主祷文。耶稣不仅大声诵念会堂的礼仪祈祷；福音也显示，他会提高声音表达他个人的祈祷：从因祝福父而欢跃，到客西马尼的痛苦挣扎。</w:t>
      </w:r>
      <w:r>
        <w:rPr>
          <w:rStyle w:val="FootnoteReference"/>
        </w:rPr>
        <w:footnoteReference w:id="3981"/>
      </w:r>
    </w:p>
    <w:p>
      <w:pPr>
        <w:pStyle w:val="BodyText"/>
      </w:pPr>
      <w:r>
        <w:t xml:space="preserve">在内祷中引入感官的需要，符合我们人性的一种要求。我们既有身体也有灵，我们经验到需要把自己的感受外在化。我们必须以整个存在来祈祷，好使我们的祈求尽可能具有力量。</w:t>
      </w:r>
    </w:p>
    <w:p>
      <w:pPr>
        <w:pStyle w:val="BodyText"/>
      </w:pPr>
      <w:r>
        <w:t xml:space="preserve">这种需要也对应于神所要求的事。神寻找用心灵和诚实敬拜他的人，因此他要的是从灵魂深处升起的活的祈祷。他也希望有外在的表达，使身体与内在的祈祷相连，因为这把他应得的圆满致敬归给他。</w:t>
      </w:r>
    </w:p>
    <w:p>
      <w:pPr>
        <w:pStyle w:val="BodyText"/>
      </w:pPr>
      <w:r>
        <w:t xml:space="preserve">因为口祷是外在的、也是如此人性的，所以它是团体最容易进入的祈祷形式。然而，即使是内祷也不能忽略口祷。祈祷之所以被内化，在于我们意识到那位「我们在对谁说话」；</w:t>
      </w:r>
      <w:r>
        <w:rPr>
          <w:rStyle w:val="FootnoteReference"/>
        </w:rPr>
        <w:footnoteReference w:id="3982"/>
      </w:r>
      <w:r>
        <w:t xml:space="preserve">因此，口祷成为默观祈祷的起步形式。</w:t>
      </w:r>
    </w:p>
    <w:bookmarkEnd w:id="3983"/>
    <w:bookmarkStart w:id="3985" w:name="二默想"/>
    <w:p>
      <w:pPr>
        <w:pStyle w:val="Heading5"/>
      </w:pPr>
      <w:r>
        <w:t xml:space="preserve">二、默想</w:t>
      </w:r>
    </w:p>
    <w:p>
      <w:pPr>
        <w:pStyle w:val="FirstParagraph"/>
      </w:pPr>
      <w:r>
        <w:t xml:space="preserve">默想首先是一种寻求。理智寻求理解基督徒生活的为何与如何，好依附并回应主所要求的事。这种需要的专注很难持续。我们通常借助书籍，而基督徒从不缺少这些：圣经，尤其是福音；圣像；当天或当季的礼仪文本；灵修教父的著作；灵修作品；受造这本大书，以及历史这本大书——神的「今日」写在上面的那一页。</w:t>
      </w:r>
    </w:p>
    <w:p>
      <w:pPr>
        <w:pStyle w:val="BodyText"/>
      </w:pPr>
      <w:r>
        <w:t xml:space="preserve">默想我们所读的，帮助我们把它变成自己的，使它与我们自己相对照。在这里，另一本书打开了：生命之书。我们从思想进入现实。只要我们谦卑而忠信，我们就在默想中发现那些搅动内心的动向，并能分辨它们。这关乎真实地行动，好进入光中：「主啊，你要我做什么？」</w:t>
      </w:r>
    </w:p>
    <w:p>
      <w:pPr>
        <w:pStyle w:val="BodyText"/>
      </w:pPr>
      <w:r>
        <w:t xml:space="preserve">默想的方法多种多样，正如灵修导师多种多样。基督徒应当培养定期默想的渴望，免得自己像撒种比喻中最初三种土地一样。</w:t>
      </w:r>
      <w:r>
        <w:rPr>
          <w:rStyle w:val="FootnoteReference"/>
        </w:rPr>
        <w:footnoteReference w:id="3984"/>
      </w:r>
      <w:r>
        <w:t xml:space="preserve">但方法只是向导；重要的是在圣灵的带领下，沿着祈祷那唯一的道路前行：基督耶稣。</w:t>
      </w:r>
    </w:p>
    <w:p>
      <w:pPr>
        <w:pStyle w:val="BodyText"/>
      </w:pPr>
      <w:r>
        <w:t xml:space="preserve">默想调动思想、想象、情感与渴望。这样的能力调动是必要的，为使我们的信仰确信加深，促使我们的心归正，并坚固我们跟随基督的意志。基督徒祈祷尤其努力默想基督的奥秘，例如在</w:t>
      </w:r>
      <w:r>
        <w:rPr>
          <w:i/>
          <w:iCs/>
        </w:rPr>
        <w:t xml:space="preserve">道诵读</w:t>
      </w:r>
      <w:r>
        <w:t xml:space="preserve">或玫瑰经中。这种带着祈祷的反省很有价值，但基督徒祈祷还应更进一步：进入对主耶稣之爱的认识，并与他合一。</w:t>
      </w:r>
    </w:p>
    <w:bookmarkEnd w:id="3985"/>
    <w:bookmarkStart w:id="3994" w:name="三默观祈祷"/>
    <w:p>
      <w:pPr>
        <w:pStyle w:val="Heading5"/>
      </w:pPr>
      <w:r>
        <w:t xml:space="preserve">三、默观祈祷</w:t>
      </w:r>
    </w:p>
    <w:p>
      <w:pPr>
        <w:pStyle w:val="FirstParagraph"/>
      </w:pPr>
      <w:r>
        <w:t xml:space="preserve">什么是默观祈祷？圣德兰回答说：「在我看来，默观祈祷［</w:t>
      </w:r>
      <w:r>
        <w:rPr>
          <w:i/>
          <w:iCs/>
        </w:rPr>
        <w:t xml:space="preserve">oración mental</w:t>
      </w:r>
      <w:r>
        <w:t xml:space="preserve">］无非是朋友之间亲密的交往；也就是常常抽出时间，独自与那位我们知道爱我们的人在一起。」</w:t>
      </w:r>
      <w:r>
        <w:rPr>
          <w:rStyle w:val="FootnoteReference"/>
        </w:rPr>
        <w:footnoteReference w:id="3986"/>
      </w:r>
      <w:r>
        <w:t xml:space="preserve">默观祈祷寻求「我心所爱的」。</w:t>
      </w:r>
      <w:r>
        <w:rPr>
          <w:rStyle w:val="FootnoteReference"/>
        </w:rPr>
        <w:footnoteReference w:id="3987"/>
      </w:r>
      <w:r>
        <w:t xml:space="preserve">那位就是耶稣，并且在他里面是父。我们寻求他，因为渴望他总是爱的开始；我们也在那纯净的信心中寻求他，这信心使我们由他而生，并在他里面生活。在这种内在祈祷中，我们仍可以默想，但我们的注意力固定在主自己身上。</w:t>
      </w:r>
    </w:p>
    <w:p>
      <w:pPr>
        <w:pStyle w:val="BodyText"/>
      </w:pPr>
      <w:r>
        <w:t xml:space="preserve">祈祷的时间与时长的选择，出自坚定的意志，并显露内心的秘密。人不是只在有空时才开始默观祈祷；而是为主挤出时间，并下定决心：不管遇到什么试炼或枯槁，都不放弃。人不能总是默想，但无论健康、工作或情绪状况如何，总能进入内在祈祷。心是这种寻求与相遇的所在——在贫穷中，在信心中。</w:t>
      </w:r>
    </w:p>
    <w:p>
      <w:pPr>
        <w:pStyle w:val="BodyText"/>
      </w:pPr>
      <w:r>
        <w:t xml:space="preserve">默观祈祷是神儿女的祈祷，是蒙赦免的罪人同意迎接那爱——他在其中被爱，并愿意以更大的爱来回应。</w:t>
      </w:r>
      <w:r>
        <w:rPr>
          <w:rStyle w:val="FootnoteReference"/>
        </w:rPr>
        <w:footnoteReference w:id="3988"/>
      </w:r>
      <w:r>
        <w:t xml:space="preserve">但他知道：他所回献的爱，是圣灵浇灌在他心里的，因为一切都是来自神的恩典。默观祈祷是在贫穷与谦卑中，把自己交托给父那爱的旨意，并在与他爱子的更深合一中交托自己。</w:t>
      </w:r>
    </w:p>
    <w:p>
      <w:pPr>
        <w:pStyle w:val="BodyText"/>
      </w:pPr>
      <w:r>
        <w:t xml:space="preserve">默观祈祷是在我们心里由神所建立的约的关系。</w:t>
      </w:r>
      <w:r>
        <w:rPr>
          <w:rStyle w:val="FootnoteReference"/>
        </w:rPr>
        <w:footnoteReference w:id="3989"/>
      </w:r>
      <w:r>
        <w:t xml:space="preserve">默观祈祷是一种共融：在其中，三位一体把人——神的形象——塑成「他的样式」。</w:t>
      </w:r>
    </w:p>
    <w:p>
      <w:pPr>
        <w:pStyle w:val="BodyText"/>
      </w:pPr>
      <w:r>
        <w:t xml:space="preserve">默观祈祷是祈祷奥秘最简单的表达。它是恩赐，是恩典；只有在谦卑与贫穷中才能领受。默观祈祷是在我们心里由神所建立的约的关系。默观祈祷是一种共融：在其中，三位一体把人塑成「神的样式」。</w:t>
      </w:r>
    </w:p>
    <w:p>
      <w:pPr>
        <w:pStyle w:val="BodyText"/>
      </w:pPr>
      <w:r>
        <w:t xml:space="preserve">默观祈祷也是祈祷中最强烈的时刻。在其中，父藉着他的灵用大能坚固我们的内心，使「基督因你们的信，住在你们心里」，叫我们「根基立在爱中」。</w:t>
      </w:r>
    </w:p>
    <w:p>
      <w:pPr>
        <w:pStyle w:val="BodyText"/>
      </w:pPr>
      <w:r>
        <w:t xml:space="preserve">默观祈祷是一种信心的凝视，定睛在耶稣身上。「我看着他，他看着我」：阿尔斯的那位圣本堂神父时代，有一位农夫在圣龛前祈祷时常这样说。定睛耶稣，就是舍弃自我。他的目光洁净我们的心；耶稣面容的光照亮我们心里的眼睛，教我们在他的真理之光与他对众人的怜悯之光中看一切。默观也把目光转向基督生命的奥秘，因此学习对「我们的主」的「内在认识」，好更爱他，更跟随他。</w:t>
      </w:r>
      <w:r>
        <w:rPr>
          <w:rStyle w:val="FootnoteReference"/>
        </w:rPr>
        <w:footnoteReference w:id="3990"/>
      </w:r>
    </w:p>
    <w:p>
      <w:pPr>
        <w:pStyle w:val="BodyText"/>
      </w:pPr>
      <w:r>
        <w:t xml:space="preserve">默观祈祷是聆听神的道。这种专注远不是被动，而是信心的顺服，是仆人的无条件接纳，也是儿女充满爱的委身。它参与那位成为仆人的子所说的「是」，也参与神卑微使女的「情愿照你的话成就在我身上」。</w:t>
      </w:r>
    </w:p>
    <w:p>
      <w:pPr>
        <w:pStyle w:val="BodyText"/>
      </w:pPr>
      <w:r>
        <w:t xml:space="preserve">默观祈祷是沉默，是「将来世界的象征」，</w:t>
      </w:r>
      <w:r>
        <w:rPr>
          <w:rStyle w:val="FootnoteReference"/>
        </w:rPr>
        <w:footnoteReference w:id="3991"/>
      </w:r>
      <w:r>
        <w:t xml:space="preserve">或「无声的爱」。</w:t>
      </w:r>
      <w:r>
        <w:rPr>
          <w:rStyle w:val="FootnoteReference"/>
        </w:rPr>
        <w:footnoteReference w:id="3992"/>
      </w:r>
      <w:r>
        <w:t xml:space="preserve">这类祈祷中的言语不是演说，而像引火之物，使爱的火焰得以延续。在这对「外在的人」难以忍受的沉默里，父对我们说出他那降生成人的道——那道受苦、受死并复活；在这沉默里，儿子的灵使我们能分享耶稣的祈祷。</w:t>
      </w:r>
    </w:p>
    <w:p>
      <w:pPr>
        <w:pStyle w:val="BodyText"/>
      </w:pPr>
      <w:r>
        <w:t xml:space="preserve">默观祈祷与基督的祈祷合一，因为它使我们参与他的奥秘。基督的奥秘在教会的圣餐中被庆祝；圣灵又使这奥秘在默观祈祷中活起来，好叫我们的仁爱在行动中把这奥秘显明出来。</w:t>
      </w:r>
    </w:p>
    <w:p>
      <w:pPr>
        <w:pStyle w:val="BodyText"/>
      </w:pPr>
      <w:r>
        <w:t xml:space="preserve">默观祈祷是一种爱的共融，它带来为众人而有的生命，只要它同意住在信心的黑夜里。复活的逾越之夜经过痛苦挣扎与坟墓的黑夜——这是耶稣时辰的三个强烈时刻；他的灵（而不是「肉体……软弱」）在祈祷中使这三者活起来。我们必须愿意「同他警醒片时」。</w:t>
      </w:r>
      <w:r>
        <w:rPr>
          <w:rStyle w:val="FootnoteReference"/>
        </w:rPr>
        <w:footnoteReference w:id="3993"/>
      </w:r>
    </w:p>
    <w:bookmarkEnd w:id="3994"/>
    <w:bookmarkEnd w:id="3995"/>
    <w:bookmarkStart w:id="3996" w:name="综述-72"/>
    <w:p>
      <w:pPr>
        <w:pStyle w:val="Heading4"/>
      </w:pPr>
      <w:r>
        <w:t xml:space="preserve">综述</w:t>
      </w:r>
    </w:p>
    <w:p>
      <w:pPr>
        <w:pStyle w:val="FirstParagraph"/>
      </w:pPr>
      <w:r>
        <w:t xml:space="preserve">教会邀请信徒有规律地祈祷：每日祈祷、时辰礼仪、主日圣餐、礼仪年的各个节日。</w:t>
      </w:r>
    </w:p>
    <w:p>
      <w:pPr>
        <w:pStyle w:val="BodyText"/>
      </w:pPr>
      <w:r>
        <w:t xml:space="preserve">基督徒圣传包含祈祷生活的三种主要表达：口祷、默想祈祷与默观祈祷。它们共同之处在于收敛其心。</w:t>
      </w:r>
    </w:p>
    <w:p>
      <w:pPr>
        <w:pStyle w:val="BodyText"/>
      </w:pPr>
      <w:r>
        <w:t xml:space="preserve">口祷建立在人的本性中灵与体的合一之上，仿效基督向父祈祷、并教导门徒主祷文，把身体与内心的祈祷联合起来。</w:t>
      </w:r>
    </w:p>
    <w:p>
      <w:pPr>
        <w:pStyle w:val="BodyText"/>
      </w:pPr>
      <w:r>
        <w:t xml:space="preserve">默想是一种带着祈祷的寻求，它调动思想、想象、情感与渴望。它的目标是在信心中把所默想的主题变成自己的，借着把它与自己生活的现实相对照。</w:t>
      </w:r>
    </w:p>
    <w:p>
      <w:pPr>
        <w:pStyle w:val="BodyText"/>
      </w:pPr>
      <w:r>
        <w:t xml:space="preserve">默观祈祷是祈祷奥秘最简单的表达。它是定睛在耶稣身上的信心凝视，是对神的道的专注聆听，是无声的爱。它在使我们分享基督奥秘的程度上，达成与基督祈祷的真实合一。</w:t>
      </w:r>
    </w:p>
    <w:p>
      <w:r>
        <w:br w:type="page"/>
      </w:r>
    </w:p>
    <w:bookmarkEnd w:id="3996"/>
    <w:bookmarkStart w:id="4026" w:name="第二条祈祷的争战"/>
    <w:p>
      <w:pPr>
        <w:pStyle w:val="Heading4"/>
      </w:pPr>
      <w:r>
        <w:t xml:space="preserve">第二条：祈祷的争战</w:t>
      </w:r>
    </w:p>
    <w:p>
      <w:pPr>
        <w:pStyle w:val="FirstParagraph"/>
      </w:pPr>
      <w:r>
        <w:t xml:space="preserve">祈祷既是恩典的礼物，也是我们坚定的回应。它总预设努力。基督来临以前旧约中的祈祷伟人，神之母、圣徒，以及基督自己，都教导我们这一点：祈祷是一场争战。与谁争战？与我们自己争战，也与试探者的诡计争战；他竭尽所能把人从祈祷中、从与神的合一中拉走。我们怎样生活，就怎样祈祷；我们怎样祈祷，就怎样生活。如果我们不愿意习惯性地按基督的灵行动，我们也就无法习惯性地奉他的名祈祷。基督徒新生命的「灵性争战」，与祈祷的争战密不可分。</w:t>
      </w:r>
    </w:p>
    <w:bookmarkStart w:id="3998" w:name="一对祈祷的反对"/>
    <w:p>
      <w:pPr>
        <w:pStyle w:val="Heading5"/>
      </w:pPr>
      <w:r>
        <w:t xml:space="preserve">一、对祈祷的反对</w:t>
      </w:r>
    </w:p>
    <w:p>
      <w:pPr>
        <w:pStyle w:val="FirstParagraph"/>
      </w:pPr>
      <w:r>
        <w:t xml:space="preserve">在祈祷的争战中，我们必须面对自己里面和周围对祈祷的错误观念。有些人把祈祷看作一种简单的心理活动；另一些人把它看作一种专注的努力，以达到心灵的空无；还有一些人把祈祷缩减为仪式化的言语与姿态。许多基督徒在不知不觉中把祈祷当作一种与他们必须做的其他事情不相容的活动：他们「没有时间」。那些藉着祈祷寻求神的人，很快就会灰心，因为他们不知道祈祷也来自圣灵，而不只是来自自己。</w:t>
      </w:r>
    </w:p>
    <w:p>
      <w:pPr>
        <w:pStyle w:val="BodyText"/>
      </w:pPr>
      <w:r>
        <w:t xml:space="preserve">我们也必须面对：若不警醒，源自「现今世界」心态的某些态度会渗透我们的生活。例如，有人主张只有理性和科学能验证的才是真的；但祈祷是一种奥秘，远远超过我们的意识与潜意识生活。另一些人过度看重生产与利润；于是祈祷因为「不生产」，就显得没用。还有一些人把感官享受与舒适高举为真、善、美的标准；然而祈祷——这「对美的爱」（</w:t>
      </w:r>
      <w:r>
        <w:rPr>
          <w:i/>
          <w:iCs/>
        </w:rPr>
        <w:t xml:space="preserve">philokalia</w:t>
      </w:r>
      <w:r>
        <w:t xml:space="preserve">）——却被卷入那又活又真的神的荣耀之中。最后，有人把祈祷看作对行动主义的反动，认为那是逃离世界；但事实上，基督徒祈祷既不是逃避现实，也不是脱离生活。</w:t>
      </w:r>
    </w:p>
    <w:p>
      <w:pPr>
        <w:pStyle w:val="BodyText"/>
      </w:pPr>
      <w:r>
        <w:t xml:space="preserve">最后，我们的争战还必须面对我们在祈祷中所经验到的失败：枯槁时期的灰心；因为我们「产业很多」</w:t>
      </w:r>
      <w:r>
        <w:rPr>
          <w:rStyle w:val="FootnoteReference"/>
        </w:rPr>
        <w:footnoteReference w:id="3997"/>
      </w:r>
      <w:r>
        <w:t xml:space="preserve">却没有把一切献给主而产生的忧伤；因没有按自己的意愿蒙垂听而产生的失望；因我们作为罪人的不配而受伤的骄傲，并因此变得顽固；我们抗拒承认祈祷是白白的、不配得的恩赐；等等。结论总是一样：祈祷有什么用？要克服这些障碍，我们必须争战，好获得谦卑、信赖与坚持。</w:t>
      </w:r>
    </w:p>
    <w:bookmarkEnd w:id="3998"/>
    <w:bookmarkStart w:id="4003" w:name="二谦卑的心之警醒"/>
    <w:p>
      <w:pPr>
        <w:pStyle w:val="Heading5"/>
      </w:pPr>
      <w:r>
        <w:t xml:space="preserve">二、谦卑的心之警醒</w:t>
      </w:r>
    </w:p>
    <w:p>
      <w:pPr>
        <w:pStyle w:val="FirstParagraph"/>
      </w:pPr>
      <w:r>
        <w:t xml:space="preserve">面对祈祷中的困难</w:t>
      </w:r>
    </w:p>
    <w:p>
      <w:pPr>
        <w:pStyle w:val="BodyText"/>
      </w:pPr>
      <w:r>
        <w:t xml:space="preserve">祈祷中经常出现的困难是分心。它能影响口祷中的词句及其意义；更深层地，它也能涉及我们祈祷所指向的那一位——无论是在口祷（礼仪的或个人的）、默想还是默观中。若着手去追捕分心，反而会落入分心的陷阱；所需要的只是回到我们的心：因为分心向我们揭示，我们执著的是什么。我们在主面前谦卑地意识到这一点，应当唤醒我们对主那优先的爱，并引导我们坚决把自己的心献给他，使之得洁净。争战就在这里：选择要事奉哪一位主人。</w:t>
      </w:r>
      <w:r>
        <w:rPr>
          <w:rStyle w:val="FootnoteReference"/>
        </w:rPr>
        <w:footnoteReference w:id="3999"/>
      </w:r>
    </w:p>
    <w:p>
      <w:pPr>
        <w:pStyle w:val="BodyText"/>
      </w:pPr>
      <w:r>
        <w:t xml:space="preserve">积极地说，与那种占有欲强、喜欢支配人的自我对抗，需要警醒，需要心灵的清醒克制。耶稣强调警醒时，总是把它与他自己联系在一起：与他在末日的来临，也与他每天的来临——也就是今天——联系在一起。新郎在半夜来；不可熄灭的光，是信心的光：「你说：你们当寻求我的面。那时我心向你说：耶和华啊，你的面我正要寻求。」</w:t>
      </w:r>
      <w:r>
        <w:rPr>
          <w:rStyle w:val="FootnoteReference"/>
        </w:rPr>
        <w:footnoteReference w:id="4000"/>
      </w:r>
    </w:p>
    <w:p>
      <w:pPr>
        <w:pStyle w:val="BodyText"/>
      </w:pPr>
      <w:r>
        <w:t xml:space="preserve">另一个困难，尤其对那些真心想祈祷的人来说，是枯干。枯干属于默观祈祷：当心与神分离时，对思想、回忆和感受，甚至属灵的，也都尝不出滋味。此时就是纯粹的信心，忠实地紧紧依附在耶稣的痛苦挣扎和坟墓之中。「一粒麦子不落在地里死了，仍旧是一粒；若是死了，就结出许多子粒来。」</w:t>
      </w:r>
      <w:r>
        <w:rPr>
          <w:rStyle w:val="FootnoteReference"/>
        </w:rPr>
        <w:footnoteReference w:id="4001"/>
      </w:r>
      <w:r>
        <w:t xml:space="preserve">如果枯干是因为缺乏根基，因为道落在土浅石头地上，那么这场争战就需要归正。</w:t>
      </w:r>
      <w:r>
        <w:rPr>
          <w:rStyle w:val="FootnoteReference"/>
        </w:rPr>
        <w:footnoteReference w:id="4002"/>
      </w:r>
    </w:p>
    <w:p>
      <w:pPr>
        <w:pStyle w:val="BodyText"/>
      </w:pPr>
      <w:r>
        <w:t xml:space="preserve">面对祈祷中的诱惑</w:t>
      </w:r>
    </w:p>
    <w:p>
      <w:pPr>
        <w:pStyle w:val="BodyText"/>
      </w:pPr>
      <w:r>
        <w:t xml:space="preserve">最常见却最隐蔽的诱惑，是我们缺乏信心。这较少表现为公开否认不信，而更多表现为我们实际上的偏好。当我们开始祈祷时，千头万绪、或被我们当作紧急的工作与忧虑，会争夺优先次序；这再一次是内心的真相时刻：它真正爱的是谁？有时我们把主当作最后的手段才转向他；但我们只是出于习惯祈祷，或只用嘴唇祈祷。在这种情况下，说转离神是背叛约、是淫乱，是正确的；但说为主做工本身就是一种祈祷，并不总是对的。</w:t>
      </w:r>
    </w:p>
    <w:p>
      <w:pPr>
        <w:pStyle w:val="BodyText"/>
      </w:pPr>
      <w:r>
        <w:t xml:space="preserve">另一个诱惑，是自负为它打开了门的懒惰。懒惰，或灵性怠惰，甚至会拒绝那来自神的喜乐，并对神的良善感到排斥。</w:t>
      </w:r>
    </w:p>
    <w:bookmarkEnd w:id="4003"/>
    <w:bookmarkStart w:id="4014" w:name="三儿女般的信赖"/>
    <w:p>
      <w:pPr>
        <w:pStyle w:val="Heading5"/>
      </w:pPr>
      <w:r>
        <w:t xml:space="preserve">三、儿女般的信赖</w:t>
      </w:r>
    </w:p>
    <w:p>
      <w:pPr>
        <w:pStyle w:val="FirstParagraph"/>
      </w:pPr>
      <w:r>
        <w:t xml:space="preserve">我们为什么抱怨自己没有蒙垂听？</w:t>
      </w:r>
    </w:p>
    <w:p>
      <w:pPr>
        <w:pStyle w:val="BodyText"/>
      </w:pPr>
      <w:r>
        <w:t xml:space="preserve">在祈祷中，当我们的祈祷与耶稣的祈祷联合时，父向我们揭示我们是他爱的对象。他甚至在我们求之前，就把我们需要的一切赐给我们。</w:t>
      </w:r>
      <w:r>
        <w:rPr>
          <w:rStyle w:val="FootnoteReference"/>
        </w:rPr>
        <w:footnoteReference w:id="4004"/>
      </w:r>
    </w:p>
    <w:p>
      <w:pPr>
        <w:pStyle w:val="BodyText"/>
      </w:pPr>
      <w:r>
        <w:t xml:space="preserve">当我们把心转回这在神里信赖的谦卑时，我们就呼求他的爱与向善的旨意。我们常常觉得自己的祈祷没有蒙垂听。神借着他看似沉默，邀请我们进入信心那纯粹的信赖。</w:t>
      </w:r>
    </w:p>
    <w:p>
      <w:pPr>
        <w:pStyle w:val="BodyText"/>
      </w:pPr>
      <w:r>
        <w:t xml:space="preserve">我们是否确信「我们本不晓得当怎样祷告」？</w:t>
      </w:r>
      <w:r>
        <w:rPr>
          <w:rStyle w:val="FootnoteReference"/>
        </w:rPr>
        <w:footnoteReference w:id="4005"/>
      </w:r>
      <w:r>
        <w:t xml:space="preserve">我们是否在向神求「对我们有益的」？我们的父在我们求之前就知道我们需要什么，但他仍等待我们的祈求，因为他儿女的尊严在于他们的自由。因此，我们必须在他赐下自由的圣灵里祷告，才能真正认识他所愿意的。</w:t>
      </w:r>
      <w:r>
        <w:rPr>
          <w:rStyle w:val="FootnoteReference"/>
        </w:rPr>
        <w:footnoteReference w:id="4006"/>
      </w:r>
    </w:p>
    <w:p>
      <w:pPr>
        <w:pStyle w:val="BodyText"/>
      </w:pPr>
      <w:r>
        <w:t xml:space="preserve">「你们求也得不着，是因为你们妄求，要浪费在你们的宴乐中。」</w:t>
      </w:r>
      <w:r>
        <w:rPr>
          <w:rStyle w:val="FootnoteReference"/>
        </w:rPr>
        <w:footnoteReference w:id="4007"/>
      </w:r>
      <w:r>
        <w:t xml:space="preserve">如果我们以分裂的心祈求，我们就是「淫乱的人」。</w:t>
      </w:r>
      <w:r>
        <w:rPr>
          <w:rStyle w:val="FootnoteReference"/>
        </w:rPr>
        <w:footnoteReference w:id="4008"/>
      </w:r>
      <w:r>
        <w:t xml:space="preserve">神不能应允我们，因为他渴望的是我们的福祉，我们的生命。「你们想经上所说是徒然的吗？神所赐住在我们里面的灵，是恋爱至于嫉妒吗？」</w:t>
      </w:r>
      <w:r>
        <w:rPr>
          <w:rStyle w:val="FootnoteReference"/>
        </w:rPr>
        <w:footnoteReference w:id="4009"/>
      </w:r>
      <w:r>
        <w:t xml:space="preserve">我们的神为我们「嫉妒」，正表明他的爱何等真实。如果我们进入他圣灵的渴望里，我们就必蒙垂听。</w:t>
      </w:r>
    </w:p>
    <w:p>
      <w:pPr>
        <w:pStyle w:val="BlockText"/>
      </w:pPr>
      <w:r>
        <w:t xml:space="preserve">你若没有立刻从神领受你向他所求的，不要忧愁；因为当你在祈祷中紧紧依附他时，他渴望为你成就更大的事。</w:t>
      </w:r>
      <w:r>
        <w:rPr>
          <w:rStyle w:val="FootnoteReference"/>
        </w:rPr>
        <w:footnoteReference w:id="4010"/>
      </w:r>
    </w:p>
    <w:p>
      <w:pPr>
        <w:pStyle w:val="BlockText"/>
      </w:pPr>
      <w:r>
        <w:t xml:space="preserve">神愿意我们的渴望在祈祷中被操练，好叫我们能领受他预备赐下的东西。</w:t>
      </w:r>
      <w:r>
        <w:rPr>
          <w:rStyle w:val="FootnoteReference"/>
        </w:rPr>
        <w:footnoteReference w:id="4011"/>
      </w:r>
    </w:p>
    <w:p>
      <w:pPr>
        <w:pStyle w:val="FirstParagraph"/>
      </w:pPr>
      <w:r>
        <w:t xml:space="preserve">我们的祈祷怎样才有效？</w:t>
      </w:r>
    </w:p>
    <w:p>
      <w:pPr>
        <w:pStyle w:val="BodyText"/>
      </w:pPr>
      <w:r>
        <w:t xml:space="preserve">救恩安排中关于祈祷的启示教导我们：信心是建立在神在历史中的作为之上。我们的儿女般信赖，被他的至高作为点燃：他子的受难与复活。基督徒祈祷是与他的护理合作，是与他对人的爱的计划合作。</w:t>
      </w:r>
    </w:p>
    <w:p>
      <w:pPr>
        <w:pStyle w:val="BodyText"/>
      </w:pPr>
      <w:r>
        <w:t xml:space="preserve">对圣保罗来说，这种信赖是勇敢的：它以圣灵在我们里面的祈祷，以及以父那信实的爱为基础——父把他的独生子赐给了我们。</w:t>
      </w:r>
      <w:r>
        <w:rPr>
          <w:rStyle w:val="FootnoteReference"/>
        </w:rPr>
        <w:footnoteReference w:id="4012"/>
      </w:r>
      <w:r>
        <w:t xml:space="preserve">祈祷之心的转化，是对我们祈求的首要回应。</w:t>
      </w:r>
    </w:p>
    <w:p>
      <w:pPr>
        <w:pStyle w:val="BodyText"/>
      </w:pPr>
      <w:r>
        <w:t xml:space="preserve">耶稣的祈祷使基督徒祈求成为有效的祈求。他是榜样；他在我们里面祈祷，也与我们一同祈祷。既然子之心只寻求父所喜悦的事，那么，蒙收纳为儿女的人之祈祷，怎能以恩赐为中心，而不是以赐恩者为中心呢？</w:t>
      </w:r>
    </w:p>
    <w:p>
      <w:pPr>
        <w:pStyle w:val="BodyText"/>
      </w:pPr>
      <w:r>
        <w:t xml:space="preserve">耶稣也为我们祈祷——代替我们，并代表我们。我们的一切祈求，都曾一次而永远地汇聚在他十字架上的呼喊中，并在他的复活中被父垂听。因此，他从不停止在父面前为我们代求。</w:t>
      </w:r>
      <w:r>
        <w:rPr>
          <w:rStyle w:val="FootnoteReference"/>
        </w:rPr>
        <w:footnoteReference w:id="4013"/>
      </w:r>
      <w:r>
        <w:t xml:space="preserve">如果我们的祈祷坚决地与耶稣的祈祷联合，并以儿女的信赖和勇敢祈求，我们就能奉他的名得着我们所求的一切，甚至超过任何具体事物：圣灵自己——他包含一切恩赐。</w:t>
      </w:r>
    </w:p>
    <w:bookmarkEnd w:id="4014"/>
    <w:bookmarkStart w:id="4025" w:name="四在爱中坚持到底"/>
    <w:p>
      <w:pPr>
        <w:pStyle w:val="Heading5"/>
      </w:pPr>
      <w:r>
        <w:t xml:space="preserve">四、在爱中坚持到底</w:t>
      </w:r>
    </w:p>
    <w:p>
      <w:pPr>
        <w:pStyle w:val="FirstParagraph"/>
      </w:pPr>
      <w:r>
        <w:t xml:space="preserve">「不住地祷告……凡事要奉我们主耶稣基督的名，常常感谢父神。」</w:t>
      </w:r>
      <w:r>
        <w:rPr>
          <w:rStyle w:val="FootnoteReference"/>
        </w:rPr>
        <w:footnoteReference w:id="4015"/>
      </w:r>
      <w:r>
        <w:t xml:space="preserve">圣保罗又加上：「靠着圣灵，随时多方祷告祈求；并要在此警醒不倦，为众圣徒祈求。」</w:t>
      </w:r>
      <w:r>
        <w:rPr>
          <w:rStyle w:val="FootnoteReference"/>
        </w:rPr>
        <w:footnoteReference w:id="4016"/>
      </w:r>
      <w:r>
        <w:t xml:space="preserve">因为「我们没有被命令要不断作工、不断守望、不断禁食，但我们被规定要不住地祈祷」。</w:t>
      </w:r>
      <w:r>
        <w:rPr>
          <w:rStyle w:val="FootnoteReference"/>
        </w:rPr>
        <w:footnoteReference w:id="4017"/>
      </w:r>
      <w:r>
        <w:t xml:space="preserve">这种不知疲倦的热忱只能来自爱。为对抗我们的迟钝与懒惰，祈祷的争战就是谦卑、信赖并坚持到底的爱之争战。这爱把我们的心开启，使我们进入三项照亮人、赐生命的、关于祈祷的信心事实。</w:t>
      </w:r>
    </w:p>
    <w:p>
      <w:pPr>
        <w:pStyle w:val="BodyText"/>
      </w:pPr>
      <w:r>
        <w:t xml:space="preserve">祈祷总是可能的：基督徒的时间，是复活的基督的时间——无论兴起怎样的风暴，他总与我们同在。</w:t>
      </w:r>
      <w:r>
        <w:rPr>
          <w:rStyle w:val="FootnoteReference"/>
        </w:rPr>
        <w:footnoteReference w:id="4018"/>
      </w:r>
      <w:r>
        <w:t xml:space="preserve">我们的时间在神的手中：</w:t>
      </w:r>
    </w:p>
    <w:p>
      <w:pPr>
        <w:pStyle w:val="BlockText"/>
      </w:pPr>
      <w:r>
        <w:t xml:space="preserve">即使你在公开场合走路，或独自散步，或坐在你的店里……在买卖的时候……甚至在做饭的时候，也都可以献上火热的祈祷。</w:t>
      </w:r>
      <w:r>
        <w:rPr>
          <w:rStyle w:val="FootnoteReference"/>
        </w:rPr>
        <w:footnoteReference w:id="4019"/>
      </w:r>
    </w:p>
    <w:p>
      <w:pPr>
        <w:pStyle w:val="FirstParagraph"/>
      </w:pPr>
      <w:r>
        <w:t xml:space="preserve">祈祷是生命的必需。反过来证明也同样有力：如果我们不让圣灵带领我们，我们就会重新落回罪的奴役之中。</w:t>
      </w:r>
      <w:r>
        <w:rPr>
          <w:rStyle w:val="FootnoteReference"/>
        </w:rPr>
        <w:footnoteReference w:id="4020"/>
      </w:r>
      <w:r>
        <w:t xml:space="preserve">如果我们的心远离圣灵，圣灵怎能成为我们的生命呢？</w:t>
      </w:r>
    </w:p>
    <w:p>
      <w:pPr>
        <w:pStyle w:val="BlockText"/>
      </w:pPr>
      <w:r>
        <w:t xml:space="preserve">没有什么能与祈祷相比；因为祈祷能使不可能变为可能，使困难变为容易……因为那殷切祈祷、不断呼求神的人，绝对不可能犯罪。</w:t>
      </w:r>
      <w:r>
        <w:rPr>
          <w:rStyle w:val="FootnoteReference"/>
        </w:rPr>
        <w:footnoteReference w:id="4021"/>
      </w:r>
    </w:p>
    <w:p>
      <w:pPr>
        <w:pStyle w:val="BlockText"/>
      </w:pPr>
      <w:r>
        <w:t xml:space="preserve">祈祷的人必定得救；不祈祷的人必定沉沦。</w:t>
      </w:r>
      <w:r>
        <w:rPr>
          <w:rStyle w:val="FootnoteReference"/>
        </w:rPr>
        <w:footnoteReference w:id="4022"/>
      </w:r>
    </w:p>
    <w:p>
      <w:pPr>
        <w:pStyle w:val="FirstParagraph"/>
      </w:pPr>
      <w:r>
        <w:t xml:space="preserve">祈祷与基督徒生活不可分离，因为二者指向同一种爱、同一种出于爱的舍弃；同一种儿女般、充满爱的与父那爱的计划相符合；同一种在圣灵里的转化性结合——圣灵使我们越来越肖似基督耶稣；同一种对所有人的爱，也就是耶稣爱我们的那份爱。「使你们奉我的名，无论向父求什么，他就赐给你们。我这样吩咐你们，是要叫你们彼此相爱。」</w:t>
      </w:r>
      <w:r>
        <w:rPr>
          <w:rStyle w:val="FootnoteReference"/>
        </w:rPr>
        <w:footnoteReference w:id="4023"/>
      </w:r>
    </w:p>
    <w:p>
      <w:pPr>
        <w:pStyle w:val="BlockText"/>
      </w:pPr>
      <w:r>
        <w:t xml:space="preserve">那「不住地祈祷」的人，是把祈祷与工作结合，也把善工与祈祷结合的人。只有这样，我们才可以认为「不住地祈祷」这一原则是可以实现的。</w:t>
      </w:r>
      <w:r>
        <w:rPr>
          <w:rStyle w:val="FootnoteReference"/>
        </w:rPr>
        <w:footnoteReference w:id="4024"/>
      </w:r>
    </w:p>
    <w:p>
      <w:r>
        <w:br w:type="page"/>
      </w:r>
    </w:p>
    <w:bookmarkEnd w:id="4025"/>
    <w:bookmarkEnd w:id="4026"/>
    <w:bookmarkStart w:id="4036" w:name="第三条耶稣时辰的祈祷"/>
    <w:p>
      <w:pPr>
        <w:pStyle w:val="Heading4"/>
      </w:pPr>
      <w:r>
        <w:t xml:space="preserve">第三条：耶稣时辰的祈祷</w:t>
      </w:r>
    </w:p>
    <w:p>
      <w:pPr>
        <w:pStyle w:val="FirstParagraph"/>
      </w:pPr>
      <w:r>
        <w:t xml:space="preserve">当「他的时候」到了，耶稣向父祈祷。</w:t>
      </w:r>
      <w:r>
        <w:rPr>
          <w:rStyle w:val="FootnoteReference"/>
        </w:rPr>
        <w:footnoteReference w:id="4027"/>
      </w:r>
      <w:r>
        <w:t xml:space="preserve">他的祈祷——福音所传下最长的一段祈祷——拥抱整个受造与救恩的安排，也拥抱他的死亡与复活。耶稣时辰的祈祷永远仍是他的祈祷，正如他的逾越「一次而永远」的事件，在他教会的礼仪中永远临在。</w:t>
      </w:r>
    </w:p>
    <w:p>
      <w:pPr>
        <w:pStyle w:val="BodyText"/>
      </w:pPr>
      <w:r>
        <w:t xml:space="preserve">基督徒圣传恰当地把这祈祷称为耶稣的「祭司祈祷」。这是我们大祭司的祈祷，与他的祭献不可分割，也与他逾越归向父不可分割；他完全「分别为圣」归于父。</w:t>
      </w:r>
      <w:r>
        <w:rPr>
          <w:rStyle w:val="FootnoteReference"/>
        </w:rPr>
        <w:footnoteReference w:id="4028"/>
      </w:r>
    </w:p>
    <w:p>
      <w:pPr>
        <w:pStyle w:val="BodyText"/>
      </w:pPr>
      <w:r>
        <w:t xml:space="preserve">在这逾越、并作为祭献的祈祷里，一切都在基督内被重新总括：</w:t>
      </w:r>
      <w:r>
        <w:rPr>
          <w:rStyle w:val="FootnoteReference"/>
        </w:rPr>
        <w:footnoteReference w:id="4029"/>
      </w:r>
      <w:r>
        <w:t xml:space="preserve">神与世界；道与肉身；永生与时间；交付自己的爱与背叛它的罪；现今的门徒与那些将因他们的话而信他的人；屈辱与荣耀。这是合一的祈祷。</w:t>
      </w:r>
    </w:p>
    <w:p>
      <w:pPr>
        <w:pStyle w:val="BodyText"/>
      </w:pPr>
      <w:r>
        <w:t xml:space="preserve">耶稣完全完成了父的工作；他的祈祷像他的祭献一样，延伸直到世界的终结。这个时辰的祈祷充满末世，并推动末世走向圆满。耶稣是子，父把万有都赐给他；子也把自己完全交还给父，却凭着父赐给他管理凡有血气者的权柄，以一种至高的自由表达自己。</w:t>
      </w:r>
      <w:r>
        <w:rPr>
          <w:rStyle w:val="FootnoteReference"/>
        </w:rPr>
        <w:footnoteReference w:id="4030"/>
      </w:r>
      <w:r>
        <w:t xml:space="preserve">那位使自己成为仆人的子，是主，是全能者。我们为我们祈祷的大祭司，也是在我们里面祈祷的那一位，也是垂听我们祈祷的神。</w:t>
      </w:r>
    </w:p>
    <w:p>
      <w:pPr>
        <w:pStyle w:val="BodyText"/>
      </w:pPr>
      <w:r>
        <w:t xml:space="preserve">当我们进入主耶稣的圣名时，我们就能从内里接纳他教导我们的祈祷：「我们在天上的父！」他的祭司祈祷从内里成全主祷文的伟大祈求：对父之名的关切；</w:t>
      </w:r>
      <w:r>
        <w:rPr>
          <w:rStyle w:val="FootnoteReference"/>
        </w:rPr>
        <w:footnoteReference w:id="4031"/>
      </w:r>
      <w:r>
        <w:t xml:space="preserve">对父之国（荣耀）的热烈渴望；</w:t>
      </w:r>
      <w:r>
        <w:rPr>
          <w:rStyle w:val="FootnoteReference"/>
        </w:rPr>
        <w:footnoteReference w:id="4032"/>
      </w:r>
      <w:r>
        <w:t xml:space="preserve">成就父的旨意，也就是他救恩的计划；</w:t>
      </w:r>
      <w:r>
        <w:rPr>
          <w:rStyle w:val="FootnoteReference"/>
        </w:rPr>
        <w:footnoteReference w:id="4033"/>
      </w:r>
      <w:r>
        <w:t xml:space="preserve">以及脱离凶恶。</w:t>
      </w:r>
      <w:r>
        <w:rPr>
          <w:rStyle w:val="FootnoteReference"/>
        </w:rPr>
        <w:footnoteReference w:id="4034"/>
      </w:r>
    </w:p>
    <w:p>
      <w:pPr>
        <w:pStyle w:val="BodyText"/>
      </w:pPr>
      <w:r>
        <w:t xml:space="preserve">最后，在这祈祷中，耶稣向我们揭示并赐给我们对父与子那不可分割、合而为一的「认识」，</w:t>
      </w:r>
      <w:r>
        <w:rPr>
          <w:rStyle w:val="FootnoteReference"/>
        </w:rPr>
        <w:footnoteReference w:id="4035"/>
      </w:r>
      <w:r>
        <w:t xml:space="preserve">这正是祈祷生活的奥秘。</w:t>
      </w:r>
    </w:p>
    <w:bookmarkEnd w:id="4036"/>
    <w:bookmarkStart w:id="4037" w:name="综述-73"/>
    <w:p>
      <w:pPr>
        <w:pStyle w:val="Heading4"/>
      </w:pPr>
      <w:r>
        <w:t xml:space="preserve">综述</w:t>
      </w:r>
    </w:p>
    <w:p>
      <w:pPr>
        <w:pStyle w:val="FirstParagraph"/>
      </w:pPr>
      <w:r>
        <w:t xml:space="preserve">祈祷预设一种努力，是与我们自己、也与诱惑者诡计的争战。祈祷的争战与那必要的「灵性争战」不可分离：为使我们习惯性地按基督之灵而行。我们怎样生活，就怎样祈祷；因为我们怎样祈祷，就怎样生活。</w:t>
      </w:r>
    </w:p>
    <w:p>
      <w:pPr>
        <w:pStyle w:val="BodyText"/>
      </w:pPr>
      <w:r>
        <w:t xml:space="preserve">在祈祷的争战中，我们必须面对对祈祷的错误观念、各种思想潮流，以及我们自己失败的经验。对这些使我们怀疑祈祷是否有用、甚至是否可能的诱惑，我们必须以谦卑、信赖与坚持来回应。</w:t>
      </w:r>
    </w:p>
    <w:p>
      <w:pPr>
        <w:pStyle w:val="BodyText"/>
      </w:pPr>
      <w:r>
        <w:t xml:space="preserve">祈祷实践中的主要困难，是分心与枯干。医治之道在于信心、归正与心的警醒。</w:t>
      </w:r>
    </w:p>
    <w:p>
      <w:pPr>
        <w:pStyle w:val="BodyText"/>
      </w:pPr>
      <w:r>
        <w:t xml:space="preserve">两种常见的诱惑威胁祈祷：缺乏信心，以及懒惰——一种源自松懈操练的抑郁，使人走向灰心。</w:t>
      </w:r>
    </w:p>
    <w:p>
      <w:pPr>
        <w:pStyle w:val="BodyText"/>
      </w:pPr>
      <w:r>
        <w:t xml:space="preserve">当我们觉得自己的祈祷并不总是蒙垂听时，儿女般的信赖就受考验。福音邀请我们自问：我们的祈祷是否与圣灵的渴望相符合。</w:t>
      </w:r>
    </w:p>
    <w:p>
      <w:pPr>
        <w:pStyle w:val="BodyText"/>
      </w:pPr>
      <w:r>
        <w:t xml:space="preserve">「不住地祷告」（帖前 5:17）。祈祷总是可能的。它甚至是生命的必需。祈祷与基督徒生活不可分离。</w:t>
      </w:r>
    </w:p>
    <w:p>
      <w:pPr>
        <w:pStyle w:val="BodyText"/>
      </w:pPr>
      <w:r>
        <w:t xml:space="preserve">耶稣时辰的祈祷，恰当地被称为「祭司祈祷」（参约 17），它总括整个受造与救恩的安排。它成全主祷文的伟大祈求。</w:t>
      </w:r>
    </w:p>
    <w:p>
      <w:r>
        <w:br w:type="page"/>
      </w:r>
    </w:p>
    <w:bookmarkEnd w:id="4037"/>
    <w:bookmarkEnd w:id="4038"/>
    <w:bookmarkEnd w:id="4039"/>
    <w:bookmarkStart w:id="4228" w:name="第二部分主祷文我们在天上的父"/>
    <w:p>
      <w:pPr>
        <w:pStyle w:val="Heading2"/>
      </w:pPr>
      <w:r>
        <w:t xml:space="preserve">第二部分：主祷文——「我们在天上的父！」</w:t>
      </w:r>
    </w:p>
    <w:p>
      <w:pPr>
        <w:pStyle w:val="FirstParagraph"/>
      </w:pPr>
      <w:r>
        <w:t xml:space="preserve">耶稣「在一个地方祷告；祷告完了，有个门徒对他说：主啊，求你教导我们祷告，像约翰教导他的门徒。」</w:t>
      </w:r>
      <w:r>
        <w:rPr>
          <w:rStyle w:val="FootnoteReference"/>
        </w:rPr>
        <w:footnoteReference w:id="4040"/>
      </w:r>
      <w:r>
        <w:t xml:space="preserve">主回应这请求，把基督徒的基本祈祷托付给他的门徒和他的教会。圣路加给出一段较简短的文本，共五个祈求，</w:t>
      </w:r>
      <w:r>
        <w:rPr>
          <w:rStyle w:val="FootnoteReference"/>
        </w:rPr>
        <w:footnoteReference w:id="4041"/>
      </w:r>
      <w:r>
        <w:t xml:space="preserve">而圣马太给出更完整的版本，共七个祈求。</w:t>
      </w:r>
      <w:r>
        <w:rPr>
          <w:rStyle w:val="FootnoteReference"/>
        </w:rPr>
        <w:footnoteReference w:id="4042"/>
      </w:r>
      <w:r>
        <w:t xml:space="preserve">教会的礼仪圣传保留了圣马太的文本：</w:t>
      </w:r>
    </w:p>
    <w:p>
      <w:pPr>
        <w:pStyle w:val="BlockText"/>
      </w:pPr>
      <w:r>
        <w:t xml:space="preserve">我们在天上的父：</w:t>
      </w:r>
      <w:r>
        <w:t xml:space="preserve"> </w:t>
      </w:r>
      <w:r>
        <w:t xml:space="preserve">愿人都尊你的名为圣。</w:t>
      </w:r>
      <w:r>
        <w:t xml:space="preserve"> </w:t>
      </w:r>
      <w:r>
        <w:t xml:space="preserve">愿你的国降临。</w:t>
      </w:r>
      <w:r>
        <w:t xml:space="preserve"> </w:t>
      </w:r>
      <w:r>
        <w:t xml:space="preserve">愿你的旨意行在地上，如同行在天上。</w:t>
      </w:r>
      <w:r>
        <w:t xml:space="preserve"> </w:t>
      </w:r>
      <w:r>
        <w:t xml:space="preserve">我们日用的饮食，今日赐给我们。</w:t>
      </w:r>
      <w:r>
        <w:t xml:space="preserve"> </w:t>
      </w:r>
      <w:r>
        <w:t xml:space="preserve">免我们的债，</w:t>
      </w:r>
      <w:r>
        <w:t xml:space="preserve"> </w:t>
      </w:r>
      <w:r>
        <w:t xml:space="preserve">如同我们免了人的债。</w:t>
      </w:r>
      <w:r>
        <w:t xml:space="preserve"> </w:t>
      </w:r>
      <w:r>
        <w:t xml:space="preserve">不叫我们遇见试探；</w:t>
      </w:r>
      <w:r>
        <w:t xml:space="preserve"> </w:t>
      </w:r>
      <w:r>
        <w:t xml:space="preserve">救我们脱离凶恶。</w:t>
      </w:r>
    </w:p>
    <w:p>
      <w:pPr>
        <w:pStyle w:val="FirstParagraph"/>
      </w:pPr>
      <w:r>
        <w:t xml:space="preserve">很早以前，礼仪用法就以一段光荣颂来结束主祷文。在</w:t>
      </w:r>
      <w:r>
        <w:rPr>
          <w:i/>
          <w:iCs/>
        </w:rPr>
        <w:t xml:space="preserve">Didache</w:t>
      </w:r>
      <w:r>
        <w:t xml:space="preserve">中我们看到：「因为国度、权柄、荣耀，全是你的，直到永远。」</w:t>
      </w:r>
      <w:r>
        <w:rPr>
          <w:rStyle w:val="FootnoteReference"/>
        </w:rPr>
        <w:footnoteReference w:id="4043"/>
      </w:r>
      <w:r>
        <w:rPr>
          <w:i/>
          <w:iCs/>
        </w:rPr>
        <w:t xml:space="preserve">Apostolic Constitutions</w:t>
      </w:r>
      <w:r>
        <w:t xml:space="preserve">在开头加上「国度」，这公式直到今天仍在普世合一祈祷中沿用。</w:t>
      </w:r>
      <w:r>
        <w:rPr>
          <w:rStyle w:val="FootnoteReference"/>
        </w:rPr>
        <w:footnoteReference w:id="4044"/>
      </w:r>
      <w:r>
        <w:t xml:space="preserve">拜占庭传统在「荣耀」之后加上「父、子、圣灵」。《罗马弥撒经书》则在「等候所盼望的福」以及我们的主耶稣基督第二次来临的明确视角中，发展了最后一个祈求。</w:t>
      </w:r>
      <w:r>
        <w:rPr>
          <w:rStyle w:val="FootnoteReference"/>
        </w:rPr>
        <w:footnoteReference w:id="4045"/>
      </w:r>
      <w:r>
        <w:t xml:space="preserve">随后会众欢呼，或重复</w:t>
      </w:r>
      <w:r>
        <w:rPr>
          <w:i/>
          <w:iCs/>
        </w:rPr>
        <w:t xml:space="preserve">Apostolic Constitutions</w:t>
      </w:r>
      <w:r>
        <w:t xml:space="preserve">中的光荣颂。</w:t>
      </w:r>
    </w:p>
    <w:p>
      <w:r>
        <w:br w:type="page"/>
      </w:r>
    </w:p>
    <w:bookmarkStart w:id="4069" w:name="第一条全福音的综述"/>
    <w:p>
      <w:pPr>
        <w:pStyle w:val="Heading3"/>
      </w:pPr>
      <w:r>
        <w:t xml:space="preserve">第一条：「全福音的综述」</w:t>
      </w:r>
    </w:p>
    <w:p>
      <w:pPr>
        <w:pStyle w:val="FirstParagraph"/>
      </w:pPr>
      <w:r>
        <w:t xml:space="preserve">主祷文「确实是全福音的综述」。</w:t>
      </w:r>
      <w:r>
        <w:rPr>
          <w:rStyle w:val="FootnoteReference"/>
        </w:rPr>
        <w:footnoteReference w:id="4046"/>
      </w:r>
      <w:r>
        <w:t xml:space="preserve">「既然主……在把祈祷的操练交付给我们之后，又在别处说：『你们祈求，就给你们』，而每个人也都有随自己处境而来的特别祈求，那么那固定而恰当的祈祷［主祷文］就应当先被诵念，作为进一步渴望的基础。」</w:t>
      </w:r>
      <w:r>
        <w:rPr>
          <w:rStyle w:val="FootnoteReference"/>
        </w:rPr>
        <w:footnoteReference w:id="4047"/>
      </w:r>
    </w:p>
    <w:bookmarkStart w:id="4052" w:name="一在圣经的中心"/>
    <w:p>
      <w:pPr>
        <w:pStyle w:val="Heading4"/>
      </w:pPr>
      <w:r>
        <w:t xml:space="preserve">一、在圣经的中心</w:t>
      </w:r>
    </w:p>
    <w:p>
      <w:pPr>
        <w:pStyle w:val="FirstParagraph"/>
      </w:pPr>
      <w:r>
        <w:t xml:space="preserve">圣奥古斯丁说明诗篇是基督徒祈祷的主要粮食，并在主祷文的祈求中汇流之后，总结说：</w:t>
      </w:r>
    </w:p>
    <w:p>
      <w:pPr>
        <w:pStyle w:val="BlockText"/>
      </w:pPr>
      <w:r>
        <w:t xml:space="preserve">你把圣经里所有圣洁祈祷的言语都看一遍，我想你不会在其中找到任何不包含、也不被纳入主祷文的内容。</w:t>
      </w:r>
      <w:r>
        <w:rPr>
          <w:rStyle w:val="FootnoteReference"/>
        </w:rPr>
        <w:footnoteReference w:id="4048"/>
      </w:r>
    </w:p>
    <w:p>
      <w:pPr>
        <w:pStyle w:val="FirstParagraph"/>
      </w:pPr>
      <w:r>
        <w:t xml:space="preserve">全部圣经——律法、先知书和诗篇——都在基督里应验。</w:t>
      </w:r>
      <w:r>
        <w:rPr>
          <w:rStyle w:val="FootnoteReference"/>
        </w:rPr>
        <w:footnoteReference w:id="4049"/>
      </w:r>
      <w:r>
        <w:t xml:space="preserve">福音就是这「喜信」。它最初的宣讲，由圣马太在登山宝训中加以总结；</w:t>
      </w:r>
      <w:r>
        <w:rPr>
          <w:rStyle w:val="FootnoteReference"/>
        </w:rPr>
        <w:footnoteReference w:id="4050"/>
      </w:r>
      <w:r>
        <w:t xml:space="preserve">而向我们的父的祈祷，就处在这宣讲的中心。就在这个背景下，主留给我们的每一个祈求都被照亮：</w:t>
      </w:r>
    </w:p>
    <w:p>
      <w:pPr>
        <w:pStyle w:val="BlockText"/>
      </w:pPr>
      <w:r>
        <w:t xml:space="preserve">主祷文是最完美的祈祷……在其中，我们不但求我们能正当地渴望的一切事，也按这些事应当被渴望的次序来祈求。这祈祷不只教我们求什么，也教我们应当按什么次序去渴望。</w:t>
      </w:r>
      <w:r>
        <w:rPr>
          <w:rStyle w:val="FootnoteReference"/>
        </w:rPr>
        <w:footnoteReference w:id="4051"/>
      </w:r>
    </w:p>
    <w:p>
      <w:pPr>
        <w:pStyle w:val="FirstParagraph"/>
      </w:pPr>
      <w:r>
        <w:t xml:space="preserve">登山宝训是生命的教导，主祷文是祈祷；但在这二者之中，主的灵都为我们的渴望赋予新的形态：就是那些推动我们生命的内在动力。耶稣用他的言语教导我们这种新生命；他也教导我们借着祈祷为此祈求。我们在他里面生活是否端正，将取决于我们祈祷是否端正。</w:t>
      </w:r>
    </w:p>
    <w:bookmarkEnd w:id="4052"/>
    <w:bookmarkStart w:id="4058" w:name="二主祷文"/>
    <w:p>
      <w:pPr>
        <w:pStyle w:val="Heading4"/>
      </w:pPr>
      <w:r>
        <w:t xml:space="preserve">二、主祷文</w:t>
      </w:r>
    </w:p>
    <w:p>
      <w:pPr>
        <w:pStyle w:val="FirstParagraph"/>
      </w:pPr>
      <w:r>
        <w:t xml:space="preserve">传统用语「主祷文」（</w:t>
      </w:r>
      <w:r>
        <w:rPr>
          <w:i/>
          <w:iCs/>
        </w:rPr>
        <w:t xml:space="preserve">oratio Dominica</w:t>
      </w:r>
      <w:r>
        <w:t xml:space="preserve">）的意思是：向我们的父的祈祷，是主耶稣教导并赐给我们的。从耶稣而来的这祈祷确实独一无二：它是「属于主的」。一方面，独生子在这祈祷的言语中，把父赐给他的话也赐给我们：</w:t>
      </w:r>
      <w:r>
        <w:rPr>
          <w:rStyle w:val="FootnoteReference"/>
        </w:rPr>
        <w:footnoteReference w:id="4053"/>
      </w:r>
      <w:r>
        <w:t xml:space="preserve">他是我们祈祷的导师。另一方面，他作为降生成人的道，在他的人心里认识他人类弟兄姊妹的需要，并把这些需要启示给我们：他是我们祈祷的榜样。</w:t>
      </w:r>
    </w:p>
    <w:p>
      <w:pPr>
        <w:pStyle w:val="BodyText"/>
      </w:pPr>
      <w:r>
        <w:t xml:space="preserve">但耶稣并没有给我们一个要机械重复的公式。</w:t>
      </w:r>
      <w:r>
        <w:rPr>
          <w:rStyle w:val="FootnoteReference"/>
        </w:rPr>
        <w:footnoteReference w:id="4054"/>
      </w:r>
      <w:r>
        <w:t xml:space="preserve">像一切口祷一样，是圣灵借着神的道教导神的儿女向父祈祷。耶稣不但把儿女般祈祷的话赐给我们，同时也把圣灵赐给我们，使这些话在我们里面成为「灵」并成为「生命」。</w:t>
      </w:r>
      <w:r>
        <w:rPr>
          <w:rStyle w:val="FootnoteReference"/>
        </w:rPr>
        <w:footnoteReference w:id="4055"/>
      </w:r>
      <w:r>
        <w:t xml:space="preserve">更进一步，我们儿女般祈祷的凭据与可能性，是父「差遣他儿子的灵进入……呼叫：阿爸！父！」</w:t>
      </w:r>
      <w:r>
        <w:rPr>
          <w:rStyle w:val="FootnoteReference"/>
        </w:rPr>
        <w:footnoteReference w:id="4056"/>
      </w:r>
      <w:r>
        <w:t xml:space="preserve">既然我们的祈祷把我们的渴望呈到神面前，那么，再一次，是父——「鉴察人心的」——「晓得圣灵的意思，因为圣灵照着神的旨意替圣徒祈求」。</w:t>
      </w:r>
      <w:r>
        <w:rPr>
          <w:rStyle w:val="FootnoteReference"/>
        </w:rPr>
        <w:footnoteReference w:id="4057"/>
      </w:r>
      <w:r>
        <w:t xml:space="preserve">向「我们在天上的父」的祈祷，被放置在子与圣灵那奥秘使命之中。</w:t>
      </w:r>
    </w:p>
    <w:bookmarkEnd w:id="4058"/>
    <w:bookmarkStart w:id="4065" w:name="三教会的祈祷"/>
    <w:p>
      <w:pPr>
        <w:pStyle w:val="Heading4"/>
      </w:pPr>
      <w:r>
        <w:t xml:space="preserve">三、教会的祈祷</w:t>
      </w:r>
    </w:p>
    <w:p>
      <w:pPr>
        <w:pStyle w:val="FirstParagraph"/>
      </w:pPr>
      <w:r>
        <w:t xml:space="preserve">主的言语与那使这些言语在信徒心里得生命的圣灵，这是不可分割的恩赐；教会从一开始就领受并活出这恩赐。最初的团体每天三次诵念主祷文，</w:t>
      </w:r>
      <w:r>
        <w:rPr>
          <w:rStyle w:val="FootnoteReference"/>
        </w:rPr>
        <w:footnoteReference w:id="4059"/>
      </w:r>
      <w:r>
        <w:t xml:space="preserve">来取代犹太敬虔中惯常的「十八祝福」。</w:t>
      </w:r>
    </w:p>
    <w:p>
      <w:pPr>
        <w:pStyle w:val="BodyText"/>
      </w:pPr>
      <w:r>
        <w:t xml:space="preserve">按使徒圣传，主祷文本质上扎根于礼仪祈祷：</w:t>
      </w:r>
    </w:p>
    <w:p>
      <w:pPr>
        <w:pStyle w:val="BlockText"/>
      </w:pPr>
      <w:r>
        <w:t xml:space="preserve">［主］教导我们为所有弟兄共同祈祷。因为他没有说「我在天上的父」，而是说「我们」的父，为共同的身体献上祈求。</w:t>
      </w:r>
      <w:r>
        <w:rPr>
          <w:rStyle w:val="FootnoteReference"/>
        </w:rPr>
        <w:footnoteReference w:id="4060"/>
      </w:r>
    </w:p>
    <w:p>
      <w:pPr>
        <w:pStyle w:val="FirstParagraph"/>
      </w:pPr>
      <w:r>
        <w:t xml:space="preserve">在所有礼仪传统中，主祷文都是时辰礼仪主要时辰不可或缺的一部分。在基督徒入门的三件圣事中，它的教会性格尤其明显：</w:t>
      </w:r>
    </w:p>
    <w:p>
      <w:pPr>
        <w:pStyle w:val="BodyText"/>
      </w:pPr>
      <w:r>
        <w:t xml:space="preserve">在洗礼与坚振中，交付主祷文（</w:t>
      </w:r>
      <w:r>
        <w:rPr>
          <w:i/>
          <w:iCs/>
        </w:rPr>
        <w:t xml:space="preserve">traditio</w:t>
      </w:r>
      <w:r>
        <w:t xml:space="preserve">）象征进入神的生命的新生。既然基督徒祈祷是我们用神的道与神说话，那么那些「借着神活泼常存的道」而「重生」的人，</w:t>
      </w:r>
      <w:r>
        <w:rPr>
          <w:rStyle w:val="FootnoteReference"/>
        </w:rPr>
        <w:footnoteReference w:id="4061"/>
      </w:r>
      <w:r>
        <w:t xml:space="preserve">就学习以那位父永远垂听的独一道，向父呼求。此后他们就能这样呼求，因为圣灵膏抹的印记不可磨灭地刻在他们的心、他们的耳、他们的唇上，甚至刻在他们整个儿女般的存在上。正因如此，多数教父关于主祷文的讲解都写给慕道者和新受洗者。当教会祈祷主祷文时，总是由那「重生」的子民在祈祷，并领受怜悯。</w:t>
      </w:r>
      <w:r>
        <w:rPr>
          <w:rStyle w:val="FootnoteReference"/>
        </w:rPr>
        <w:footnoteReference w:id="4062"/>
      </w:r>
    </w:p>
    <w:p>
      <w:pPr>
        <w:pStyle w:val="BodyText"/>
      </w:pPr>
      <w:r>
        <w:t xml:space="preserve">在圣餐礼仪中，主祷文以全教会的祈祷出现，并在那里显出它圆满的意义和效力。主祷文被置于圣餐祷文，也就是圣体祈祷，和领圣餐之间：一方面，它总括圣灵呼求所表达的一切祈求与代求；另一方面，它叩响那天国筵席的门，而圣事性的共融预尝这筵席。</w:t>
      </w:r>
    </w:p>
    <w:p>
      <w:pPr>
        <w:pStyle w:val="BodyText"/>
      </w:pPr>
      <w:r>
        <w:t xml:space="preserve">在圣餐里，主祷文也显示出其祈求的末世性格。它是「末世时期」的恰当祈祷：就是那开始于圣灵倾注、并将在主再来时得以完成的救恩时期。向我们的父所发出的祈求，不同于旧约的祈祷，是建立在救恩奥秘已经完成的事实上：这奥秘一次而永远地成就在那被钉十字架又复活的基督身上。</w:t>
      </w:r>
    </w:p>
    <w:p>
      <w:pPr>
        <w:pStyle w:val="BodyText"/>
      </w:pPr>
      <w:r>
        <w:t xml:space="preserve">从这不可动摇的信心里涌出那支撑七个祈求的盼望；这七个祈求表达现今世代的叹息，也就是这段忍耐与期待的时期，在这时期中，「将来如何，还未显明」。</w:t>
      </w:r>
      <w:r>
        <w:rPr>
          <w:rStyle w:val="FootnoteReference"/>
        </w:rPr>
        <w:footnoteReference w:id="4063"/>
      </w:r>
      <w:r>
        <w:t xml:space="preserve">圣餐与主祷文都热切期待主的再来，「直等到他来」。</w:t>
      </w:r>
      <w:r>
        <w:rPr>
          <w:rStyle w:val="FootnoteReference"/>
        </w:rPr>
        <w:footnoteReference w:id="4064"/>
      </w:r>
    </w:p>
    <w:bookmarkEnd w:id="4065"/>
    <w:bookmarkStart w:id="4068" w:name="综述-74"/>
    <w:p>
      <w:pPr>
        <w:pStyle w:val="Heading4"/>
      </w:pPr>
      <w:r>
        <w:t xml:space="preserve">综述</w:t>
      </w:r>
    </w:p>
    <w:p>
      <w:pPr>
        <w:pStyle w:val="FirstParagraph"/>
      </w:pPr>
      <w:r>
        <w:t xml:space="preserve">耶稣回应门徒的请求：「主啊，求你教导我们祷告」（路 11:1），把基督徒的基本祈祷——主祷文——交付给他们。</w:t>
      </w:r>
    </w:p>
    <w:p>
      <w:pPr>
        <w:pStyle w:val="BodyText"/>
      </w:pPr>
      <w:r>
        <w:t xml:space="preserve">「主祷文确实是全福音的综述」，</w:t>
      </w:r>
      <w:r>
        <w:rPr>
          <w:rStyle w:val="FootnoteReference"/>
        </w:rPr>
        <w:footnoteReference w:id="4066"/>
      </w:r>
      <w:r>
        <w:t xml:space="preserve">也是「最完美的祈祷」。</w:t>
      </w:r>
      <w:r>
        <w:rPr>
          <w:rStyle w:val="FootnoteReference"/>
        </w:rPr>
        <w:footnoteReference w:id="4067"/>
      </w:r>
      <w:r>
        <w:t xml:space="preserve">它处在圣经的中心。</w:t>
      </w:r>
    </w:p>
    <w:p>
      <w:pPr>
        <w:pStyle w:val="BodyText"/>
      </w:pPr>
      <w:r>
        <w:t xml:space="preserve">它被称为「主祷文」，因为它来自主耶稣——我们祈祷的导师与榜样。</w:t>
      </w:r>
    </w:p>
    <w:p>
      <w:pPr>
        <w:pStyle w:val="BodyText"/>
      </w:pPr>
      <w:r>
        <w:t xml:space="preserve">主祷文是教会最卓越的祈祷。它是时辰礼仪主要时辰不可或缺的一部分，也是基督徒入门圣事——洗礼、坚振与圣餐——不可或缺的一部分。当主祷文被纳入圣餐时，它揭示其祈求的末世性格，盼望主的来临，「直等到他来」（林前 11:26）。</w:t>
      </w:r>
    </w:p>
    <w:p>
      <w:r>
        <w:br w:type="page"/>
      </w:r>
    </w:p>
    <w:bookmarkEnd w:id="4068"/>
    <w:bookmarkEnd w:id="4069"/>
    <w:bookmarkStart w:id="4112" w:name="第二条我们在天上的父"/>
    <w:p>
      <w:pPr>
        <w:pStyle w:val="Heading3"/>
      </w:pPr>
      <w:r>
        <w:t xml:space="preserve">第二条：「我们在天上的父」</w:t>
      </w:r>
    </w:p>
    <w:bookmarkStart w:id="4074" w:name="一我们敢说"/>
    <w:p>
      <w:pPr>
        <w:pStyle w:val="Heading4"/>
      </w:pPr>
      <w:r>
        <w:t xml:space="preserve">一、「我们敢说」</w:t>
      </w:r>
    </w:p>
    <w:p>
      <w:pPr>
        <w:pStyle w:val="FirstParagraph"/>
      </w:pPr>
      <w:r>
        <w:t xml:space="preserve">在罗马礼中，圣餐会众被邀请以儿女般的勇敢向天父祈祷；东方礼仪则发展并使用类似表达：「满怀信心地敢于……」「使我们配得……」。摩西从燃烧的荆棘那里听见声音对他说：「不要近前来。当把你脚上的鞋脱下来，因为你所站之地是圣地。」</w:t>
      </w:r>
      <w:r>
        <w:rPr>
          <w:rStyle w:val="FootnoteReference"/>
        </w:rPr>
        <w:footnoteReference w:id="4070"/>
      </w:r>
      <w:r>
        <w:t xml:space="preserve">只有耶稣能越过神圣洁的门槛，因为「他洗净了人的罪」之后，就把我们带到父面前：「看哪，我与神所给我的儿女。」</w:t>
      </w:r>
      <w:r>
        <w:rPr>
          <w:rStyle w:val="FootnoteReference"/>
        </w:rPr>
        <w:footnoteReference w:id="4071"/>
      </w:r>
    </w:p>
    <w:p>
      <w:pPr>
        <w:pStyle w:val="BlockText"/>
      </w:pPr>
      <w:r>
        <w:t xml:space="preserve">若不是父自己的权柄，以及他儿子的灵催促我们发出这呼喊……「阿爸，父！」……我们对自己奴仆身份的意识会使我们钻进土里，我们属地的处境也会化为尘埃……一个必死的人怎敢称神为「父」呢？若不是人的最深处被从上而来的能力所激发？</w:t>
      </w:r>
      <w:r>
        <w:rPr>
          <w:rStyle w:val="FootnoteReference"/>
        </w:rPr>
        <w:footnoteReference w:id="4072"/>
      </w:r>
    </w:p>
    <w:p>
      <w:pPr>
        <w:pStyle w:val="FirstParagraph"/>
      </w:pPr>
      <w:r>
        <w:t xml:space="preserve">圣灵把我们引入主祷文的这种能力，在东西方礼仪中以一种美丽、极具基督徒特色的表达呈现：</w:t>
      </w:r>
      <w:r>
        <w:rPr>
          <w:i/>
          <w:iCs/>
        </w:rPr>
        <w:t xml:space="preserve">parrhesia</w:t>
      </w:r>
      <w:r>
        <w:t xml:space="preserve">，就是坦率的单纯、儿女般的信赖、喜乐的确信、谦卑的勇敢、以及被爱的确定性。</w:t>
      </w:r>
      <w:r>
        <w:rPr>
          <w:rStyle w:val="FootnoteReference"/>
        </w:rPr>
        <w:footnoteReference w:id="4073"/>
      </w:r>
    </w:p>
    <w:bookmarkEnd w:id="4074"/>
    <w:bookmarkStart w:id="4090" w:name="二阿爸父"/>
    <w:p>
      <w:pPr>
        <w:pStyle w:val="Heading4"/>
      </w:pPr>
      <w:r>
        <w:t xml:space="preserve">二、阿爸——「父！」</w:t>
      </w:r>
    </w:p>
    <w:p>
      <w:pPr>
        <w:pStyle w:val="FirstParagraph"/>
      </w:pPr>
      <w:r>
        <w:t xml:space="preserve">在我们把主祷文的第一声呼喊当作自己的呼喊之前，我们必须谦卑地洁净内心，除去一些「从这世界」而来的错误想象。</w:t>
      </w:r>
      <w:r>
        <w:rPr>
          <w:i/>
          <w:iCs/>
        </w:rPr>
        <w:t xml:space="preserve">谦卑</w:t>
      </w:r>
      <w:r>
        <w:t xml:space="preserve">使我们承认：「除了父，没有人知道子；除了子和子所愿意指示的，没有人知道父」，也就是向「婴孩」启示。</w:t>
      </w:r>
      <w:r>
        <w:rPr>
          <w:rStyle w:val="FootnoteReference"/>
        </w:rPr>
        <w:footnoteReference w:id="4075"/>
      </w:r>
      <w:r>
        <w:t xml:space="preserve">心灵的</w:t>
      </w:r>
      <w:r>
        <w:rPr>
          <w:i/>
          <w:iCs/>
        </w:rPr>
        <w:t xml:space="preserve">净化</w:t>
      </w:r>
      <w:r>
        <w:t xml:space="preserve">涉及我们对父亲或母亲的图像：这些图像源自个人与文化历史，并影响我们与神的关系。神是我们的父，他超越受造界的范畴。若在这方面把我们自己的观念「加在他身上」，就是制造要敬拜或要推翻的偶像。向父祈祷，就是进入他的奥秘：按他本来的样子，也按子向我们所启示的样子。</w:t>
      </w:r>
    </w:p>
    <w:p>
      <w:pPr>
        <w:pStyle w:val="BlockText"/>
      </w:pPr>
      <w:r>
        <w:t xml:space="preserve">「神是父」这一表达从未向任何人启示过。连摩西自己问神他是谁时，他听见的是另一个名字。父的名在子里向我们启示，因为「子」这名字蕴含「父」这新的名字。</w:t>
      </w:r>
      <w:r>
        <w:rPr>
          <w:rStyle w:val="FootnoteReference"/>
        </w:rPr>
        <w:footnoteReference w:id="4076"/>
      </w:r>
    </w:p>
    <w:p>
      <w:pPr>
        <w:pStyle w:val="FirstParagraph"/>
      </w:pPr>
      <w:r>
        <w:t xml:space="preserve">我们能称神为「父」，因为</w:t>
      </w:r>
      <w:r>
        <w:rPr>
          <w:i/>
          <w:iCs/>
        </w:rPr>
        <w:t xml:space="preserve">他借着成了人的子把自己启示给我们</w:t>
      </w:r>
      <w:r>
        <w:t xml:space="preserve">，并且他的灵使我们认识他。子与父之间的人格关系，是人不能想象的，连天使的能力也不能窥见；然而，子的灵把我们带入那关系之中，使我们这些相信耶稣是基督、并且从神而生的人得以参与。</w:t>
      </w:r>
      <w:r>
        <w:rPr>
          <w:rStyle w:val="FootnoteReference"/>
        </w:rPr>
        <w:footnoteReference w:id="4077"/>
      </w:r>
    </w:p>
    <w:p>
      <w:pPr>
        <w:pStyle w:val="BodyText"/>
      </w:pPr>
      <w:r>
        <w:t xml:space="preserve">当我们向父祈祷时，我们是</w:t>
      </w:r>
      <w:r>
        <w:rPr>
          <w:i/>
          <w:iCs/>
        </w:rPr>
        <w:t xml:space="preserve">与父</w:t>
      </w:r>
      <w:r>
        <w:t xml:space="preserve">并与他的子耶稣基督</w:t>
      </w:r>
      <w:r>
        <w:rPr>
          <w:i/>
          <w:iCs/>
        </w:rPr>
        <w:t xml:space="preserve">共融</w:t>
      </w:r>
      <w:r>
        <w:t xml:space="preserve">。</w:t>
      </w:r>
      <w:r>
        <w:rPr>
          <w:rStyle w:val="FootnoteReference"/>
        </w:rPr>
        <w:footnoteReference w:id="4078"/>
      </w:r>
      <w:r>
        <w:t xml:space="preserve">我们就以不断更新的惊叹来认识并认出他。主祷文的第一句话，在成为祈求之前，首先是朝拜的祝福。因为我们承认他是「父」——真实的神——这就是神的荣耀。我们感谢他把自己的名启示给我们，感谢他赐下对这名的信，也感谢他把他的临在住在我们里面。</w:t>
      </w:r>
    </w:p>
    <w:p>
      <w:pPr>
        <w:pStyle w:val="BodyText"/>
      </w:pPr>
      <w:r>
        <w:t xml:space="preserve">我们能朝拜父，因为他借着</w:t>
      </w:r>
      <w:r>
        <w:rPr>
          <w:i/>
          <w:iCs/>
        </w:rPr>
        <w:t xml:space="preserve">收纳</w:t>
      </w:r>
      <w:r>
        <w:t xml:space="preserve">我们为子，使我们重生进入他的生命，并把我们放在他的独生子里：借着洗礼，他把我们纳入他基督的身体；借着那从元首流向肢体的圣灵的膏抹，他使我们成为另一些「基督」。</w:t>
      </w:r>
    </w:p>
    <w:p>
      <w:pPr>
        <w:pStyle w:val="BlockText"/>
      </w:pPr>
      <w:r>
        <w:t xml:space="preserve">神预定我们借着收纳成为儿子，就使我们与基督荣耀的身体相符合。因此，你们既成为分享基督的人，便适当地被称为「基督」。</w:t>
      </w:r>
      <w:r>
        <w:rPr>
          <w:rStyle w:val="FootnoteReference"/>
        </w:rPr>
        <w:footnoteReference w:id="4079"/>
      </w:r>
    </w:p>
    <w:p>
      <w:pPr>
        <w:pStyle w:val="BlockText"/>
      </w:pPr>
      <w:r>
        <w:t xml:space="preserve">新人借着恩典重生，并被带回到他的神面前时，他首先说：「父！」因为他现在已经开始成为儿子。</w:t>
      </w:r>
      <w:r>
        <w:rPr>
          <w:rStyle w:val="FootnoteReference"/>
        </w:rPr>
        <w:footnoteReference w:id="4080"/>
      </w:r>
    </w:p>
    <w:p>
      <w:pPr>
        <w:pStyle w:val="FirstParagraph"/>
      </w:pPr>
      <w:r>
        <w:t xml:space="preserve">因此，主祷文在把父启示给我们的同时，也</w:t>
      </w:r>
      <w:r>
        <w:rPr>
          <w:i/>
          <w:iCs/>
        </w:rPr>
        <w:t xml:space="preserve">把我们启示给我们自己</w:t>
      </w:r>
      <w:r>
        <w:t xml:space="preserve">。</w:t>
      </w:r>
      <w:r>
        <w:rPr>
          <w:rStyle w:val="FootnoteReference"/>
        </w:rPr>
        <w:footnoteReference w:id="4081"/>
      </w:r>
    </w:p>
    <w:p>
      <w:pPr>
        <w:pStyle w:val="BlockText"/>
      </w:pPr>
      <w:r>
        <w:t xml:space="preserve">人啊，你从前不敢把脸抬向天，只能把眼睛垂向地；但忽然之间，你领受了基督的恩典：你一切的罪都得了赦免。你从一个作恶的仆人，变成一个良善的儿子……那么，就把眼睛抬向父：这父借着洗礼生了你，借着他的子救赎了你。然后说：「我们在天上的父……」但不要自夸有什么特权。他以一种特别的方式是基督的父，但对我们所有人来说，他是共同的父：他只生了基督，却创造了我们。然后也要藉他的恩典说：「我们在天上的父」，好让你配得作他的儿子。</w:t>
      </w:r>
      <w:r>
        <w:rPr>
          <w:rStyle w:val="FootnoteReference"/>
        </w:rPr>
        <w:footnoteReference w:id="4082"/>
      </w:r>
    </w:p>
    <w:p>
      <w:pPr>
        <w:pStyle w:val="FirstParagraph"/>
      </w:pPr>
      <w:r>
        <w:t xml:space="preserve">白白得来的收纳为子，也要求我们不断归正并进入</w:t>
      </w:r>
      <w:r>
        <w:rPr>
          <w:i/>
          <w:iCs/>
        </w:rPr>
        <w:t xml:space="preserve">新生活</w:t>
      </w:r>
      <w:r>
        <w:t xml:space="preserve">。向我们的父祈祷，应当在我们里面发展两种基本的心态。</w:t>
      </w:r>
    </w:p>
    <w:p>
      <w:pPr>
        <w:pStyle w:val="BodyText"/>
      </w:pPr>
      <w:r>
        <w:t xml:space="preserve">第一，是</w:t>
      </w:r>
      <w:r>
        <w:rPr>
          <w:i/>
          <w:iCs/>
        </w:rPr>
        <w:t xml:space="preserve">渴望变得像他</w:t>
      </w:r>
      <w:r>
        <w:t xml:space="preserve">：我们虽按他的形象受造，却靠恩典得以恢复到他的样式；我们必须对这恩典作出回应。</w:t>
      </w:r>
    </w:p>
    <w:p>
      <w:pPr>
        <w:pStyle w:val="BlockText"/>
      </w:pPr>
      <w:r>
        <w:t xml:space="preserve">我们必须记得……也必须知道：当我们称神为「我们的父」时，我们就应当表现得像神的儿子。</w:t>
      </w:r>
      <w:r>
        <w:rPr>
          <w:rStyle w:val="FootnoteReference"/>
        </w:rPr>
        <w:footnoteReference w:id="4083"/>
      </w:r>
    </w:p>
    <w:p>
      <w:pPr>
        <w:pStyle w:val="BlockText"/>
      </w:pPr>
      <w:r>
        <w:t xml:space="preserve">你若保留残忍、不近人情的心，就不能把满有良善的神称为你的父；因为在这种情况下，你里面已不再有天父良善的记号。</w:t>
      </w:r>
      <w:r>
        <w:rPr>
          <w:rStyle w:val="FootnoteReference"/>
        </w:rPr>
        <w:footnoteReference w:id="4084"/>
      </w:r>
    </w:p>
    <w:p>
      <w:pPr>
        <w:pStyle w:val="BlockText"/>
      </w:pPr>
      <w:r>
        <w:t xml:space="preserve">我们必须不断默观父的美，并据此装饰我们自己的灵魂。</w:t>
      </w:r>
      <w:r>
        <w:rPr>
          <w:rStyle w:val="FootnoteReference"/>
        </w:rPr>
        <w:footnoteReference w:id="4085"/>
      </w:r>
    </w:p>
    <w:p>
      <w:pPr>
        <w:pStyle w:val="FirstParagraph"/>
      </w:pPr>
      <w:r>
        <w:t xml:space="preserve">第二，是</w:t>
      </w:r>
      <w:r>
        <w:rPr>
          <w:i/>
          <w:iCs/>
        </w:rPr>
        <w:t xml:space="preserve">谦卑而信赖的心</w:t>
      </w:r>
      <w:r>
        <w:t xml:space="preserve">，使我们「回转，变成小孩子的样式」，</w:t>
      </w:r>
      <w:r>
        <w:rPr>
          <w:rStyle w:val="FootnoteReference"/>
        </w:rPr>
        <w:footnoteReference w:id="4086"/>
      </w:r>
      <w:r>
        <w:t xml:space="preserve">因为父是向「婴孩」启示的。</w:t>
      </w:r>
      <w:r>
        <w:rPr>
          <w:rStyle w:val="FootnoteReference"/>
        </w:rPr>
        <w:footnoteReference w:id="4087"/>
      </w:r>
    </w:p>
    <w:p>
      <w:pPr>
        <w:pStyle w:val="BlockText"/>
      </w:pPr>
      <w:r>
        <w:t xml:space="preserve">［这祈祷得以完成］是借着单单默观神，并借着爱的热度；灵魂被塑造并被引导去爱他，于是以特别的敬虔，很亲切地对神说话，如同对自己的父。</w:t>
      </w:r>
      <w:r>
        <w:rPr>
          <w:rStyle w:val="FootnoteReference"/>
        </w:rPr>
        <w:footnoteReference w:id="4088"/>
      </w:r>
    </w:p>
    <w:p>
      <w:pPr>
        <w:pStyle w:val="BlockText"/>
      </w:pPr>
      <w:r>
        <w:t xml:space="preserve">我们的父：这名字在我们里面唤起爱……也唤起我们对即将祈求之事必能获得的信心……他既已把成为儿女的恩赐赐给他们，那么，他的儿女来求，他还有什么不会给呢？</w:t>
      </w:r>
      <w:r>
        <w:rPr>
          <w:rStyle w:val="FootnoteReference"/>
        </w:rPr>
        <w:footnoteReference w:id="4089"/>
      </w:r>
    </w:p>
    <w:bookmarkEnd w:id="4090"/>
    <w:bookmarkStart w:id="4100" w:name="三我们的父"/>
    <w:p>
      <w:pPr>
        <w:pStyle w:val="Heading4"/>
      </w:pPr>
      <w:r>
        <w:t xml:space="preserve">三、「我们」的父</w:t>
      </w:r>
    </w:p>
    <w:p>
      <w:pPr>
        <w:pStyle w:val="FirstParagraph"/>
      </w:pPr>
      <w:r>
        <w:t xml:space="preserve">「我们」的父指的是神。这个形容词在我们口中使用时，并不是表达占有，而是表达与神一种全新的关系。</w:t>
      </w:r>
    </w:p>
    <w:p>
      <w:pPr>
        <w:pStyle w:val="BodyText"/>
      </w:pPr>
      <w:r>
        <w:t xml:space="preserve">当我们说「我们」的父时，我们首先承认：先知所宣告的一切爱的应许，都在他基督里的</w:t>
      </w:r>
      <w:r>
        <w:rPr>
          <w:i/>
          <w:iCs/>
        </w:rPr>
        <w:t xml:space="preserve">新而永恒的约</w:t>
      </w:r>
      <w:r>
        <w:t xml:space="preserve">中实现了：我们成了「他的」子民，而他从此成了「我们的」神。这新关系是彼此属于的完全白白的恩赐：我们要以爱与忠信来回应耶稣基督所赐给我们的「恩典和真理」。</w:t>
      </w:r>
      <w:r>
        <w:rPr>
          <w:rStyle w:val="FootnoteReference"/>
        </w:rPr>
        <w:footnoteReference w:id="4091"/>
      </w:r>
    </w:p>
    <w:p>
      <w:pPr>
        <w:pStyle w:val="BodyText"/>
      </w:pPr>
      <w:r>
        <w:t xml:space="preserve">既然主祷文是他在「末世时期」之子民的祈祷，那么，「我们」也表达我们对神终极应许之盼望的确信：在新耶路撒冷里，他要对得胜者说：「我要作他的神，他要作我的儿子。」</w:t>
      </w:r>
      <w:r>
        <w:rPr>
          <w:rStyle w:val="FootnoteReference"/>
        </w:rPr>
        <w:footnoteReference w:id="4092"/>
      </w:r>
    </w:p>
    <w:p>
      <w:pPr>
        <w:pStyle w:val="BodyText"/>
      </w:pPr>
      <w:r>
        <w:t xml:space="preserve">当我们向「我们」的父祈祷时，我们是在亲自向我们主耶稣基督的父说话。这样做并不是把神性分割开来，因为父是其「源头和起源」；相反，我们是在承认：子永恒地由父所生，圣灵由父而出。我们也没有混淆位格，因为我们宣认：我们的共融是在父与他的子耶稣基督之中，并在他们那独一的圣灵里。</w:t>
      </w:r>
      <w:r>
        <w:rPr>
          <w:i/>
          <w:iCs/>
        </w:rPr>
        <w:t xml:space="preserve">三位一体</w:t>
      </w:r>
      <w:r>
        <w:t xml:space="preserve">同一本体，不可分割。当我们向父祈祷时，我们与子和圣灵一同朝拜并光荣他。</w:t>
      </w:r>
    </w:p>
    <w:p>
      <w:pPr>
        <w:pStyle w:val="BodyText"/>
      </w:pPr>
      <w:r>
        <w:t xml:space="preserve">从语法上说，「我们」修饰的是多于一人的共同现实。神只有一位；那些借着信独生子、并借着水和圣灵从他而重生的人，承认他为父。</w:t>
      </w:r>
      <w:r>
        <w:rPr>
          <w:rStyle w:val="FootnoteReference"/>
        </w:rPr>
        <w:footnoteReference w:id="4093"/>
      </w:r>
      <w:r>
        <w:rPr>
          <w:i/>
          <w:iCs/>
        </w:rPr>
        <w:t xml:space="preserve">教会</w:t>
      </w:r>
      <w:r>
        <w:t xml:space="preserve">就是神与人之间这种新的共融。她与那成为「在许多弟兄中作长子」的独生子联合，就在同一位父、同一位圣灵里共融。</w:t>
      </w:r>
      <w:r>
        <w:rPr>
          <w:rStyle w:val="FootnoteReference"/>
        </w:rPr>
        <w:footnoteReference w:id="4094"/>
      </w:r>
      <w:r>
        <w:t xml:space="preserve">当每一个受洗者祈祷「我们」的父时，都是在这共融中祈祷：「那许多信的人都是一心一意的。」</w:t>
      </w:r>
      <w:r>
        <w:rPr>
          <w:rStyle w:val="FootnoteReference"/>
        </w:rPr>
        <w:footnoteReference w:id="4095"/>
      </w:r>
    </w:p>
    <w:p>
      <w:pPr>
        <w:pStyle w:val="BodyText"/>
      </w:pPr>
      <w:r>
        <w:t xml:space="preserve">因此，尽管基督徒之间存在分裂，这向「我们」的父的祈祷仍是我们共同的产业，也是对所有受洗者的迫切呼召。他们既因对基督的信和因洗礼而共融，就应当加入耶稣为门徒合一所作的祈祷。</w:t>
      </w:r>
      <w:r>
        <w:rPr>
          <w:rStyle w:val="FootnoteReference"/>
        </w:rPr>
        <w:footnoteReference w:id="4096"/>
      </w:r>
    </w:p>
    <w:p>
      <w:pPr>
        <w:pStyle w:val="BodyText"/>
      </w:pPr>
      <w:r>
        <w:t xml:space="preserve">最后，如果我们真诚地祈祷主祷文，我们就把个人主义抛在身后，因为我们所领受的爱使我们从其中得释放。主祷文开头的「我们」，如同最后四个祈求中的「我们」，不排除任何人。若要真实地说出这祈祷，我们的分裂与对立就必须被克服。</w:t>
      </w:r>
      <w:r>
        <w:rPr>
          <w:rStyle w:val="FootnoteReference"/>
        </w:rPr>
        <w:footnoteReference w:id="4097"/>
      </w:r>
    </w:p>
    <w:p>
      <w:pPr>
        <w:pStyle w:val="BodyText"/>
      </w:pPr>
      <w:r>
        <w:t xml:space="preserve">受洗者不能祈祷「我们」的父，却不把父所赐的爱子所为之舍命的一切人带到他面前。神的爱没有界限，我们的祈祷也不应有界限。</w:t>
      </w:r>
      <w:r>
        <w:rPr>
          <w:rStyle w:val="FootnoteReference"/>
        </w:rPr>
        <w:footnoteReference w:id="4098"/>
      </w:r>
      <w:r>
        <w:t xml:space="preserve">祈祷「我们」的父，把我们带进基督所启示之神爱的幅度：与众人一起祈祷，也为那些还不认识他的人祈祷，使基督「要将神四散的子民都聚集归一」。</w:t>
      </w:r>
      <w:r>
        <w:rPr>
          <w:rStyle w:val="FootnoteReference"/>
        </w:rPr>
        <w:footnoteReference w:id="4099"/>
      </w:r>
      <w:r>
        <w:t xml:space="preserve">神对所有人和整个受造界的关怀，启发了所有伟大的祈祷实践者；当我们敢说「我们」的父时，这关怀也应把我们的祈祷扩展到爱的全部宽广。</w:t>
      </w:r>
    </w:p>
    <w:bookmarkEnd w:id="4100"/>
    <w:bookmarkStart w:id="4110" w:name="四在天上"/>
    <w:p>
      <w:pPr>
        <w:pStyle w:val="Heading4"/>
      </w:pPr>
      <w:r>
        <w:t xml:space="preserve">四、「在天上」</w:t>
      </w:r>
    </w:p>
    <w:p>
      <w:pPr>
        <w:pStyle w:val="FirstParagraph"/>
      </w:pPr>
      <w:r>
        <w:t xml:space="preserve">这个圣经表达不是指一个地方（「空间」），而是指一种存在方式；不是说神遥远，而是说他威严。我们的父不在「别处」：他超越我们对他圣洁所能想象的一切。正因为他是三次圣洁的，所以他才如此接近那谦卑而痛悔的心。</w:t>
      </w:r>
    </w:p>
    <w:p>
      <w:pPr>
        <w:pStyle w:val="BlockText"/>
      </w:pPr>
      <w:r>
        <w:t xml:space="preserve">「我们在天上的父」应当被正确理解为：神在义人的心里，如同在他的圣殿里。同时，这也意味着祈祷的人应当渴望自己所呼求的那一位住在他们里面。</w:t>
      </w:r>
      <w:r>
        <w:rPr>
          <w:rStyle w:val="FootnoteReference"/>
        </w:rPr>
        <w:footnoteReference w:id="4101"/>
      </w:r>
    </w:p>
    <w:p>
      <w:pPr>
        <w:pStyle w:val="BlockText"/>
      </w:pPr>
      <w:r>
        <w:t xml:space="preserve">「天」也可以指那些承载天上世界之形象的人，神住在他们里面，并停留在他们里面。</w:t>
      </w:r>
      <w:r>
        <w:rPr>
          <w:rStyle w:val="FootnoteReference"/>
        </w:rPr>
        <w:footnoteReference w:id="4102"/>
      </w:r>
    </w:p>
    <w:p>
      <w:pPr>
        <w:pStyle w:val="FirstParagraph"/>
      </w:pPr>
      <w:r>
        <w:t xml:space="preserve">「天」的象征把我们带回我们向父祈祷时所活出的约的奥秘之中。父在天上，在他的居所；父的家就是我们的家乡。罪把我们从约的土地放逐，</w:t>
      </w:r>
      <w:r>
        <w:rPr>
          <w:rStyle w:val="FootnoteReference"/>
        </w:rPr>
        <w:footnoteReference w:id="4103"/>
      </w:r>
      <w:r>
        <w:t xml:space="preserve">但心的归正使我们能回到父那里，回到天上。</w:t>
      </w:r>
      <w:r>
        <w:rPr>
          <w:rStyle w:val="FootnoteReference"/>
        </w:rPr>
        <w:footnoteReference w:id="4104"/>
      </w:r>
      <w:r>
        <w:t xml:space="preserve">在基督里，天与地得以和好，</w:t>
      </w:r>
      <w:r>
        <w:rPr>
          <w:rStyle w:val="FootnoteReference"/>
        </w:rPr>
        <w:footnoteReference w:id="4105"/>
      </w:r>
      <w:r>
        <w:t xml:space="preserve">因为只有子「从天降下」，并借着他的十字架、复活和升天，使我们与他一同升到那里。</w:t>
      </w:r>
      <w:r>
        <w:rPr>
          <w:rStyle w:val="FootnoteReference"/>
        </w:rPr>
        <w:footnoteReference w:id="4106"/>
      </w:r>
    </w:p>
    <w:p>
      <w:pPr>
        <w:pStyle w:val="BodyText"/>
      </w:pPr>
      <w:r>
        <w:t xml:space="preserve">当教会祈祷「我们在天上的父」时，她宣认：我们是神的子民，已经「在基督耶稣里」与他「一同坐在天上」，并且「你们的生命与基督一同藏在神里面」；</w:t>
      </w:r>
      <w:r>
        <w:rPr>
          <w:rStyle w:val="FootnoteReference"/>
        </w:rPr>
        <w:footnoteReference w:id="4107"/>
      </w:r>
      <w:r>
        <w:t xml:space="preserve">但与此同时，「我们在这帐棚里叹息，深想得那从天上来的房屋」。</w:t>
      </w:r>
      <w:r>
        <w:rPr>
          <w:rStyle w:val="FootnoteReference"/>
        </w:rPr>
        <w:footnoteReference w:id="4108"/>
      </w:r>
    </w:p>
    <w:p>
      <w:pPr>
        <w:pStyle w:val="BlockText"/>
      </w:pPr>
      <w:r>
        <w:t xml:space="preserve">［基督徒］在肉身里，却不按肉身生活。他们在地上度日，却是天上的国民。</w:t>
      </w:r>
      <w:r>
        <w:rPr>
          <w:rStyle w:val="FootnoteReference"/>
        </w:rPr>
        <w:footnoteReference w:id="4109"/>
      </w:r>
    </w:p>
    <w:bookmarkEnd w:id="4110"/>
    <w:bookmarkStart w:id="4111" w:name="综述-75"/>
    <w:p>
      <w:pPr>
        <w:pStyle w:val="Heading4"/>
      </w:pPr>
      <w:r>
        <w:t xml:space="preserve">综述</w:t>
      </w:r>
    </w:p>
    <w:p>
      <w:pPr>
        <w:pStyle w:val="FirstParagraph"/>
      </w:pPr>
      <w:r>
        <w:t xml:space="preserve">「对那祈祷主祷文的人来说，朴素而忠信的信赖、谦卑而喜乐的确信，是恰当的心态。」</w:t>
      </w:r>
    </w:p>
    <w:p>
      <w:pPr>
        <w:pStyle w:val="BodyText"/>
      </w:pPr>
      <w:r>
        <w:t xml:space="preserve">我们能称神为「父」，因为成了人的神子把父启示给我们。在这位子里，借着洗礼，我们被纳入并被收纳为神的儿子。</w:t>
      </w:r>
    </w:p>
    <w:p>
      <w:pPr>
        <w:pStyle w:val="BodyText"/>
      </w:pPr>
      <w:r>
        <w:t xml:space="preserve">主祷文把我们带进与父、并与他的子耶稣基督的共融。同时，它也把我们启示给我们自己（参</w:t>
      </w:r>
      <w:r>
        <w:rPr>
          <w:i/>
          <w:iCs/>
        </w:rPr>
        <w:t xml:space="preserve">GS</w:t>
      </w:r>
      <w:r>
        <w:t xml:space="preserve"> </w:t>
      </w:r>
      <w:r>
        <w:t xml:space="preserve">22 § 1）。</w:t>
      </w:r>
    </w:p>
    <w:p>
      <w:pPr>
        <w:pStyle w:val="BodyText"/>
      </w:pPr>
      <w:r>
        <w:t xml:space="preserve">向我们的父祈祷，应当在我们里面培养愿意变得像他的意志，并在我们里面培育谦卑而信赖的心。</w:t>
      </w:r>
    </w:p>
    <w:p>
      <w:pPr>
        <w:pStyle w:val="BodyText"/>
      </w:pPr>
      <w:r>
        <w:t xml:space="preserve">当我们说「我们」的父时，我们是在呼求耶稣基督里的新约、与三位一体的共融，以及借着教会扩展到全世界的神的爱。</w:t>
      </w:r>
    </w:p>
    <w:p>
      <w:pPr>
        <w:pStyle w:val="BodyText"/>
      </w:pPr>
      <w:r>
        <w:t xml:space="preserve">「在天上」不是指一个地方，而是指神的威严，以及他在义人心中的临在。天——父的家——是我们所奔向的真实家乡，我们也已经属于那里。</w:t>
      </w:r>
    </w:p>
    <w:p>
      <w:r>
        <w:br w:type="page"/>
      </w:r>
    </w:p>
    <w:bookmarkEnd w:id="4111"/>
    <w:bookmarkEnd w:id="4112"/>
    <w:bookmarkStart w:id="4221" w:name="第三条七个祈求"/>
    <w:p>
      <w:pPr>
        <w:pStyle w:val="Heading3"/>
      </w:pPr>
      <w:r>
        <w:t xml:space="preserve">第三条：七个祈求</w:t>
      </w:r>
    </w:p>
    <w:p>
      <w:pPr>
        <w:pStyle w:val="FirstParagraph"/>
      </w:pPr>
      <w:r>
        <w:t xml:space="preserve">当我们把自己置于神我们父面前，朝拜、爱慕并称颂他之后，收纳为子的圣灵就在我们心里激起七个祈求、七个祝福。前三个更偏向神学，把我们带向父的荣耀；后四个作为通向他的道路，把我们的悲惨托付给他的恩典。「深渊就与深渊响应。」</w:t>
      </w:r>
      <w:r>
        <w:rPr>
          <w:rStyle w:val="FootnoteReference"/>
        </w:rPr>
        <w:footnoteReference w:id="4113"/>
      </w:r>
    </w:p>
    <w:p>
      <w:pPr>
        <w:pStyle w:val="BodyText"/>
      </w:pPr>
      <w:r>
        <w:t xml:space="preserve">第一组祈求把我们带向他，是为他自己的缘故：</w:t>
      </w:r>
      <w:r>
        <w:rPr>
          <w:i/>
          <w:iCs/>
        </w:rPr>
        <w:t xml:space="preserve">你的</w:t>
      </w:r>
      <w:r>
        <w:t xml:space="preserve">名，</w:t>
      </w:r>
      <w:r>
        <w:rPr>
          <w:i/>
          <w:iCs/>
        </w:rPr>
        <w:t xml:space="preserve">你的</w:t>
      </w:r>
      <w:r>
        <w:t xml:space="preserve">国，</w:t>
      </w:r>
      <w:r>
        <w:rPr>
          <w:i/>
          <w:iCs/>
        </w:rPr>
        <w:t xml:space="preserve">你的</w:t>
      </w:r>
      <w:r>
        <w:t xml:space="preserve">旨意！爱的特征，是先想到我们所爱的那一位。在这三项祈求中，我们都没有提到自己；爱子为父荣耀所怀的炽热渴望，甚至焦灼，攫住了我们：</w:t>
      </w:r>
      <w:r>
        <w:rPr>
          <w:rStyle w:val="FootnoteReference"/>
        </w:rPr>
        <w:footnoteReference w:id="4114"/>
      </w:r>
      <w:r>
        <w:t xml:space="preserve">「愿人都尊你的名为圣，愿你的国降临，愿你的旨意成就……」这三项祈求已经在基督拯救的祭献中得了回应，但如今仍在盼望中指向最终的成全，因为神还没有在万物之上，为万物之主。</w:t>
      </w:r>
      <w:r>
        <w:rPr>
          <w:rStyle w:val="FootnoteReference"/>
        </w:rPr>
        <w:footnoteReference w:id="4115"/>
      </w:r>
    </w:p>
    <w:p>
      <w:pPr>
        <w:pStyle w:val="BodyText"/>
      </w:pPr>
      <w:r>
        <w:t xml:space="preserve">第二组祈求以某些圣灵呼求的同样动势展开：如同把我们的期待奉献上去，使慈悲之父的目光俯视它们。这些祈求从我们而上升，却从此刻起就关乎我们，就在我们现今的世界里：「赐给我们……免我们的债……不叫我们遇见……救我们脱离……」第四与第五个祈求关乎我们的生命本身——要得喂养、要从罪得医治；最后两个关乎我们为生命胜利的争战——也就是祈祷的争战。</w:t>
      </w:r>
    </w:p>
    <w:p>
      <w:pPr>
        <w:pStyle w:val="BodyText"/>
      </w:pPr>
      <w:r>
        <w:t xml:space="preserve">借着前三个祈求，我们在信心中得坚固，在盼望中得充满，并被仁爱点燃。我们既是受造物，也仍是罪人，就必须为我们祈求：为那被世界与历史捆绑的「我们」祈求；我们把这个「我们」奉献给神无限的爱。因为父藉着他基督的名，并藉着他圣灵的治理，成就他的救恩计划，为我们，也为全世界。</w:t>
      </w:r>
    </w:p>
    <w:bookmarkStart w:id="4136" w:name="一愿人都尊你的名为圣"/>
    <w:p>
      <w:pPr>
        <w:pStyle w:val="Heading4"/>
      </w:pPr>
      <w:r>
        <w:t xml:space="preserve">一、「愿人都尊你的名为圣」</w:t>
      </w:r>
    </w:p>
    <w:p>
      <w:pPr>
        <w:pStyle w:val="FirstParagraph"/>
      </w:pPr>
      <w:r>
        <w:t xml:space="preserve">「尊为圣」在这里应当理解为：不主要是在使动意义上（只有神使人成圣，使之成为圣洁），而首先是在评价意义上：承认为圣，以圣洁的方式对待。因此，在朝拜中，这一呼求有时被理解为赞美与感恩。</w:t>
      </w:r>
      <w:r>
        <w:rPr>
          <w:rStyle w:val="FootnoteReference"/>
        </w:rPr>
        <w:footnoteReference w:id="4116"/>
      </w:r>
      <w:r>
        <w:t xml:space="preserve">但耶稣在这里把它教导给我们，是作为一种愿望式的祈求：一种祈求、一种渴望与一种期待，其中神与人都参与其中。从向我们的父发出这第一项祈求开始，我们就被浸入他神性最深处的奥秘，以及我们人性得救的戏剧之中。我们祈求父使他的名被尊为圣，就被带入他在时期圆满中那充满爱的计划里：「叫我们知道他旨意的奥秘」，并且使我们「在他面前成为圣洁，无有瑕疵」。</w:t>
      </w:r>
      <w:r>
        <w:rPr>
          <w:rStyle w:val="FootnoteReference"/>
        </w:rPr>
        <w:footnoteReference w:id="4117"/>
      </w:r>
    </w:p>
    <w:p>
      <w:pPr>
        <w:pStyle w:val="BodyText"/>
      </w:pPr>
      <w:r>
        <w:t xml:space="preserve">在他安排的关键时刻，神启示他的名，但他是借着完成他的工作来这样做。因此，这工作唯有在我们里面、也借着我们才得以实现：当他的名在我们里面、也借着我们被尊为圣时。</w:t>
      </w:r>
    </w:p>
    <w:p>
      <w:pPr>
        <w:pStyle w:val="BodyText"/>
      </w:pPr>
      <w:r>
        <w:t xml:space="preserve">神的圣洁是他永恒奥秘那不可接近的中心。圣经把这圣洁在受造与历史中所启示的部分称为「荣耀」，就是他威严的光辉。</w:t>
      </w:r>
      <w:r>
        <w:rPr>
          <w:rStyle w:val="FootnoteReference"/>
        </w:rPr>
        <w:footnoteReference w:id="4118"/>
      </w:r>
      <w:r>
        <w:t xml:space="preserve">神按自己的形象样式造人，「你叫他比天使微小一点，并赐他荣耀尊贵为冠冕」，但人犯罪后就「亏缺了神的荣耀」。</w:t>
      </w:r>
      <w:r>
        <w:rPr>
          <w:rStyle w:val="FootnoteReference"/>
        </w:rPr>
        <w:footnoteReference w:id="4119"/>
      </w:r>
      <w:r>
        <w:t xml:space="preserve">从那时起，神要借着启示并赐下他的名来显明他的圣洁，为要把人恢复到造物主的形象。</w:t>
      </w:r>
      <w:r>
        <w:rPr>
          <w:rStyle w:val="FootnoteReference"/>
        </w:rPr>
        <w:footnoteReference w:id="4120"/>
      </w:r>
    </w:p>
    <w:p>
      <w:pPr>
        <w:pStyle w:val="BodyText"/>
      </w:pPr>
      <w:r>
        <w:t xml:space="preserve">在对亚伯拉罕的应许和随之而来的誓言中，</w:t>
      </w:r>
      <w:r>
        <w:rPr>
          <w:rStyle w:val="FootnoteReference"/>
        </w:rPr>
        <w:footnoteReference w:id="4121"/>
      </w:r>
      <w:r>
        <w:t xml:space="preserve">神委身于他自己，却不揭示他的名。他开始向摩西启示这名，并在拯救全体百姓脱离埃及人时，清楚地在众人眼前使这名为人所知：「因他大大战胜」。</w:t>
      </w:r>
      <w:r>
        <w:rPr>
          <w:rStyle w:val="FootnoteReference"/>
        </w:rPr>
        <w:footnoteReference w:id="4122"/>
      </w:r>
      <w:r>
        <w:t xml:space="preserve">从西奈之约开始，这百姓就是「属他的」，并要成为「圣洁的」（或「分别为圣的」：希伯来文对两者用同一个词）国民，</w:t>
      </w:r>
      <w:r>
        <w:rPr>
          <w:rStyle w:val="FootnoteReference"/>
        </w:rPr>
        <w:footnoteReference w:id="4123"/>
      </w:r>
      <w:r>
        <w:t xml:space="preserve">因为神的名住在他们中间。</w:t>
      </w:r>
    </w:p>
    <w:p>
      <w:pPr>
        <w:pStyle w:val="BodyText"/>
      </w:pPr>
      <w:r>
        <w:t xml:space="preserve">尽管圣洁的神一次又一次赐给他们圣洁的律法——「你们要圣洁，因为我耶和华你们的神是圣洁的」——并且主为了自己的名而忍耐，但百姓仍转离「以色列的圣者」，并在列国中亵渎他的名。</w:t>
      </w:r>
      <w:r>
        <w:rPr>
          <w:rStyle w:val="FootnoteReference"/>
        </w:rPr>
        <w:footnoteReference w:id="4124"/>
      </w:r>
      <w:r>
        <w:t xml:space="preserve">因此，旧约中那些义人、被掳归回后留下的贫穷余民，以及先知们，都对这名充满炽热的热情。</w:t>
      </w:r>
    </w:p>
    <w:p>
      <w:pPr>
        <w:pStyle w:val="BodyText"/>
      </w:pPr>
      <w:r>
        <w:t xml:space="preserve">最后，在耶稣里，圣洁之神的名在肉身中作为救主启示并赐给我们：借着他的所是、他的言语和他的祭献。</w:t>
      </w:r>
      <w:r>
        <w:rPr>
          <w:rStyle w:val="FootnoteReference"/>
        </w:rPr>
        <w:footnoteReference w:id="4125"/>
      </w:r>
      <w:r>
        <w:t xml:space="preserve">这就是他祭司祈祷的核心：「圣父啊……我为他们的缘故，自己分别为圣，叫他们也因真理成圣。」</w:t>
      </w:r>
      <w:r>
        <w:rPr>
          <w:rStyle w:val="FootnoteReference"/>
        </w:rPr>
        <w:footnoteReference w:id="4126"/>
      </w:r>
      <w:r>
        <w:t xml:space="preserve">耶稣因为「使」自己的名成圣，就把父的名启示给我们。</w:t>
      </w:r>
      <w:r>
        <w:rPr>
          <w:rStyle w:val="FootnoteReference"/>
        </w:rPr>
        <w:footnoteReference w:id="4127"/>
      </w:r>
      <w:r>
        <w:t xml:space="preserve">在基督逾越的终点，父把超乎万名之上的名赐给他：「无不口称耶稣基督为主，使荣耀归与父神。」</w:t>
      </w:r>
      <w:r>
        <w:rPr>
          <w:rStyle w:val="FootnoteReference"/>
        </w:rPr>
        <w:footnoteReference w:id="4128"/>
      </w:r>
    </w:p>
    <w:p>
      <w:pPr>
        <w:pStyle w:val="BodyText"/>
      </w:pPr>
      <w:r>
        <w:t xml:space="preserve">在洗礼的水中，我们「奉主耶稣基督的名，并借着我们神的灵，已经洗净、成圣、称义了。」</w:t>
      </w:r>
      <w:r>
        <w:rPr>
          <w:rStyle w:val="FootnoteReference"/>
        </w:rPr>
        <w:footnoteReference w:id="4129"/>
      </w:r>
      <w:r>
        <w:t xml:space="preserve">我们的父呼召我们在整个生命中成为圣洁；并且既然「你们得在基督耶稣里是本乎神，神又使他成为我们的智慧、公义、圣洁、救赎」，</w:t>
      </w:r>
      <w:r>
        <w:rPr>
          <w:rStyle w:val="FootnoteReference"/>
        </w:rPr>
        <w:footnoteReference w:id="4130"/>
      </w:r>
      <w:r>
        <w:t xml:space="preserve">那么，父的荣耀与我们的生命，都取决于他的名在我们里面、也借着我们被尊为圣。这就是我们第一项祈求的迫切性。</w:t>
      </w:r>
    </w:p>
    <w:p>
      <w:pPr>
        <w:pStyle w:val="BodyText"/>
      </w:pPr>
      <w:r>
        <w:t xml:space="preserve">神是借着谁被尊为圣的？当然，神使自己成圣：「耶和华的名是坚固台；义人奔入便得安稳。」</w:t>
      </w:r>
      <w:r>
        <w:rPr>
          <w:rStyle w:val="FootnoteReference"/>
        </w:rPr>
        <w:footnoteReference w:id="4131"/>
      </w:r>
      <w:r>
        <w:t xml:space="preserve">但我们求他使他的名成圣——就是那使我们得救的名。</w:t>
      </w:r>
      <w:r>
        <w:rPr>
          <w:rStyle w:val="FootnoteReference"/>
        </w:rPr>
        <w:footnoteReference w:id="4132"/>
      </w:r>
    </w:p>
    <w:p>
      <w:pPr>
        <w:pStyle w:val="BlockText"/>
      </w:pPr>
      <w:r>
        <w:t xml:space="preserve">当我们说「愿人都尊你的名为圣」时，我们求这名在我们里面被尊为圣，因为我们在他里面；也求在那些仍在等待神恩典的人里面被尊为圣，好叫我们遵行那要求我们为所有人祈祷的诫命，甚至为我们的仇敌祈祷。因此，我们并不明说「愿你的名在我们里面被尊为圣」，因为我们求它在所有人里面都如此。</w:t>
      </w:r>
      <w:r>
        <w:rPr>
          <w:rStyle w:val="FootnoteReference"/>
        </w:rPr>
        <w:footnoteReference w:id="4133"/>
      </w:r>
    </w:p>
    <w:p>
      <w:pPr>
        <w:pStyle w:val="FirstParagraph"/>
      </w:pPr>
      <w:r>
        <w:t xml:space="preserve">这项祈求包含其他一切祈求。它像后面的六项祈求一样，借着基督的祈祷得以实现。向我们的父祈祷，若是在耶稣的名里祈祷，才是真正我们的祈祷。</w:t>
      </w:r>
      <w:r>
        <w:rPr>
          <w:rStyle w:val="FootnoteReference"/>
        </w:rPr>
        <w:footnoteReference w:id="4134"/>
      </w:r>
      <w:r>
        <w:t xml:space="preserve">在他的祭司祈祷中，耶稣求说：「圣父啊，求你因你所赐给我的名保守他们。」</w:t>
      </w:r>
      <w:r>
        <w:rPr>
          <w:rStyle w:val="FootnoteReference"/>
        </w:rPr>
        <w:footnoteReference w:id="4135"/>
      </w:r>
    </w:p>
    <w:bookmarkEnd w:id="4136"/>
    <w:bookmarkStart w:id="4146" w:name="二愿你的国降临"/>
    <w:p>
      <w:pPr>
        <w:pStyle w:val="Heading4"/>
      </w:pPr>
      <w:r>
        <w:t xml:space="preserve">二、「愿你的国降临」</w:t>
      </w:r>
    </w:p>
    <w:p>
      <w:pPr>
        <w:pStyle w:val="FirstParagraph"/>
      </w:pPr>
      <w:r>
        <w:t xml:space="preserve">在新约中，</w:t>
      </w:r>
      <w:r>
        <w:rPr>
          <w:i/>
          <w:iCs/>
        </w:rPr>
        <w:t xml:space="preserve">basileia</w:t>
      </w:r>
      <w:r>
        <w:t xml:space="preserve">一词可译为「王权」（抽象名词）、「国」（具体名词）或「统治」（动作名词）。神的国在我们前方。它在降生成人的道里被带到近处，在整部福音中被宣讲，并在基督的死亡与复活中来到。神的国自最后的晚餐以来一直在来，并且在圣餐中，它就在我们中间。这国将在荣耀中来临：当基督把国交给父的时候：</w:t>
      </w:r>
    </w:p>
    <w:p>
      <w:pPr>
        <w:pStyle w:val="BlockText"/>
      </w:pPr>
      <w:r>
        <w:t xml:space="preserve">或许……神的国就是基督自己；我们每天都渴望他来，并愿他的来临快快向我们显明。因为他既是我们的复活，我们在他里面复活；同样，他也可被理解为神的国，因为我们要在他里面作王。</w:t>
      </w:r>
      <w:r>
        <w:rPr>
          <w:rStyle w:val="FootnoteReference"/>
        </w:rPr>
        <w:footnoteReference w:id="4137"/>
      </w:r>
    </w:p>
    <w:p>
      <w:pPr>
        <w:pStyle w:val="FirstParagraph"/>
      </w:pPr>
      <w:r>
        <w:t xml:space="preserve">这项祈求就是</w:t>
      </w:r>
      <w:r>
        <w:rPr>
          <w:i/>
          <w:iCs/>
        </w:rPr>
        <w:t xml:space="preserve">Marana tha</w:t>
      </w:r>
      <w:r>
        <w:t xml:space="preserve">，是圣灵与新妇的呼喊：「主耶稣啊，我愿你来！」</w:t>
      </w:r>
    </w:p>
    <w:p>
      <w:pPr>
        <w:pStyle w:val="BlockText"/>
      </w:pPr>
      <w:r>
        <w:t xml:space="preserve">即使没有被吩咐要祈求国的来临，我们也会甘心乐意地说出这话，急切地拥抱我们的盼望。在祭坛底下的殉道者之灵魂，愤慨地向主呼喊：「圣洁真实的主啊，你不审判住在地上的人，给我们伸流血的冤，要等到几时呢？」因为对他们的伸冤已被安排在世界的终结。主啊，但愿你的国尽快降临！</w:t>
      </w:r>
      <w:r>
        <w:rPr>
          <w:rStyle w:val="FootnoteReference"/>
        </w:rPr>
        <w:footnoteReference w:id="4138"/>
      </w:r>
    </w:p>
    <w:p>
      <w:pPr>
        <w:pStyle w:val="FirstParagraph"/>
      </w:pPr>
      <w:r>
        <w:t xml:space="preserve">在主祷文中，「愿你的国降临」主要指向神借着基督再来而实现的统治之最终来临。</w:t>
      </w:r>
      <w:r>
        <w:rPr>
          <w:rStyle w:val="FootnoteReference"/>
        </w:rPr>
        <w:footnoteReference w:id="4139"/>
      </w:r>
      <w:r>
        <w:t xml:space="preserve">但这种渴望非但不会使教会偏离她在现世的使命，反而使她更坚定地投入其中。自五旬节以来，那统治的来临就是主的灵的工作；他「完成他在地上的工作，并把恩典的圆满带给我们」。</w:t>
      </w:r>
      <w:r>
        <w:rPr>
          <w:rStyle w:val="FootnoteReference"/>
        </w:rPr>
        <w:footnoteReference w:id="4140"/>
      </w:r>
    </w:p>
    <w:p>
      <w:pPr>
        <w:pStyle w:val="BodyText"/>
      </w:pPr>
      <w:r>
        <w:t xml:space="preserve">「因为神的国不在乎吃喝，只在乎公义、和平，并圣灵中的喜乐。」</w:t>
      </w:r>
      <w:r>
        <w:rPr>
          <w:rStyle w:val="FootnoteReference"/>
        </w:rPr>
        <w:footnoteReference w:id="4141"/>
      </w:r>
      <w:r>
        <w:t xml:space="preserve">我们所生活的末世时期，是圣灵倾注的时代。自五旬节以来，「肉体」与圣灵之间展开了一场决定性的争战。</w:t>
      </w:r>
      <w:r>
        <w:rPr>
          <w:rStyle w:val="FootnoteReference"/>
        </w:rPr>
        <w:footnoteReference w:id="4142"/>
      </w:r>
    </w:p>
    <w:p>
      <w:pPr>
        <w:pStyle w:val="BlockText"/>
      </w:pPr>
      <w:r>
        <w:t xml:space="preserve">只有清洁的灵魂才能勇敢地说：「愿你的国降临。」那听过保罗说「所以，不要容罪在你们必死的身上作王」的人，并在行为、思想与言语上洁净了自己，就会对神说：「愿你的国降临！」</w:t>
      </w:r>
      <w:r>
        <w:rPr>
          <w:rStyle w:val="FootnoteReference"/>
        </w:rPr>
        <w:footnoteReference w:id="4143"/>
      </w:r>
    </w:p>
    <w:p>
      <w:pPr>
        <w:pStyle w:val="FirstParagraph"/>
      </w:pPr>
      <w:r>
        <w:t xml:space="preserve">基督徒必须按圣灵来辨别：区分神统治的增长，与他们所参与其中的文化与社会的进步。这种区分并不是分离。人对永生的圣召并不取消、反而强化他在这世界中实践的责任：把造物主所赐的力量与手段付诸行动，以服务正义与和平。</w:t>
      </w:r>
      <w:r>
        <w:rPr>
          <w:rStyle w:val="FootnoteReference"/>
        </w:rPr>
        <w:footnoteReference w:id="4144"/>
      </w:r>
    </w:p>
    <w:p>
      <w:pPr>
        <w:pStyle w:val="BodyText"/>
      </w:pPr>
      <w:r>
        <w:t xml:space="preserve">这项祈求在耶稣的祈祷中被接纳并蒙应允；耶稣的祈祷在圣餐中临在并发挥功效，并在符合八福的新生活中结出果实。</w:t>
      </w:r>
      <w:r>
        <w:rPr>
          <w:rStyle w:val="FootnoteReference"/>
        </w:rPr>
        <w:footnoteReference w:id="4145"/>
      </w:r>
    </w:p>
    <w:bookmarkEnd w:id="4146"/>
    <w:bookmarkStart w:id="4161" w:name="三愿你的旨意行在地上如同行在天上"/>
    <w:p>
      <w:pPr>
        <w:pStyle w:val="Heading4"/>
      </w:pPr>
      <w:r>
        <w:t xml:space="preserve">三、「愿你的旨意行在地上，如同行在天上」</w:t>
      </w:r>
    </w:p>
    <w:p>
      <w:pPr>
        <w:pStyle w:val="FirstParagraph"/>
      </w:pPr>
      <w:r>
        <w:t xml:space="preserve">「神我们救主……愿意万人得救，明白真道。」</w:t>
      </w:r>
      <w:r>
        <w:rPr>
          <w:rStyle w:val="FootnoteReference"/>
        </w:rPr>
        <w:footnoteReference w:id="4147"/>
      </w:r>
      <w:r>
        <w:t xml:space="preserve">他「不愿有一人沉沦，乃愿人人都悔改」。</w:t>
      </w:r>
      <w:r>
        <w:rPr>
          <w:rStyle w:val="FootnoteReference"/>
        </w:rPr>
        <w:footnoteReference w:id="4148"/>
      </w:r>
      <w:r>
        <w:t xml:space="preserve">他的诫命是：「我赐给你们一条新命令，乃是叫你们彼此相爱；我怎样爱你们，你们也要怎样相爱。」</w:t>
      </w:r>
      <w:r>
        <w:rPr>
          <w:rStyle w:val="FootnoteReference"/>
        </w:rPr>
        <w:footnoteReference w:id="4149"/>
      </w:r>
      <w:r>
        <w:t xml:space="preserve">这诫命总括其他一切诫命，并表达他全部的旨意。</w:t>
      </w:r>
    </w:p>
    <w:p>
      <w:pPr>
        <w:pStyle w:val="BodyText"/>
      </w:pPr>
      <w:r>
        <w:t xml:space="preserve">他已经使我们知道「他旨意的奥秘」，并且「要照所安排的，在日期满足的时候，使天上地上一切所有的，都在基督里面同归于一」。</w:t>
      </w:r>
      <w:r>
        <w:rPr>
          <w:rStyle w:val="FootnoteReference"/>
        </w:rPr>
        <w:footnoteReference w:id="4150"/>
      </w:r>
      <w:r>
        <w:t xml:space="preserve">我们既被告知「他旨意的奥秘」，就祈求能完成我们的圣召。</w:t>
      </w:r>
    </w:p>
    <w:p>
      <w:pPr>
        <w:pStyle w:val="BodyText"/>
      </w:pPr>
      <w:r>
        <w:t xml:space="preserve">在基督里，并借着他的人性意志，父的旨意一次而永远地被完美成全。耶稣进入世界时说：「神啊，我来了，为要照你的旨意行。」</w:t>
      </w:r>
      <w:r>
        <w:rPr>
          <w:rStyle w:val="FootnoteReference"/>
        </w:rPr>
        <w:footnoteReference w:id="4151"/>
      </w:r>
      <w:r>
        <w:t xml:space="preserve">只有耶稣能说：「因为我常做他所喜悦的事。」</w:t>
      </w:r>
      <w:r>
        <w:rPr>
          <w:rStyle w:val="FootnoteReference"/>
        </w:rPr>
        <w:footnoteReference w:id="4152"/>
      </w:r>
      <w:r>
        <w:t xml:space="preserve">在他痛苦挣扎的祈祷中，他完全同意这旨意：「不要成就我的意思，只要成就你的意思。」</w:t>
      </w:r>
      <w:r>
        <w:rPr>
          <w:rStyle w:val="FootnoteReference"/>
        </w:rPr>
        <w:footnoteReference w:id="4153"/>
      </w:r>
      <w:r>
        <w:t xml:space="preserve">因此，「基督照我们父神的旨意为我们的罪舍己，要救我们脱离这罪恶的世代。」</w:t>
      </w:r>
      <w:r>
        <w:rPr>
          <w:rStyle w:val="FootnoteReference"/>
        </w:rPr>
        <w:footnoteReference w:id="4154"/>
      </w:r>
      <w:r>
        <w:t xml:space="preserve">「我们凭这旨意，靠耶稣基督只一次献上他的身体，就得以成圣。」</w:t>
      </w:r>
      <w:r>
        <w:rPr>
          <w:rStyle w:val="FootnoteReference"/>
        </w:rPr>
        <w:footnoteReference w:id="4155"/>
      </w:r>
    </w:p>
    <w:p>
      <w:pPr>
        <w:pStyle w:val="BodyText"/>
      </w:pPr>
      <w:r>
        <w:t xml:space="preserve">「他虽然为儿子，还是因所受的苦难学了顺从。」</w:t>
      </w:r>
      <w:r>
        <w:rPr>
          <w:rStyle w:val="FootnoteReference"/>
        </w:rPr>
        <w:footnoteReference w:id="4156"/>
      </w:r>
      <w:r>
        <w:t xml:space="preserve">我们这些有罪的受造物，就更该学习顺从——我们在他里面已成了被收纳的儿女。我们求我们的父使我们的意志与他子的意志合一，好完成父的旨意，完成他为世界生命所定的救恩计划。我们从根本上做不到这一点；但若与耶稣联合，并藉他圣灵的能力，我们就能把自己的意志交给他，并决定选择他子一直所选择的：去做父所喜悦的事。</w:t>
      </w:r>
      <w:r>
        <w:rPr>
          <w:rStyle w:val="FootnoteReference"/>
        </w:rPr>
        <w:footnoteReference w:id="4157"/>
      </w:r>
    </w:p>
    <w:p>
      <w:pPr>
        <w:pStyle w:val="BodyText"/>
      </w:pPr>
      <w:r>
        <w:t xml:space="preserve">借着祈祷，我们能辨别「神的旨意」，并获得实行它的忍耐。</w:t>
      </w:r>
      <w:r>
        <w:rPr>
          <w:rStyle w:val="FootnoteReference"/>
        </w:rPr>
        <w:footnoteReference w:id="4158"/>
      </w:r>
      <w:r>
        <w:t xml:space="preserve">耶稣教导我们：人进入天国不是靠说话，而是靠遵行「我天父旨意」。</w:t>
      </w:r>
      <w:r>
        <w:rPr>
          <w:rStyle w:val="FootnoteReference"/>
        </w:rPr>
        <w:footnoteReference w:id="4159"/>
      </w:r>
    </w:p>
    <w:p>
      <w:pPr>
        <w:pStyle w:val="BodyText"/>
      </w:pPr>
      <w:r>
        <w:t xml:space="preserve">「我们知道神不听罪人，惟有敬奉神，遵行他旨意的，神才听他。」</w:t>
      </w:r>
      <w:r>
        <w:rPr>
          <w:rStyle w:val="FootnoteReference"/>
        </w:rPr>
        <w:footnoteReference w:id="4160"/>
      </w:r>
      <w:r>
        <w:t xml:space="preserve">这就是教会奉主之名祈祷的能力，尤其是在圣餐中。</w:t>
      </w:r>
    </w:p>
    <w:bookmarkEnd w:id="4161"/>
    <w:bookmarkStart w:id="4182" w:name="四我们日用的饮食今日赐给我们"/>
    <w:p>
      <w:pPr>
        <w:pStyle w:val="Heading4"/>
      </w:pPr>
      <w:r>
        <w:t xml:space="preserve">四、「我们日用的饮食，今日赐给我们」</w:t>
      </w:r>
    </w:p>
    <w:p>
      <w:pPr>
        <w:pStyle w:val="FirstParagraph"/>
      </w:pPr>
      <w:r>
        <w:t xml:space="preserve">「赐给我们」：儿女信赖父，凡事仰望他，这是美的。「因为他叫日头照好人，也照歹人；降雨给义人，也给不义的人。」</w:t>
      </w:r>
      <w:r>
        <w:rPr>
          <w:rStyle w:val="FootnoteReference"/>
        </w:rPr>
        <w:footnoteReference w:id="4162"/>
      </w:r>
      <w:r>
        <w:t xml:space="preserve">他把食物赐给一切活物，「你随时给他们食物」。</w:t>
      </w:r>
      <w:r>
        <w:rPr>
          <w:rStyle w:val="FootnoteReference"/>
        </w:rPr>
        <w:footnoteReference w:id="4163"/>
      </w:r>
      <w:r>
        <w:t xml:space="preserve">耶稣教我们这样祈求，因为这祈求光荣我们的父：承认他那超越一切的良善。</w:t>
      </w:r>
    </w:p>
    <w:p>
      <w:pPr>
        <w:pStyle w:val="BodyText"/>
      </w:pPr>
      <w:r>
        <w:t xml:space="preserve">「赐给我们」也表达约。我们属于他，他也属于我们，为我们的缘故。但这「我们」也承认他是所有人的父；我们为众人向他祈祷，与他们的需要和痛苦同心。</w:t>
      </w:r>
    </w:p>
    <w:p>
      <w:pPr>
        <w:pStyle w:val="BodyText"/>
      </w:pPr>
      <w:r>
        <w:t xml:space="preserve">「我们的饮食」：赐我们生命的父，必不会不把生命所需的滋养赐给我们——一切合宜的美善与祝福，包括物质的与属灵的。在登山宝训中，耶稣强调那与父的护理同工的儿女般信赖。</w:t>
      </w:r>
      <w:r>
        <w:rPr>
          <w:rStyle w:val="FootnoteReference"/>
        </w:rPr>
        <w:footnoteReference w:id="4164"/>
      </w:r>
      <w:r>
        <w:t xml:space="preserve">他不是邀请我们懒惰不作工，</w:t>
      </w:r>
      <w:r>
        <w:rPr>
          <w:rStyle w:val="FootnoteReference"/>
        </w:rPr>
        <w:footnoteReference w:id="4165"/>
      </w:r>
      <w:r>
        <w:t xml:space="preserve">而是要把我们从纠缠不休的忧虑与挂心中释放出来。这就是神儿女的交托：</w:t>
      </w:r>
    </w:p>
    <w:p>
      <w:pPr>
        <w:pStyle w:val="BlockText"/>
      </w:pPr>
      <w:r>
        <w:t xml:space="preserve">他应许把一切其他的都加给那寻求神的国和他的义的人。既然万有都属于神，拥有神的人就无所缺乏，除非他自己在神面前被发现有所缺欠。</w:t>
      </w:r>
      <w:r>
        <w:rPr>
          <w:rStyle w:val="FootnoteReference"/>
        </w:rPr>
        <w:footnoteReference w:id="4166"/>
      </w:r>
    </w:p>
    <w:p>
      <w:pPr>
        <w:pStyle w:val="FirstParagraph"/>
      </w:pPr>
      <w:r>
        <w:t xml:space="preserve">但那些因缺少食物而饥饿的人在我们中间的存在，又开启了这项祈求的另一层深意。世界饥饿的戏剧，呼唤那些真诚祈祷的基督徒，对自己的弟兄承担责任：既在个人行为上，也在与人类大家庭的团结互助上。主祷文的这项祈求不能与关于穷人拉撒路和末日审判的比喻割裂开来。</w:t>
      </w:r>
      <w:r>
        <w:rPr>
          <w:rStyle w:val="FootnoteReference"/>
        </w:rPr>
        <w:footnoteReference w:id="4167"/>
      </w:r>
    </w:p>
    <w:p>
      <w:pPr>
        <w:pStyle w:val="BodyText"/>
      </w:pPr>
      <w:r>
        <w:t xml:space="preserve">如同面团里的酵，天国的新意应当借着基督之灵使大地「发起来」。</w:t>
      </w:r>
      <w:r>
        <w:rPr>
          <w:rStyle w:val="FootnoteReference"/>
        </w:rPr>
        <w:footnoteReference w:id="4168"/>
      </w:r>
      <w:r>
        <w:t xml:space="preserve">这必须通过在个人与社会、经济与国际关系中建立正义来显明，而且永远不可忘记：没有人愿意成为正义的人，就不会有正义的结构。</w:t>
      </w:r>
    </w:p>
    <w:p>
      <w:pPr>
        <w:pStyle w:val="BodyText"/>
      </w:pPr>
      <w:r>
        <w:t xml:space="preserve">「我们的」饼，是「许多人」共享的「一个」饼。在八福中，「贫穷」是一种分享的德行：它呼召我们把物质和属灵的财富传递并分享出去，不是出于强迫，而是出于爱，好叫一些人的富足能弥补另一些人的需要。</w:t>
      </w:r>
      <w:r>
        <w:rPr>
          <w:rStyle w:val="FootnoteReference"/>
        </w:rPr>
        <w:footnoteReference w:id="4169"/>
      </w:r>
    </w:p>
    <w:p>
      <w:pPr>
        <w:pStyle w:val="BodyText"/>
      </w:pPr>
      <w:r>
        <w:t xml:space="preserve">「祈祷并工作。」</w:t>
      </w:r>
      <w:r>
        <w:rPr>
          <w:rStyle w:val="FootnoteReference"/>
        </w:rPr>
        <w:footnoteReference w:id="4170"/>
      </w:r>
      <w:r>
        <w:t xml:space="preserve">「祈祷时要像一切都仰赖神一样，工作时要像一切都仰赖你一样。」</w:t>
      </w:r>
      <w:r>
        <w:rPr>
          <w:rStyle w:val="FootnoteReference"/>
        </w:rPr>
        <w:footnoteReference w:id="4171"/>
      </w:r>
      <w:r>
        <w:t xml:space="preserve">即使我们已经做完了工作，我们领受的饮食仍是父的恩赐；向他祈求并感谢他是好的，就像基督徒家庭在用餐前谢恩时所做的那样。</w:t>
      </w:r>
    </w:p>
    <w:p>
      <w:pPr>
        <w:pStyle w:val="BodyText"/>
      </w:pPr>
      <w:r>
        <w:t xml:space="preserve">这项祈求以及其中包含的责任，也适用于另一种使人走向灭亡的饥饿：「人活着不是单靠食物，乃是靠……耶和华口里所出的一切话。」</w:t>
      </w:r>
      <w:r>
        <w:rPr>
          <w:rStyle w:val="FootnoteReference"/>
        </w:rPr>
        <w:footnoteReference w:id="4172"/>
      </w:r>
      <w:r>
        <w:t xml:space="preserve">也就是靠他所说的道，和他所吹出的灵。基督徒必须尽一切努力「向贫穷人传福音」。地上有饥荒，「非因无饼，非因无水，乃因不听耶和华的话」。</w:t>
      </w:r>
      <w:r>
        <w:rPr>
          <w:rStyle w:val="FootnoteReference"/>
        </w:rPr>
        <w:footnoteReference w:id="4173"/>
      </w:r>
      <w:r>
        <w:t xml:space="preserve">因此，这第四项祈求在特别属于基督徒的意义上，关乎生命之粮：以信心领受的神的道，以及在圣餐中领受的基督的身体。</w:t>
      </w:r>
      <w:r>
        <w:rPr>
          <w:rStyle w:val="FootnoteReference"/>
        </w:rPr>
        <w:footnoteReference w:id="4174"/>
      </w:r>
    </w:p>
    <w:p>
      <w:pPr>
        <w:pStyle w:val="BodyText"/>
      </w:pPr>
      <w:r>
        <w:t xml:space="preserve">「今日」也是主教导我们的信赖表达，</w:t>
      </w:r>
      <w:r>
        <w:rPr>
          <w:rStyle w:val="FootnoteReference"/>
        </w:rPr>
        <w:footnoteReference w:id="4175"/>
      </w:r>
      <w:r>
        <w:t xml:space="preserve">这是我们绝不会自己想到要发明的表达。既然它首先指向他的道和他子的身体，那么，这「今日」不只是我们必死的时间的今日，也是神的「今日」。</w:t>
      </w:r>
    </w:p>
    <w:p>
      <w:pPr>
        <w:pStyle w:val="BlockText"/>
      </w:pPr>
      <w:r>
        <w:t xml:space="preserve">你若每日领受这饼，那么每日对你来说都是今日。若基督今日属于你，他就每日为你复活。这怎么可能呢？「你是我的儿子，我今日生你。」因此，「今日」就是基督复活的日子。</w:t>
      </w:r>
      <w:r>
        <w:rPr>
          <w:rStyle w:val="FootnoteReference"/>
        </w:rPr>
        <w:footnoteReference w:id="4176"/>
      </w:r>
    </w:p>
    <w:p>
      <w:pPr>
        <w:pStyle w:val="FirstParagraph"/>
      </w:pPr>
      <w:r>
        <w:t xml:space="preserve">「日用的」（</w:t>
      </w:r>
      <w:r>
        <w:rPr>
          <w:i/>
          <w:iCs/>
        </w:rPr>
        <w:t xml:space="preserve">epiousios</w:t>
      </w:r>
      <w:r>
        <w:t xml:space="preserve">）在新约中别处不出现。若从时间意义理解，这个词就是对「今日」的教导式重复，</w:t>
      </w:r>
      <w:r>
        <w:rPr>
          <w:rStyle w:val="FootnoteReference"/>
        </w:rPr>
        <w:footnoteReference w:id="4177"/>
      </w:r>
      <w:r>
        <w:t xml:space="preserve">好坚固我们「毫无保留」的信赖。若从性质意义理解，它指生活所必需的东西，更广泛地说，也指一切足以维持生存的美善。</w:t>
      </w:r>
      <w:r>
        <w:rPr>
          <w:rStyle w:val="FootnoteReference"/>
        </w:rPr>
        <w:footnoteReference w:id="4178"/>
      </w:r>
      <w:r>
        <w:t xml:space="preserve">若按字面理解（</w:t>
      </w:r>
      <w:r>
        <w:rPr>
          <w:i/>
          <w:iCs/>
        </w:rPr>
        <w:t xml:space="preserve">epi-ousios</w:t>
      </w:r>
      <w:r>
        <w:t xml:space="preserve">：「超本质的」），它直接指向生命之粮：基督的身体，也就是那「不朽的良药」；没有它，我们里面就没有生命。</w:t>
      </w:r>
      <w:r>
        <w:rPr>
          <w:rStyle w:val="FootnoteReference"/>
        </w:rPr>
        <w:footnoteReference w:id="4179"/>
      </w:r>
      <w:r>
        <w:t xml:space="preserve">最后，在这个关联中，它属天的意义显而易见：「今日」就是主的日子，是天国宴席的日子；这日子在圣餐中被预尝，而圣餐已经是将来天国的前尝。因此，每日举行圣餐礼仪是合宜的。</w:t>
      </w:r>
    </w:p>
    <w:p>
      <w:pPr>
        <w:pStyle w:val="BlockText"/>
      </w:pPr>
      <w:r>
        <w:t xml:space="preserve">圣餐是我们的日用饮食。这食物的能力使它成为合一的纽带。因此，它的效果就被理解为合一：好叫我们聚集在他的身体里，成为他的肢体，并成为我们所领受的……这也是我们的日用饮食：你们每天在教会里听见的宣读，以及你们听见并歌唱的赞美诗。这一切都是我们旅途中所必需的。</w:t>
      </w:r>
      <w:r>
        <w:rPr>
          <w:rStyle w:val="FootnoteReference"/>
        </w:rPr>
        <w:footnoteReference w:id="4180"/>
      </w:r>
    </w:p>
    <w:p>
      <w:pPr>
        <w:pStyle w:val="BlockText"/>
      </w:pPr>
      <w:r>
        <w:t xml:space="preserve">天上的父催促我们这些属天的儿女，祈求天上的饼。［基督］自己就是这饼：在童贞女里被播种，在肉身中被兴起，在苦难中被揉合，在坟墓的炉中被烘焙，被保存在众教会中，被带到祭坛上，每日把天上的食物供给信徒。</w:t>
      </w:r>
      <w:r>
        <w:rPr>
          <w:rStyle w:val="FootnoteReference"/>
        </w:rPr>
        <w:footnoteReference w:id="4181"/>
      </w:r>
    </w:p>
    <w:bookmarkEnd w:id="4182"/>
    <w:bookmarkStart w:id="4200" w:name="五免我们的债如同我们免了人的债"/>
    <w:p>
      <w:pPr>
        <w:pStyle w:val="Heading4"/>
      </w:pPr>
      <w:r>
        <w:t xml:space="preserve">五、「免我们的债，如同我们免了人的债」</w:t>
      </w:r>
    </w:p>
    <w:p>
      <w:pPr>
        <w:pStyle w:val="FirstParagraph"/>
      </w:pPr>
      <w:r>
        <w:t xml:space="preserve">这项祈求令人惊讶。若它只包含前半句「免我们的债」，它或许已经可以隐含在主祷文的前三个祈求之中，因为基督的祭献是「使罪得赦免」。但按后半句，我们的祈求若不先满足一个严格的要求，就不会蒙垂听。我们的祈求指向未来，但我们的回应必须先出现，因为两部分由同一个词「如同」连接在一起。</w:t>
      </w:r>
    </w:p>
    <w:p>
      <w:pPr>
        <w:pStyle w:val="BodyText"/>
      </w:pPr>
      <w:r>
        <w:rPr>
          <w:b/>
          <w:bCs/>
        </w:rPr>
        <w:t xml:space="preserve">免我们的债……</w:t>
      </w:r>
    </w:p>
    <w:p>
      <w:pPr>
        <w:pStyle w:val="BodyText"/>
      </w:pPr>
      <w:r>
        <w:t xml:space="preserve">我们以勇敢的信赖开始向我们的父祈祷。我们恳求他的名被尊为圣，其实是在求他使我们自己不断更成圣。但尽管我们穿上了洗礼的礼服，我们仍不停犯罪，仍会转离神。如今，在这新的祈求中，我们像浪子一样回到他那里，并像税吏一样承认自己在他面前是罪人。</w:t>
      </w:r>
      <w:r>
        <w:rPr>
          <w:rStyle w:val="FootnoteReference"/>
        </w:rPr>
        <w:footnoteReference w:id="4183"/>
      </w:r>
      <w:r>
        <w:t xml:space="preserve">我们的祈求以对自己悲惨和他怜悯的「承认」开始。我们的盼望坚定，因为在他子里面，「我们得蒙救赎，罪过得以赦免」。</w:t>
      </w:r>
      <w:r>
        <w:rPr>
          <w:rStyle w:val="FootnoteReference"/>
        </w:rPr>
        <w:footnoteReference w:id="4184"/>
      </w:r>
      <w:r>
        <w:t xml:space="preserve">我们在他教会的圣事中找到他赦免那有效且无可置疑的记号。</w:t>
      </w:r>
      <w:r>
        <w:rPr>
          <w:rStyle w:val="FootnoteReference"/>
        </w:rPr>
        <w:footnoteReference w:id="4185"/>
      </w:r>
    </w:p>
    <w:p>
      <w:pPr>
        <w:pStyle w:val="BodyText"/>
      </w:pPr>
      <w:r>
        <w:t xml:space="preserve">现在——这令人畏惧——只要我们还没有饶恕那些得罪我们的人，这怜悯的倾注就无法进入我们的心。爱，如同基督的身体，是不可分割的；若我们不爱那看得见的弟兄姊妹，就不能爱那看不见的神。</w:t>
      </w:r>
      <w:r>
        <w:rPr>
          <w:rStyle w:val="FootnoteReference"/>
        </w:rPr>
        <w:footnoteReference w:id="4186"/>
      </w:r>
      <w:r>
        <w:t xml:space="preserve">当我们拒绝饶恕弟兄姊妹时，我们的心就关闭；心的刚硬使它对父慈悲的爱不再感受得到；但当我们承认自己的罪时，我们的心就向他的恩典打开。</w:t>
      </w:r>
    </w:p>
    <w:p>
      <w:pPr>
        <w:pStyle w:val="BodyText"/>
      </w:pPr>
      <w:r>
        <w:t xml:space="preserve">这项祈求如此重要，以至它是主在登山宝训中唯一回头再讲、并明确加以展开的祈求。</w:t>
      </w:r>
      <w:r>
        <w:rPr>
          <w:rStyle w:val="FootnoteReference"/>
        </w:rPr>
        <w:footnoteReference w:id="4187"/>
      </w:r>
      <w:r>
        <w:t xml:space="preserve">这对约的奥秘至关重要的要求，对人来说是不可能的。但「在神凡事都能」。</w:t>
      </w:r>
      <w:r>
        <w:rPr>
          <w:rStyle w:val="FootnoteReference"/>
        </w:rPr>
        <w:footnoteReference w:id="4188"/>
      </w:r>
    </w:p>
    <w:p>
      <w:pPr>
        <w:pStyle w:val="BodyText"/>
      </w:pPr>
      <w:r>
        <w:rPr>
          <w:b/>
          <w:bCs/>
        </w:rPr>
        <w:t xml:space="preserve">……如同我们免了人的债</w:t>
      </w:r>
    </w:p>
    <w:p>
      <w:pPr>
        <w:pStyle w:val="BodyText"/>
      </w:pPr>
      <w:r>
        <w:t xml:space="preserve">这个「如同」并不只出现在这里：耶稣也说「所以你们要完全，像你们的天父完全一样」；「你们要慈悲，像你们的父慈悲一样」；「我赐给你们一条新命令，乃是叫你们彼此相爱；我怎样爱你们，你们也要怎样相爱」。</w:t>
      </w:r>
      <w:r>
        <w:rPr>
          <w:rStyle w:val="FootnoteReference"/>
        </w:rPr>
        <w:footnoteReference w:id="4189"/>
      </w:r>
      <w:r>
        <w:t xml:space="preserve">从外面模仿神的榜样，是不可能遵守主诫命的；必须从内心深处得着一种有生命的参与：参与我们的神的圣洁、怜悯和爱。只有那使我们得生命的圣灵，才能使我们拥有那「基督耶稣的心」。</w:t>
      </w:r>
      <w:r>
        <w:rPr>
          <w:rStyle w:val="FootnoteReference"/>
        </w:rPr>
        <w:footnoteReference w:id="4190"/>
      </w:r>
      <w:r>
        <w:t xml:space="preserve">于是，饶恕的合一就成为可能，我们也会发现自己「彼此饶恕，正如神在基督里饶恕了你们一样」。</w:t>
      </w:r>
      <w:r>
        <w:rPr>
          <w:rStyle w:val="FootnoteReference"/>
        </w:rPr>
        <w:footnoteReference w:id="4191"/>
      </w:r>
    </w:p>
    <w:p>
      <w:pPr>
        <w:pStyle w:val="BodyText"/>
      </w:pPr>
      <w:r>
        <w:t xml:space="preserve">这样，主关于饶恕的话——那爱到底的爱——</w:t>
      </w:r>
      <w:r>
        <w:rPr>
          <w:rStyle w:val="FootnoteReference"/>
        </w:rPr>
        <w:footnoteReference w:id="4192"/>
      </w:r>
      <w:r>
        <w:t xml:space="preserve">就成为活的现实。那把主对教会共融的教导推向高潮的比喻，也就是不怜悯人的仆人的比喻，以这句话结束：「你们各人若不从心里饶恕你的弟兄，我天父也要这样待你们了。」</w:t>
      </w:r>
      <w:r>
        <w:rPr>
          <w:rStyle w:val="FootnoteReference"/>
        </w:rPr>
        <w:footnoteReference w:id="4193"/>
      </w:r>
      <w:r>
        <w:t xml:space="preserve">的确，就在「内心深处」，一切都被捆绑、也被释放。至于不去感觉、或不去记得一次冒犯，并不在我们的能力之内；但把自己交给圣灵的心，能把伤害转化为怜悯，也能净化记忆：把伤痛转化为代求。</w:t>
      </w:r>
    </w:p>
    <w:p>
      <w:pPr>
        <w:pStyle w:val="BodyText"/>
      </w:pPr>
      <w:r>
        <w:t xml:space="preserve">基督徒祈祷延伸到</w:t>
      </w:r>
      <w:r>
        <w:rPr>
          <w:i/>
          <w:iCs/>
        </w:rPr>
        <w:t xml:space="preserve">饶恕仇敌</w:t>
      </w:r>
      <w:r>
        <w:t xml:space="preserve">，</w:t>
      </w:r>
      <w:r>
        <w:rPr>
          <w:rStyle w:val="FootnoteReference"/>
        </w:rPr>
        <w:footnoteReference w:id="4194"/>
      </w:r>
      <w:r>
        <w:t xml:space="preserve">借此改变门徒，使他肖似他的师傅。饶恕是基督徒祈祷的高峰；只有与神的怜悯同调的心，才能领受祈祷的恩赐。饶恕也见证：在我们的世界里，爱比罪更强。昔日和今日的殉道者都为耶稣作这见证。饶恕是神儿女与父和好、人与人彼此和好的基本条件。</w:t>
      </w:r>
      <w:r>
        <w:rPr>
          <w:rStyle w:val="FootnoteReference"/>
        </w:rPr>
        <w:footnoteReference w:id="4195"/>
      </w:r>
    </w:p>
    <w:p>
      <w:pPr>
        <w:pStyle w:val="BodyText"/>
      </w:pPr>
      <w:r>
        <w:t xml:space="preserve">这种本质上出于神的饶恕，没有界限也没有尺度；</w:t>
      </w:r>
      <w:r>
        <w:rPr>
          <w:rStyle w:val="FootnoteReference"/>
        </w:rPr>
        <w:footnoteReference w:id="4196"/>
      </w:r>
      <w:r>
        <w:t xml:space="preserve">不管我们像路加（11:4）那样说「罪」，还是像马太（6:12）那样说「债」。我们永远是欠债的人：「凡事都不可亏欠人，惟有彼此相爱要常以为亏欠。」</w:t>
      </w:r>
      <w:r>
        <w:rPr>
          <w:rStyle w:val="FootnoteReference"/>
        </w:rPr>
        <w:footnoteReference w:id="4197"/>
      </w:r>
      <w:r>
        <w:t xml:space="preserve">三位一体的共融，是一切关系中真理的源头与准则。这共融在祈祷中被活出来，尤其在圣餐中。</w:t>
      </w:r>
      <w:r>
        <w:rPr>
          <w:rStyle w:val="FootnoteReference"/>
        </w:rPr>
        <w:footnoteReference w:id="4198"/>
      </w:r>
    </w:p>
    <w:p>
      <w:pPr>
        <w:pStyle w:val="BlockText"/>
      </w:pPr>
      <w:r>
        <w:t xml:space="preserve">神不接纳制造分裂者的祭献，却命令他离开祭坛，好叫他先与弟兄和好。因为神只能藉着带来和平的祈祷被平息。对神来说，更好的奉献是和平、弟兄之间的同心，以及一个在父、子、圣灵合一中合而为一的子民。</w:t>
      </w:r>
      <w:r>
        <w:rPr>
          <w:rStyle w:val="FootnoteReference"/>
        </w:rPr>
        <w:footnoteReference w:id="4199"/>
      </w:r>
    </w:p>
    <w:bookmarkEnd w:id="4200"/>
    <w:bookmarkStart w:id="4213" w:name="六不叫我们遇见试探"/>
    <w:p>
      <w:pPr>
        <w:pStyle w:val="Heading4"/>
      </w:pPr>
      <w:r>
        <w:t xml:space="preserve">六、「不叫我们遇见试探」</w:t>
      </w:r>
    </w:p>
    <w:p>
      <w:pPr>
        <w:pStyle w:val="FirstParagraph"/>
      </w:pPr>
      <w:r>
        <w:t xml:space="preserve">「这项祈求触及前一项祈求的根源，因为我们的罪出自我们对试探的同意」；因此我们求我们的父不要「带领」我们进入试探。用一个中文词很难翻译这里的希腊动词：它的意思既包括「不要让我们进入试探」，也包括「不要让我们向试探屈服」。「神不能被恶试探，他也不试探人」；</w:t>
      </w:r>
      <w:r>
        <w:rPr>
          <w:rStyle w:val="FootnoteReference"/>
        </w:rPr>
        <w:footnoteReference w:id="4201"/>
      </w:r>
      <w:r>
        <w:t xml:space="preserve">相反，他愿意使我们脱离凶恶。我们求他不要让我们走上那条通向罪的道路。我们卷入一场「肉体与圣灵」之间的争战；这项祈求恳求赐下分辨与力量的圣灵。</w:t>
      </w:r>
    </w:p>
    <w:p>
      <w:pPr>
        <w:pStyle w:val="BodyText"/>
      </w:pPr>
      <w:r>
        <w:t xml:space="preserve">圣灵使我们</w:t>
      </w:r>
      <w:r>
        <w:rPr>
          <w:i/>
          <w:iCs/>
        </w:rPr>
        <w:t xml:space="preserve">分辨</w:t>
      </w:r>
      <w:r>
        <w:t xml:space="preserve">试炼与试探。试炼对内在人格的成长是必要的；</w:t>
      </w:r>
      <w:r>
        <w:rPr>
          <w:rStyle w:val="FootnoteReference"/>
        </w:rPr>
        <w:footnoteReference w:id="4202"/>
      </w:r>
      <w:r>
        <w:t xml:space="preserve">试探却引向罪与死亡。</w:t>
      </w:r>
      <w:r>
        <w:rPr>
          <w:rStyle w:val="FootnoteReference"/>
        </w:rPr>
        <w:footnoteReference w:id="4203"/>
      </w:r>
      <w:r>
        <w:t xml:space="preserve">我们也必须分辨被试探与同意试探。最后，分辨揭穿试探的谎言：试探的对象看起来是善的，是「悦人的眼目」，并且令人渴望，</w:t>
      </w:r>
      <w:r>
        <w:rPr>
          <w:rStyle w:val="FootnoteReference"/>
        </w:rPr>
        <w:footnoteReference w:id="4204"/>
      </w:r>
      <w:r>
        <w:t xml:space="preserve">但实际上它的果子是死亡。</w:t>
      </w:r>
    </w:p>
    <w:p>
      <w:pPr>
        <w:pStyle w:val="BlockText"/>
      </w:pPr>
      <w:r>
        <w:t xml:space="preserve">神不愿强迫人去行善，而愿意人是自由的……试探有其用处。除了神，没有人知道我们的灵魂从他领受了什么，连我们自己也不知道。但试探把它显露出来，为要教导我们认识自己；这样，我们就发现自己恶的倾向，并被迫为试探所显露给我们的善而感谢。</w:t>
      </w:r>
      <w:r>
        <w:rPr>
          <w:rStyle w:val="FootnoteReference"/>
        </w:rPr>
        <w:footnoteReference w:id="4205"/>
      </w:r>
    </w:p>
    <w:p>
      <w:pPr>
        <w:pStyle w:val="FirstParagraph"/>
      </w:pPr>
      <w:r>
        <w:t xml:space="preserve">「不叫我们遇见试探」意味着</w:t>
      </w:r>
      <w:r>
        <w:rPr>
          <w:i/>
          <w:iCs/>
        </w:rPr>
        <w:t xml:space="preserve">内心的决定</w:t>
      </w:r>
      <w:r>
        <w:t xml:space="preserve">：「因为你的财宝在哪里，你的心也在那里……一个人不能事奉两个主。」</w:t>
      </w:r>
      <w:r>
        <w:rPr>
          <w:rStyle w:val="FootnoteReference"/>
        </w:rPr>
        <w:footnoteReference w:id="4206"/>
      </w:r>
      <w:r>
        <w:t xml:space="preserve">「我们若是靠圣灵得生，就当靠圣灵行事。」</w:t>
      </w:r>
      <w:r>
        <w:rPr>
          <w:rStyle w:val="FootnoteReference"/>
        </w:rPr>
        <w:footnoteReference w:id="4207"/>
      </w:r>
      <w:r>
        <w:t xml:space="preserve">在这种对圣灵的同意中，父赐给我们力量：「你们所遇见的试探，无非是人所能受的。神是信实的，必不叫你们受试探过于所能受的；在受试探的时候，总要给你们开一条出路，叫你们能忍受得住。」</w:t>
      </w:r>
      <w:r>
        <w:rPr>
          <w:rStyle w:val="FootnoteReference"/>
        </w:rPr>
        <w:footnoteReference w:id="4208"/>
      </w:r>
    </w:p>
    <w:p>
      <w:pPr>
        <w:pStyle w:val="BodyText"/>
      </w:pPr>
      <w:r>
        <w:t xml:space="preserve">这样的争战与这样的胜利，唯有借着祈祷才可能。耶稣借着祈祷战胜诱惑者：无论在他公开使命的开始，还是在他痛苦挣扎的最终争战中。</w:t>
      </w:r>
      <w:r>
        <w:rPr>
          <w:rStyle w:val="FootnoteReference"/>
        </w:rPr>
        <w:footnoteReference w:id="4209"/>
      </w:r>
      <w:r>
        <w:t xml:space="preserve">在向我们天父所作的这项祈求中，基督把我们带进他的争战与他的痛苦挣扎。他催促我们在与他自己的共融中，保持</w:t>
      </w:r>
      <w:r>
        <w:rPr>
          <w:i/>
          <w:iCs/>
        </w:rPr>
        <w:t xml:space="preserve">心的警醒</w:t>
      </w:r>
      <w:r>
        <w:t xml:space="preserve">。警醒就是「守护内心」，耶稣为我们向父祈祷说：「求你因你所赐给我的名保守他们。」</w:t>
      </w:r>
      <w:r>
        <w:rPr>
          <w:rStyle w:val="FootnoteReference"/>
        </w:rPr>
        <w:footnoteReference w:id="4210"/>
      </w:r>
      <w:r>
        <w:t xml:space="preserve">圣灵不断唤醒我们守望。</w:t>
      </w:r>
      <w:r>
        <w:rPr>
          <w:rStyle w:val="FootnoteReference"/>
        </w:rPr>
        <w:footnoteReference w:id="4211"/>
      </w:r>
      <w:r>
        <w:t xml:space="preserve">最后，这项祈求在关系到我们今世争战的最后试探时，获得全部戏剧性的意义；它是在求</w:t>
      </w:r>
      <w:r>
        <w:rPr>
          <w:i/>
          <w:iCs/>
        </w:rPr>
        <w:t xml:space="preserve">坚持到底</w:t>
      </w:r>
      <w:r>
        <w:t xml:space="preserve">的恩典。「看哪，我来像贼一样。那儆醒、看守衣服的有福了！」</w:t>
      </w:r>
      <w:r>
        <w:rPr>
          <w:rStyle w:val="FootnoteReference"/>
        </w:rPr>
        <w:footnoteReference w:id="4212"/>
      </w:r>
    </w:p>
    <w:bookmarkEnd w:id="4213"/>
    <w:bookmarkStart w:id="4220" w:name="七救我们脱离凶恶"/>
    <w:p>
      <w:pPr>
        <w:pStyle w:val="Heading4"/>
      </w:pPr>
      <w:r>
        <w:t xml:space="preserve">七、「救我们脱离凶恶」</w:t>
      </w:r>
    </w:p>
    <w:p>
      <w:pPr>
        <w:pStyle w:val="FirstParagraph"/>
      </w:pPr>
      <w:r>
        <w:t xml:space="preserve">当我们说「救我们脱离凶恶」时，我们是在求我们的父不要让我们走上那条通向罪的道路。这项祈求恳求他保护我们脱离那恶者。</w:t>
      </w:r>
    </w:p>
    <w:p>
      <w:pPr>
        <w:pStyle w:val="BodyText"/>
      </w:pPr>
      <w:r>
        <w:t xml:space="preserve">在这项祈求中，凶恶不是一个抽象概念，而指一个位格：撒但，那恶者，那反对神的天使。魔鬼（</w:t>
      </w:r>
      <w:r>
        <w:rPr>
          <w:i/>
          <w:iCs/>
        </w:rPr>
        <w:t xml:space="preserve">dia-bolos</w:t>
      </w:r>
      <w:r>
        <w:t xml:space="preserve">）就是那位「横在」神的计划和他在基督里完成的救恩工作前的人。</w:t>
      </w:r>
    </w:p>
    <w:p>
      <w:pPr>
        <w:pStyle w:val="BodyText"/>
      </w:pPr>
      <w:r>
        <w:t xml:space="preserve">撒但是「从起初是杀人的……本来是说谎的，也是说谎之人的父」，也是「迷惑普天下的」。</w:t>
      </w:r>
      <w:r>
        <w:rPr>
          <w:rStyle w:val="FootnoteReference"/>
        </w:rPr>
        <w:footnoteReference w:id="4214"/>
      </w:r>
      <w:r>
        <w:t xml:space="preserve">借着他，罪与死亡进入世界；借着他最终的失败，全受造界将「脱离罪与死亡的败坏」。</w:t>
      </w:r>
      <w:r>
        <w:rPr>
          <w:rStyle w:val="FootnoteReference"/>
        </w:rPr>
        <w:footnoteReference w:id="4215"/>
      </w:r>
      <w:r>
        <w:t xml:space="preserve">如今，「凡从神生的，必不犯罪，从神生的，必保守自己，那恶者也就无法害他。我们知道我们是属神的，全世界都卧在那恶者手下。」</w:t>
      </w:r>
      <w:r>
        <w:rPr>
          <w:rStyle w:val="FootnoteReference"/>
        </w:rPr>
        <w:footnoteReference w:id="4216"/>
      </w:r>
    </w:p>
    <w:p>
      <w:pPr>
        <w:pStyle w:val="BodyText"/>
      </w:pPr>
      <w:r>
        <w:t xml:space="preserve">对「这世界的王」的胜利，在耶稣那时辰里一次而永远地赢得：那时，耶稣甘心把自己交付于死，为要把他的生命赐给我们。这就是对世界的审判，这世界的王被「赶出去」。</w:t>
      </w:r>
      <w:r>
        <w:rPr>
          <w:rStyle w:val="FootnoteReference"/>
        </w:rPr>
        <w:footnoteReference w:id="4217"/>
      </w:r>
    </w:p>
    <w:p>
      <w:pPr>
        <w:pStyle w:val="BlockText"/>
      </w:pPr>
      <w:r>
        <w:t xml:space="preserve">「我们恳切求神救我们脱离一切凶恶，包括现在的、过去的、将来的；这请求总括了我们一切的祈求，也表明我们把自己交托在神的手中。」</w:t>
      </w:r>
      <w:r>
        <w:rPr>
          <w:rStyle w:val="FootnoteReference"/>
        </w:rPr>
        <w:footnoteReference w:id="4218"/>
      </w:r>
    </w:p>
    <w:p>
      <w:pPr>
        <w:pStyle w:val="FirstParagraph"/>
      </w:pPr>
      <w:r>
        <w:t xml:space="preserve">当我们求救我们脱离那恶者时，我们也在求从一切凶恶中得释放：现在的、过去的、将来的——他是这些凶恶的始作俑者或煽动者。在这最后的祈求中，教会把世界的一切苦难带到父面前。她在求从压倒人类的灾祸中得释放的同时，也恳求那宝贵的和平恩赐，以及在等待基督再来时坚持到底的恩典。教会这样祈祷，就是在信心的谦卑中预先期待：所有人与一切都要在那位「拿着死亡和阴间的钥匙」者里面被聚集，那位「昔在、今在、以后永在」的全能者。</w:t>
      </w:r>
      <w:r>
        <w:rPr>
          <w:rStyle w:val="FootnoteReference"/>
        </w:rPr>
        <w:footnoteReference w:id="4219"/>
      </w:r>
    </w:p>
    <w:p>
      <w:r>
        <w:br w:type="page"/>
      </w:r>
    </w:p>
    <w:bookmarkEnd w:id="4220"/>
    <w:bookmarkEnd w:id="4221"/>
    <w:bookmarkStart w:id="4227" w:name="第四条最后的光荣颂"/>
    <w:p>
      <w:pPr>
        <w:pStyle w:val="Heading3"/>
      </w:pPr>
      <w:r>
        <w:t xml:space="preserve">第四条：最后的光荣颂</w:t>
      </w:r>
    </w:p>
    <w:p>
      <w:pPr>
        <w:pStyle w:val="FirstParagraph"/>
      </w:pPr>
      <w:r>
        <w:t xml:space="preserve">最后的光荣颂：「因为国度、权柄、荣耀都是你的，直到永远」，以总括的方式重新收纳了向我们的父所作的前三个祈求：他名的光荣，他统治的来临，以及他施行救恩之旨意的能力。但这些祈求如今如同在天上礼仪中一样，被宣告为朝拜与感恩。</w:t>
      </w:r>
      <w:r>
        <w:rPr>
          <w:rStyle w:val="FootnoteReference"/>
        </w:rPr>
        <w:footnoteReference w:id="4222"/>
      </w:r>
      <w:r>
        <w:t xml:space="preserve">这世界的王用谎言把「王权、能力、荣耀」这三个称号归给自己。</w:t>
      </w:r>
      <w:r>
        <w:rPr>
          <w:rStyle w:val="FootnoteReference"/>
        </w:rPr>
        <w:footnoteReference w:id="4223"/>
      </w:r>
      <w:r>
        <w:t xml:space="preserve">基督主把它们恢复给他的父，也就是我们的父，直到当救恩奥秘得以完成时，他把国交给父，而神在万物之上，为万物之主。</w:t>
      </w:r>
      <w:r>
        <w:rPr>
          <w:rStyle w:val="FootnoteReference"/>
        </w:rPr>
        <w:footnoteReference w:id="4224"/>
      </w:r>
    </w:p>
    <w:p>
      <w:pPr>
        <w:pStyle w:val="BodyText"/>
      </w:pPr>
      <w:r>
        <w:t xml:space="preserve">「然后，祈祷结束时你们说『阿们』，意思是『愿如此成就』，你们用『阿们』确认了神教导我们的祈祷中所包含的一切。」</w:t>
      </w:r>
      <w:r>
        <w:rPr>
          <w:rStyle w:val="FootnoteReference"/>
        </w:rPr>
        <w:footnoteReference w:id="4225"/>
      </w:r>
    </w:p>
    <w:bookmarkStart w:id="4226" w:name="综述-76"/>
    <w:p>
      <w:pPr>
        <w:pStyle w:val="Heading4"/>
      </w:pPr>
      <w:r>
        <w:t xml:space="preserve">综述</w:t>
      </w:r>
    </w:p>
    <w:p>
      <w:pPr>
        <w:pStyle w:val="FirstParagraph"/>
      </w:pPr>
      <w:r>
        <w:t xml:space="preserve">在主祷文中，前三个祈求的对象是父的荣耀：他的名被尊为圣、他的国来临、他的旨意得以成全。后四个把我们的需要呈给他：求我们的生命得喂养、从罪得医治，并在善与恶的争战中获得胜利。</w:t>
      </w:r>
    </w:p>
    <w:p>
      <w:pPr>
        <w:pStyle w:val="BodyText"/>
      </w:pPr>
      <w:r>
        <w:t xml:space="preserve">借着祈求「愿人都尊你的名为圣」，我们进入神的计划：他的名借着我们并在我们里面被尊为圣——这名先向摩西启示，后来在耶稣里启示——在每一国和每一个人中。</w:t>
      </w:r>
    </w:p>
    <w:p>
      <w:pPr>
        <w:pStyle w:val="BodyText"/>
      </w:pPr>
      <w:r>
        <w:t xml:space="preserve">借着第二个祈求，教会首先仰望基督再来，以及神统治的最终来临。她也为神的国在我们生命的「今日」里增长而祈祷。</w:t>
      </w:r>
    </w:p>
    <w:p>
      <w:pPr>
        <w:pStyle w:val="BodyText"/>
      </w:pPr>
      <w:r>
        <w:t xml:space="preserve">在第三个祈求中，我们求我们的父使我们的意志与他子的意志联合，好在世界的生命中完成他的救恩计划。</w:t>
      </w:r>
    </w:p>
    <w:p>
      <w:pPr>
        <w:pStyle w:val="BodyText"/>
      </w:pPr>
      <w:r>
        <w:t xml:space="preserve">在第四个祈求中，当我们说「赐给我们」时，我们与弟兄姊妹共融，并表达对天父那儿女般的信赖。「我们日用的饮食」指每个人维持生存所必需的地上食物，也指生命之粮：神的道与基督的身体。它在神的「今日」里领受，作为不可缺少的、超本质的滋养：为那在圣餐中被预尝的、将来天国筵席的滋养。</w:t>
      </w:r>
    </w:p>
    <w:p>
      <w:pPr>
        <w:pStyle w:val="BodyText"/>
      </w:pPr>
      <w:r>
        <w:t xml:space="preserve">第五个祈求恳求神怜悯我们所犯的过错；这种怜悯只有在我们借着基督的榜样和帮助学会饶恕仇敌时，才能进入我们的心。</w:t>
      </w:r>
    </w:p>
    <w:p>
      <w:pPr>
        <w:pStyle w:val="BodyText"/>
      </w:pPr>
      <w:r>
        <w:t xml:space="preserve">当我们说「不叫我们遇见试探」时，我们是在求神不要让我们走上那条通向罪的道路。这项祈求恳求赐下分辨与力量的圣灵；它求得心的警醒与坚持到底的恩典。</w:t>
      </w:r>
    </w:p>
    <w:p>
      <w:pPr>
        <w:pStyle w:val="BodyText"/>
      </w:pPr>
      <w:r>
        <w:t xml:space="preserve">在最后一个祈求「救我们脱离凶恶」中，基督徒与教会一同向神祈祷，为显明基督已经赢得的胜利：胜过「这世界的王」撒但，那在位格上反对神以及反对他救恩计划的天使。</w:t>
      </w:r>
    </w:p>
    <w:p>
      <w:pPr>
        <w:pStyle w:val="BodyText"/>
      </w:pPr>
      <w:r>
        <w:t xml:space="preserve">借着最后的「阿们」，我们对这七个祈求表达我们的「愿如此成就」：「愿如此成就。」</w:t>
      </w:r>
    </w:p>
    <w:bookmarkEnd w:id="4226"/>
    <w:bookmarkEnd w:id="4227"/>
    <w:bookmarkEnd w:id="4228"/>
    <w:bookmarkEnd w:id="42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r>
        <w:t xml:space="preserve">约 17:3。</w:t>
      </w:r>
    </w:p>
  </w:footnote>
  <w:footnote w:id="21">
    <w:p>
      <w:pPr>
        <w:pStyle w:val="FootnoteText"/>
      </w:pPr>
      <w:r>
        <w:rPr>
          <w:rStyle w:val="FootnoteReference"/>
        </w:rPr>
        <w:footnoteRef/>
      </w:r>
      <w:r>
        <w:t xml:space="preserve"> </w:t>
      </w:r>
      <w:r>
        <w:t xml:space="preserve">提前 2:3-4。</w:t>
      </w:r>
    </w:p>
  </w:footnote>
  <w:footnote w:id="22">
    <w:p>
      <w:pPr>
        <w:pStyle w:val="FootnoteText"/>
      </w:pPr>
      <w:r>
        <w:rPr>
          <w:rStyle w:val="FootnoteReference"/>
        </w:rPr>
        <w:footnoteRef/>
      </w:r>
      <w:r>
        <w:t xml:space="preserve"> </w:t>
      </w:r>
      <w:r>
        <w:t xml:space="preserve">徒 4:12。</w:t>
      </w:r>
    </w:p>
  </w:footnote>
  <w:footnote w:id="23">
    <w:p>
      <w:pPr>
        <w:pStyle w:val="FootnoteText"/>
      </w:pPr>
      <w:r>
        <w:rPr>
          <w:rStyle w:val="FootnoteReference"/>
        </w:rPr>
        <w:footnoteRef/>
      </w:r>
      <w:r>
        <w:t xml:space="preserve"> </w:t>
      </w:r>
      <w:r>
        <w:t xml:space="preserve">太 28:19-20。</w:t>
      </w:r>
    </w:p>
  </w:footnote>
  <w:footnote w:id="24">
    <w:p>
      <w:pPr>
        <w:pStyle w:val="FootnoteText"/>
      </w:pPr>
      <w:r>
        <w:rPr>
          <w:rStyle w:val="FootnoteReference"/>
        </w:rPr>
        <w:footnoteRef/>
      </w:r>
      <w:r>
        <w:t xml:space="preserve"> </w:t>
      </w:r>
      <w:r>
        <w:t xml:space="preserve">可 16:20。</w:t>
      </w:r>
    </w:p>
  </w:footnote>
  <w:footnote w:id="25">
    <w:p>
      <w:pPr>
        <w:pStyle w:val="FootnoteText"/>
      </w:pPr>
      <w:r>
        <w:rPr>
          <w:rStyle w:val="FootnoteReference"/>
        </w:rPr>
        <w:footnoteRef/>
      </w:r>
      <w:r>
        <w:t xml:space="preserve"> </w:t>
      </w:r>
      <w:r>
        <w:t xml:space="preserve">参徒 2:42。</w:t>
      </w:r>
    </w:p>
  </w:footnote>
  <w:footnote w:id="27">
    <w:p>
      <w:pPr>
        <w:pStyle w:val="FootnoteText"/>
      </w:pPr>
      <w:r>
        <w:rPr>
          <w:rStyle w:val="FootnoteReference"/>
        </w:rPr>
        <w:footnoteRef/>
      </w:r>
      <w:r>
        <w:t xml:space="preserve"> </w:t>
      </w:r>
      <w:r>
        <w:t xml:space="preserve">参若望保禄二世，CT 1；2。</w:t>
      </w:r>
    </w:p>
  </w:footnote>
  <w:footnote w:id="28">
    <w:p>
      <w:pPr>
        <w:pStyle w:val="FootnoteText"/>
      </w:pPr>
      <w:r>
        <w:rPr>
          <w:rStyle w:val="FootnoteReference"/>
        </w:rPr>
        <w:footnoteRef/>
      </w:r>
      <w:r>
        <w:t xml:space="preserve"> </w:t>
      </w:r>
      <w:r>
        <w:t xml:space="preserve">CT 18。</w:t>
      </w:r>
    </w:p>
  </w:footnote>
  <w:footnote w:id="29">
    <w:p>
      <w:pPr>
        <w:pStyle w:val="FootnoteText"/>
      </w:pPr>
      <w:r>
        <w:rPr>
          <w:rStyle w:val="FootnoteReference"/>
        </w:rPr>
        <w:footnoteRef/>
      </w:r>
      <w:r>
        <w:t xml:space="preserve"> </w:t>
      </w:r>
      <w:r>
        <w:t xml:space="preserve">CT 18。</w:t>
      </w:r>
    </w:p>
  </w:footnote>
  <w:footnote w:id="30">
    <w:p>
      <w:pPr>
        <w:pStyle w:val="FootnoteText"/>
      </w:pPr>
      <w:r>
        <w:rPr>
          <w:rStyle w:val="FootnoteReference"/>
        </w:rPr>
        <w:footnoteRef/>
      </w:r>
      <w:r>
        <w:t xml:space="preserve"> </w:t>
      </w:r>
      <w:r>
        <w:t xml:space="preserve">CT 13。</w:t>
      </w:r>
    </w:p>
  </w:footnote>
  <w:footnote w:id="31">
    <w:p>
      <w:pPr>
        <w:pStyle w:val="FootnoteText"/>
      </w:pPr>
      <w:r>
        <w:rPr>
          <w:rStyle w:val="FootnoteReference"/>
        </w:rPr>
        <w:footnoteRef/>
      </w:r>
      <w:r>
        <w:t xml:space="preserve"> </w:t>
      </w:r>
      <w:r>
        <w:t xml:space="preserve">参 CT 12。</w:t>
      </w:r>
    </w:p>
  </w:footnote>
  <w:footnote w:id="32">
    <w:p>
      <w:pPr>
        <w:pStyle w:val="FootnoteText"/>
      </w:pPr>
      <w:r>
        <w:rPr>
          <w:rStyle w:val="FootnoteReference"/>
        </w:rPr>
        <w:footnoteRef/>
      </w:r>
      <w:r>
        <w:t xml:space="preserve"> </w:t>
      </w:r>
      <w:r>
        <w:t xml:space="preserve">CT 13。</w:t>
      </w:r>
    </w:p>
  </w:footnote>
  <w:footnote w:id="33">
    <w:p>
      <w:pPr>
        <w:pStyle w:val="FootnoteText"/>
      </w:pPr>
      <w:r>
        <w:rPr>
          <w:rStyle w:val="FootnoteReference"/>
        </w:rPr>
        <w:footnoteRef/>
      </w:r>
      <w:r>
        <w:t xml:space="preserve"> </w:t>
      </w:r>
      <w:r>
        <w:t xml:space="preserve">1985 年非常主教会议，《最后报告》，II B a，4。</w:t>
      </w:r>
    </w:p>
  </w:footnote>
  <w:footnote w:id="34">
    <w:p>
      <w:pPr>
        <w:pStyle w:val="FootnoteText"/>
      </w:pPr>
      <w:r>
        <w:rPr>
          <w:rStyle w:val="FootnoteReference"/>
        </w:rPr>
        <w:footnoteRef/>
      </w:r>
      <w:r>
        <w:t xml:space="preserve"> </w:t>
      </w:r>
      <w:r>
        <w:t xml:space="preserve">若望保禄二世，1985 年 12 月 7 日非常主教会议闭幕讲话：AAS 78，（1986）。</w:t>
      </w:r>
    </w:p>
  </w:footnote>
  <w:footnote w:id="36">
    <w:p>
      <w:pPr>
        <w:pStyle w:val="FootnoteText"/>
      </w:pPr>
      <w:r>
        <w:rPr>
          <w:rStyle w:val="FootnoteReference"/>
        </w:rPr>
        <w:footnoteRef/>
      </w:r>
      <w:r>
        <w:t xml:space="preserve"> </w:t>
      </w:r>
      <w:r>
        <w:t xml:space="preserve">1985 年非常主教会议，《最后报告》II B a，4。</w:t>
      </w:r>
    </w:p>
  </w:footnote>
  <w:footnote w:id="38">
    <w:p>
      <w:pPr>
        <w:pStyle w:val="FootnoteText"/>
      </w:pPr>
      <w:r>
        <w:rPr>
          <w:rStyle w:val="FootnoteReference"/>
        </w:rPr>
        <w:footnoteRef/>
      </w:r>
      <w:r>
        <w:t xml:space="preserve"> </w:t>
      </w:r>
      <w:r>
        <w:t xml:space="preserve">参太 10:32；罗 10:9。</w:t>
      </w:r>
    </w:p>
  </w:footnote>
  <w:footnote w:id="45">
    <w:p>
      <w:pPr>
        <w:pStyle w:val="FootnoteText"/>
      </w:pPr>
      <w:r>
        <w:rPr>
          <w:rStyle w:val="FootnoteReference"/>
        </w:rPr>
        <w:footnoteRef/>
      </w:r>
      <w:r>
        <w:t xml:space="preserve"> </w:t>
      </w:r>
      <w:r>
        <w:t xml:space="preserve">参 CT 20-22；25。</w:t>
      </w:r>
    </w:p>
  </w:footnote>
  <w:footnote w:id="46">
    <w:p>
      <w:pPr>
        <w:pStyle w:val="FootnoteText"/>
      </w:pPr>
      <w:r>
        <w:rPr>
          <w:rStyle w:val="FootnoteReference"/>
        </w:rPr>
        <w:footnoteRef/>
      </w:r>
      <w:r>
        <w:t xml:space="preserve"> </w:t>
      </w:r>
      <w:r>
        <w:t xml:space="preserve">《罗马教理》，序言二；参林前 9:22；彼前 2:2。</w:t>
      </w:r>
    </w:p>
  </w:footnote>
  <w:footnote w:id="48">
    <w:p>
      <w:pPr>
        <w:pStyle w:val="FootnoteText"/>
      </w:pPr>
      <w:r>
        <w:rPr>
          <w:rStyle w:val="FootnoteReference"/>
        </w:rPr>
        <w:footnoteRef/>
      </w:r>
      <w:r>
        <w:t xml:space="preserve"> </w:t>
      </w:r>
      <w:r>
        <w:t xml:space="preserve">《罗马教理》，序言 10；参林前 13:8。</w:t>
      </w:r>
    </w:p>
  </w:footnote>
  <w:footnote w:id="51">
    <w:p>
      <w:pPr>
        <w:pStyle w:val="FootnoteText"/>
      </w:pPr>
      <w:r>
        <w:rPr>
          <w:rStyle w:val="FootnoteReference"/>
        </w:rPr>
        <w:footnoteRef/>
      </w:r>
      <w:r>
        <w:t xml:space="preserve"> </w:t>
      </w:r>
      <w:r>
        <w:t xml:space="preserve">梵二，GS 19 § 1。</w:t>
      </w:r>
    </w:p>
  </w:footnote>
  <w:footnote w:id="52">
    <w:p>
      <w:pPr>
        <w:pStyle w:val="FootnoteText"/>
      </w:pPr>
      <w:r>
        <w:rPr>
          <w:rStyle w:val="FootnoteReference"/>
        </w:rPr>
        <w:footnoteRef/>
      </w:r>
      <w:r>
        <w:t xml:space="preserve"> </w:t>
      </w:r>
      <w:r>
        <w:t xml:space="preserve">徒17:26-28。</w:t>
      </w:r>
    </w:p>
  </w:footnote>
  <w:footnote w:id="53">
    <w:p>
      <w:pPr>
        <w:pStyle w:val="FootnoteText"/>
      </w:pPr>
      <w:r>
        <w:rPr>
          <w:rStyle w:val="FootnoteReference"/>
        </w:rPr>
        <w:footnoteRef/>
      </w:r>
      <w:r>
        <w:t xml:space="preserve"> </w:t>
      </w:r>
      <w:r>
        <w:t xml:space="preserve">圣奥古斯丁，《讲道集》241,2：PL 38,1134。</w:t>
      </w:r>
    </w:p>
  </w:footnote>
  <w:footnote w:id="54">
    <w:p>
      <w:pPr>
        <w:pStyle w:val="FootnoteText"/>
      </w:pPr>
      <w:r>
        <w:rPr>
          <w:rStyle w:val="FootnoteReference"/>
        </w:rPr>
        <w:footnoteRef/>
      </w:r>
      <w:r>
        <w:t xml:space="preserve"> </w:t>
      </w:r>
      <w:r>
        <w:t xml:space="preserve">GS 19-21；太13:22；创3:8-10；拿1:3。</w:t>
      </w:r>
    </w:p>
  </w:footnote>
  <w:footnote w:id="55">
    <w:p>
      <w:pPr>
        <w:pStyle w:val="FootnoteText"/>
      </w:pPr>
      <w:r>
        <w:rPr>
          <w:rStyle w:val="FootnoteReference"/>
        </w:rPr>
        <w:footnoteRef/>
      </w:r>
      <w:r>
        <w:t xml:space="preserve"> </w:t>
      </w:r>
      <w:r>
        <w:t xml:space="preserve">圣奥古斯丁，《忏悔录》1,1,1：PL 32,659-661。</w:t>
      </w:r>
    </w:p>
  </w:footnote>
  <w:footnote w:id="57">
    <w:p>
      <w:pPr>
        <w:pStyle w:val="FootnoteText"/>
      </w:pPr>
      <w:r>
        <w:rPr>
          <w:rStyle w:val="FootnoteReference"/>
        </w:rPr>
        <w:footnoteRef/>
      </w:r>
      <w:r>
        <w:t xml:space="preserve"> </w:t>
      </w:r>
      <w:r>
        <w:t xml:space="preserve">罗 1:19-20；参 徒 14:15,17；17:27-28；智 13:1-9。</w:t>
      </w:r>
    </w:p>
  </w:footnote>
  <w:footnote w:id="58">
    <w:p>
      <w:pPr>
        <w:pStyle w:val="FootnoteText"/>
      </w:pPr>
      <w:r>
        <w:rPr>
          <w:rStyle w:val="FootnoteReference"/>
        </w:rPr>
        <w:footnoteRef/>
      </w:r>
      <w:r>
        <w:t xml:space="preserve"> </w:t>
      </w:r>
      <w:r>
        <w:t xml:space="preserve">圣奥古斯丁，《讲道集》241,2：PL 38,1134。</w:t>
      </w:r>
    </w:p>
  </w:footnote>
  <w:footnote w:id="60">
    <w:p>
      <w:pPr>
        <w:pStyle w:val="FootnoteText"/>
      </w:pPr>
      <w:r>
        <w:rPr>
          <w:rStyle w:val="FootnoteReference"/>
        </w:rPr>
        <w:footnoteRef/>
      </w:r>
      <w:r>
        <w:t xml:space="preserve"> </w:t>
      </w:r>
      <w:r>
        <w:t xml:space="preserve">圣托马斯阿奎那，《神学大全》I,2,3。</w:t>
      </w:r>
    </w:p>
  </w:footnote>
  <w:footnote w:id="63">
    <w:p>
      <w:pPr>
        <w:pStyle w:val="FootnoteText"/>
      </w:pPr>
      <w:r>
        <w:rPr>
          <w:rStyle w:val="FootnoteReference"/>
        </w:rPr>
        <w:footnoteRef/>
      </w:r>
      <w:r>
        <w:t xml:space="preserve"> </w:t>
      </w:r>
      <w:r>
        <w:t xml:space="preserve">梵一，《Dei Filius》2：DS 3004；参 3026；梵二，《神的道》6。</w:t>
      </w:r>
    </w:p>
  </w:footnote>
  <w:footnote w:id="64">
    <w:p>
      <w:pPr>
        <w:pStyle w:val="FootnoteText"/>
      </w:pPr>
      <w:r>
        <w:rPr>
          <w:rStyle w:val="FootnoteReference"/>
        </w:rPr>
        <w:footnoteRef/>
      </w:r>
      <w:r>
        <w:t xml:space="preserve"> </w:t>
      </w:r>
      <w:r>
        <w:t xml:space="preserve">庇护十二世，《Humani generis》，561：DS 3875。</w:t>
      </w:r>
    </w:p>
  </w:footnote>
  <w:footnote w:id="65">
    <w:p>
      <w:pPr>
        <w:pStyle w:val="FootnoteText"/>
      </w:pPr>
      <w:r>
        <w:rPr>
          <w:rStyle w:val="FootnoteReference"/>
        </w:rPr>
        <w:footnoteRef/>
      </w:r>
      <w:r>
        <w:t xml:space="preserve"> </w:t>
      </w:r>
      <w:r>
        <w:t xml:space="preserve">庇护十二世，《Humani generis》，561：DS 3876；参《Dei Filius》2：DS 3005；《神的道》6；圣托马斯阿奎那，《神学大全》I,1,1。</w:t>
      </w:r>
    </w:p>
  </w:footnote>
  <w:footnote w:id="67">
    <w:p>
      <w:pPr>
        <w:pStyle w:val="FootnoteText"/>
      </w:pPr>
      <w:r>
        <w:rPr>
          <w:rStyle w:val="FootnoteReference"/>
        </w:rPr>
        <w:footnoteRef/>
      </w:r>
      <w:r>
        <w:t xml:space="preserve"> </w:t>
      </w:r>
      <w:r>
        <w:t xml:space="preserve">智13:5。</w:t>
      </w:r>
    </w:p>
  </w:footnote>
  <w:footnote w:id="68">
    <w:p>
      <w:pPr>
        <w:pStyle w:val="FootnoteText"/>
      </w:pPr>
      <w:r>
        <w:rPr>
          <w:rStyle w:val="FootnoteReference"/>
        </w:rPr>
        <w:footnoteRef/>
      </w:r>
      <w:r>
        <w:t xml:space="preserve"> </w:t>
      </w:r>
      <w:r>
        <w:t xml:space="preserve">圣约翰·屈梭多模礼仪，奉献经。</w:t>
      </w:r>
    </w:p>
  </w:footnote>
  <w:footnote w:id="69">
    <w:p>
      <w:pPr>
        <w:pStyle w:val="FootnoteText"/>
      </w:pPr>
      <w:r>
        <w:rPr>
          <w:rStyle w:val="FootnoteReference"/>
        </w:rPr>
        <w:footnoteRef/>
      </w:r>
      <w:r>
        <w:t xml:space="preserve"> </w:t>
      </w:r>
      <w:r>
        <w:t xml:space="preserve">拉特朗第四次大公会议：DS 806；圣托马斯阿奎那，《驳异教大全》I,30。</w:t>
      </w:r>
    </w:p>
  </w:footnote>
  <w:footnote w:id="71">
    <w:p>
      <w:pPr>
        <w:pStyle w:val="FootnoteText"/>
      </w:pPr>
      <w:r>
        <w:rPr>
          <w:rStyle w:val="FootnoteReference"/>
        </w:rPr>
        <w:footnoteRef/>
      </w:r>
      <w:r>
        <w:t xml:space="preserve"> </w:t>
      </w:r>
      <w:r>
        <w:t xml:space="preserve">圣奥古斯丁，《忏悔录》10,28,39：PL 32,795。</w:t>
      </w:r>
    </w:p>
  </w:footnote>
  <w:footnote w:id="72">
    <w:p>
      <w:pPr>
        <w:pStyle w:val="FootnoteText"/>
      </w:pPr>
      <w:r>
        <w:rPr>
          <w:rStyle w:val="FootnoteReference"/>
        </w:rPr>
        <w:footnoteRef/>
      </w:r>
      <w:r>
        <w:t xml:space="preserve"> </w:t>
      </w:r>
      <w:r>
        <w:t xml:space="preserve">梵一，规条2 § 1：DS 3026。</w:t>
      </w:r>
    </w:p>
  </w:footnote>
  <w:footnote w:id="73">
    <w:p>
      <w:pPr>
        <w:pStyle w:val="FootnoteText"/>
      </w:pPr>
      <w:r>
        <w:rPr>
          <w:rStyle w:val="FootnoteReference"/>
        </w:rPr>
        <w:footnoteRef/>
      </w:r>
      <w:r>
        <w:t xml:space="preserve"> </w:t>
      </w:r>
      <w:r>
        <w:t xml:space="preserve">GS 36。</w:t>
      </w:r>
    </w:p>
  </w:footnote>
  <w:footnote w:id="76">
    <w:p>
      <w:pPr>
        <w:pStyle w:val="FootnoteText"/>
      </w:pPr>
      <w:r>
        <w:rPr>
          <w:rStyle w:val="FootnoteReference"/>
        </w:rPr>
        <w:footnoteRef/>
      </w:r>
      <w:r>
        <w:t xml:space="preserve"> </w:t>
      </w:r>
      <w:r>
        <w:t xml:space="preserve">参《Dei Filius》：DS 3015。</w:t>
      </w:r>
    </w:p>
  </w:footnote>
  <w:footnote w:id="77">
    <w:p>
      <w:pPr>
        <w:pStyle w:val="FootnoteText"/>
      </w:pPr>
      <w:r>
        <w:rPr>
          <w:rStyle w:val="FootnoteReference"/>
        </w:rPr>
        <w:footnoteRef/>
      </w:r>
      <w:r>
        <w:t xml:space="preserve"> </w:t>
      </w:r>
      <w:r>
        <w:t xml:space="preserve">DV 2；参弗1:9；2:18；彼后2:4。</w:t>
      </w:r>
    </w:p>
  </w:footnote>
  <w:footnote w:id="78">
    <w:p>
      <w:pPr>
        <w:pStyle w:val="FootnoteText"/>
      </w:pPr>
      <w:r>
        <w:rPr>
          <w:rStyle w:val="FootnoteReference"/>
        </w:rPr>
        <w:footnoteRef/>
      </w:r>
      <w:r>
        <w:t xml:space="preserve"> </w:t>
      </w:r>
      <w:r>
        <w:t xml:space="preserve">提前6:16；参弗1:4-5。</w:t>
      </w:r>
    </w:p>
  </w:footnote>
  <w:footnote w:id="79">
    <w:p>
      <w:pPr>
        <w:pStyle w:val="FootnoteText"/>
      </w:pPr>
      <w:r>
        <w:rPr>
          <w:rStyle w:val="FootnoteReference"/>
        </w:rPr>
        <w:footnoteRef/>
      </w:r>
      <w:r>
        <w:t xml:space="preserve"> </w:t>
      </w:r>
      <w:r>
        <w:t xml:space="preserve">DV 2。</w:t>
      </w:r>
    </w:p>
  </w:footnote>
  <w:footnote w:id="80">
    <w:p>
      <w:pPr>
        <w:pStyle w:val="FootnoteText"/>
      </w:pPr>
      <w:r>
        <w:rPr>
          <w:rStyle w:val="FootnoteReference"/>
        </w:rPr>
        <w:footnoteRef/>
      </w:r>
      <w:r>
        <w:t xml:space="preserve"> </w:t>
      </w:r>
      <w:r>
        <w:t xml:space="preserve">圣爱任纽，《驳异端》3,20,2：PG 7/1,944；参3,17,1；4,12,4；4,21,3。</w:t>
      </w:r>
    </w:p>
  </w:footnote>
  <w:footnote w:id="82">
    <w:p>
      <w:pPr>
        <w:pStyle w:val="FootnoteText"/>
      </w:pPr>
      <w:r>
        <w:rPr>
          <w:rStyle w:val="FootnoteReference"/>
        </w:rPr>
        <w:footnoteRef/>
      </w:r>
      <w:r>
        <w:t xml:space="preserve"> </w:t>
      </w:r>
      <w:r>
        <w:t xml:space="preserve">DV 3；参约1:3；罗1:19-20。</w:t>
      </w:r>
    </w:p>
  </w:footnote>
  <w:footnote w:id="83">
    <w:p>
      <w:pPr>
        <w:pStyle w:val="FootnoteText"/>
      </w:pPr>
      <w:r>
        <w:rPr>
          <w:rStyle w:val="FootnoteReference"/>
        </w:rPr>
        <w:footnoteRef/>
      </w:r>
      <w:r>
        <w:t xml:space="preserve"> </w:t>
      </w:r>
      <w:r>
        <w:t xml:space="preserve">DV 3；参创3:15；罗2:6-7。</w:t>
      </w:r>
    </w:p>
  </w:footnote>
  <w:footnote w:id="84">
    <w:p>
      <w:pPr>
        <w:pStyle w:val="FootnoteText"/>
      </w:pPr>
      <w:r>
        <w:rPr>
          <w:rStyle w:val="FootnoteReference"/>
        </w:rPr>
        <w:footnoteRef/>
      </w:r>
      <w:r>
        <w:t xml:space="preserve"> </w:t>
      </w:r>
      <w:r>
        <w:t xml:space="preserve">《罗马弥撒经书》，第四式圣餐祷文，118。</w:t>
      </w:r>
    </w:p>
  </w:footnote>
  <w:footnote w:id="85">
    <w:p>
      <w:pPr>
        <w:pStyle w:val="FootnoteText"/>
      </w:pPr>
      <w:r>
        <w:rPr>
          <w:rStyle w:val="FootnoteReference"/>
        </w:rPr>
        <w:footnoteRef/>
      </w:r>
      <w:r>
        <w:t xml:space="preserve"> </w:t>
      </w:r>
      <w:r>
        <w:t xml:space="preserve">创10:5；参9:9-10，16；10:20-31。</w:t>
      </w:r>
    </w:p>
  </w:footnote>
  <w:footnote w:id="86">
    <w:p>
      <w:pPr>
        <w:pStyle w:val="FootnoteText"/>
      </w:pPr>
      <w:r>
        <w:rPr>
          <w:rStyle w:val="FootnoteReference"/>
        </w:rPr>
        <w:footnoteRef/>
      </w:r>
      <w:r>
        <w:t xml:space="preserve"> </w:t>
      </w:r>
      <w:r>
        <w:t xml:space="preserve">参徒17:26-27。</w:t>
      </w:r>
    </w:p>
  </w:footnote>
  <w:footnote w:id="87">
    <w:p>
      <w:pPr>
        <w:pStyle w:val="FootnoteText"/>
      </w:pPr>
      <w:r>
        <w:rPr>
          <w:rStyle w:val="FootnoteReference"/>
        </w:rPr>
        <w:footnoteRef/>
      </w:r>
      <w:r>
        <w:t xml:space="preserve"> </w:t>
      </w:r>
      <w:r>
        <w:t xml:space="preserve">参创9:16；路21:24；DV 3。</w:t>
      </w:r>
    </w:p>
  </w:footnote>
  <w:footnote w:id="88">
    <w:p>
      <w:pPr>
        <w:pStyle w:val="FootnoteText"/>
      </w:pPr>
      <w:r>
        <w:rPr>
          <w:rStyle w:val="FootnoteReference"/>
        </w:rPr>
        <w:footnoteRef/>
      </w:r>
      <w:r>
        <w:t xml:space="preserve"> </w:t>
      </w:r>
      <w:r>
        <w:t xml:space="preserve">创17:5；12:3（七十士译本）；参加3:8。</w:t>
      </w:r>
    </w:p>
  </w:footnote>
  <w:footnote w:id="89">
    <w:p>
      <w:pPr>
        <w:pStyle w:val="FootnoteText"/>
      </w:pPr>
      <w:r>
        <w:rPr>
          <w:rStyle w:val="FootnoteReference"/>
        </w:rPr>
        <w:footnoteRef/>
      </w:r>
      <w:r>
        <w:t xml:space="preserve"> </w:t>
      </w:r>
      <w:r>
        <w:t xml:space="preserve">参罗11:28；约11:52；10:16；参罗11:17-18,24。</w:t>
      </w:r>
    </w:p>
  </w:footnote>
  <w:footnote w:id="90">
    <w:p>
      <w:pPr>
        <w:pStyle w:val="FootnoteText"/>
      </w:pPr>
      <w:r>
        <w:rPr>
          <w:rStyle w:val="FootnoteReference"/>
        </w:rPr>
        <w:footnoteRef/>
      </w:r>
      <w:r>
        <w:t xml:space="preserve"> </w:t>
      </w:r>
      <w:r>
        <w:t xml:space="preserve">DV 3。</w:t>
      </w:r>
    </w:p>
  </w:footnote>
  <w:footnote w:id="91">
    <w:p>
      <w:pPr>
        <w:pStyle w:val="FootnoteText"/>
      </w:pPr>
      <w:r>
        <w:rPr>
          <w:rStyle w:val="FootnoteReference"/>
        </w:rPr>
        <w:footnoteRef/>
      </w:r>
      <w:r>
        <w:t xml:space="preserve"> </w:t>
      </w:r>
      <w:r>
        <w:t xml:space="preserve">申28:10；《罗马弥撒经书》，受难日，大礼仪祈祷六；另参出19:6。</w:t>
      </w:r>
    </w:p>
  </w:footnote>
  <w:footnote w:id="92">
    <w:p>
      <w:pPr>
        <w:pStyle w:val="FootnoteText"/>
      </w:pPr>
      <w:r>
        <w:rPr>
          <w:rStyle w:val="FootnoteReference"/>
        </w:rPr>
        <w:footnoteRef/>
      </w:r>
      <w:r>
        <w:t xml:space="preserve"> </w:t>
      </w:r>
      <w:r>
        <w:t xml:space="preserve">参赛2:2-4；耶31:31-34；来10:16。</w:t>
      </w:r>
    </w:p>
  </w:footnote>
  <w:footnote w:id="93">
    <w:p>
      <w:pPr>
        <w:pStyle w:val="FootnoteText"/>
      </w:pPr>
      <w:r>
        <w:rPr>
          <w:rStyle w:val="FootnoteReference"/>
        </w:rPr>
        <w:footnoteRef/>
      </w:r>
      <w:r>
        <w:t xml:space="preserve"> </w:t>
      </w:r>
      <w:r>
        <w:t xml:space="preserve">参结36；赛49:5-6；53:11。</w:t>
      </w:r>
    </w:p>
  </w:footnote>
  <w:footnote w:id="94">
    <w:p>
      <w:pPr>
        <w:pStyle w:val="FootnoteText"/>
      </w:pPr>
      <w:r>
        <w:rPr>
          <w:rStyle w:val="FootnoteReference"/>
        </w:rPr>
        <w:footnoteRef/>
      </w:r>
      <w:r>
        <w:t xml:space="preserve"> </w:t>
      </w:r>
      <w:r>
        <w:t xml:space="preserve">参结2:3；路1:38。</w:t>
      </w:r>
    </w:p>
  </w:footnote>
  <w:footnote w:id="96">
    <w:p>
      <w:pPr>
        <w:pStyle w:val="FootnoteText"/>
      </w:pPr>
      <w:r>
        <w:rPr>
          <w:rStyle w:val="FootnoteReference"/>
        </w:rPr>
        <w:footnoteRef/>
      </w:r>
      <w:r>
        <w:t xml:space="preserve"> </w:t>
      </w:r>
      <w:r>
        <w:t xml:space="preserve">约翰·十字架，《迦密山攀登》2,22,3-5，载《约翰·十字架全集》，K. Kavanaugh、O. Rodriguez 译（华盛顿特区：迦密学会，1979），179-180；《时辰礼仪》，将临期第二周周一。</w:t>
      </w:r>
    </w:p>
  </w:footnote>
  <w:footnote w:id="97">
    <w:p>
      <w:pPr>
        <w:pStyle w:val="FootnoteText"/>
      </w:pPr>
      <w:r>
        <w:rPr>
          <w:rStyle w:val="FootnoteReference"/>
        </w:rPr>
        <w:footnoteRef/>
      </w:r>
      <w:r>
        <w:t xml:space="preserve"> </w:t>
      </w:r>
      <w:r>
        <w:t xml:space="preserve">DV 4；参提前6:14；多2:13。</w:t>
      </w:r>
    </w:p>
  </w:footnote>
  <w:footnote w:id="101">
    <w:p>
      <w:pPr>
        <w:pStyle w:val="FootnoteText"/>
      </w:pPr>
      <w:r>
        <w:rPr>
          <w:rStyle w:val="FootnoteReference"/>
        </w:rPr>
        <w:footnoteRef/>
      </w:r>
      <w:r>
        <w:t xml:space="preserve"> </w:t>
      </w:r>
      <w:r>
        <w:t xml:space="preserve">提前2:4</w:t>
      </w:r>
    </w:p>
  </w:footnote>
  <w:footnote w:id="102">
    <w:p>
      <w:pPr>
        <w:pStyle w:val="FootnoteText"/>
      </w:pPr>
      <w:r>
        <w:rPr>
          <w:rStyle w:val="FootnoteReference"/>
        </w:rPr>
        <w:footnoteRef/>
      </w:r>
      <w:r>
        <w:t xml:space="preserve"> </w:t>
      </w:r>
      <w:r>
        <w:t xml:space="preserve">参约14:6</w:t>
      </w:r>
    </w:p>
  </w:footnote>
  <w:footnote w:id="103">
    <w:p>
      <w:pPr>
        <w:pStyle w:val="FootnoteText"/>
      </w:pPr>
      <w:r>
        <w:rPr>
          <w:rStyle w:val="FootnoteReference"/>
        </w:rPr>
        <w:footnoteRef/>
      </w:r>
      <w:r>
        <w:t xml:space="preserve"> </w:t>
      </w:r>
      <w:r>
        <w:t xml:space="preserve">DV 7；参林后1:20；3:16-4:6</w:t>
      </w:r>
    </w:p>
  </w:footnote>
  <w:footnote w:id="104">
    <w:p>
      <w:pPr>
        <w:pStyle w:val="FootnoteText"/>
      </w:pPr>
      <w:r>
        <w:rPr>
          <w:rStyle w:val="FootnoteReference"/>
        </w:rPr>
        <w:footnoteRef/>
      </w:r>
      <w:r>
        <w:t xml:space="preserve"> </w:t>
      </w:r>
      <w:r>
        <w:t xml:space="preserve">DV 7；参太28:19-20；可16:15</w:t>
      </w:r>
    </w:p>
  </w:footnote>
  <w:footnote w:id="105">
    <w:p>
      <w:pPr>
        <w:pStyle w:val="FootnoteText"/>
      </w:pPr>
      <w:r>
        <w:rPr>
          <w:rStyle w:val="FootnoteReference"/>
        </w:rPr>
        <w:footnoteRef/>
      </w:r>
      <w:r>
        <w:t xml:space="preserve"> </w:t>
      </w:r>
      <w:r>
        <w:t xml:space="preserve">DV 7</w:t>
      </w:r>
    </w:p>
  </w:footnote>
  <w:footnote w:id="106">
    <w:p>
      <w:pPr>
        <w:pStyle w:val="FootnoteText"/>
      </w:pPr>
      <w:r>
        <w:rPr>
          <w:rStyle w:val="FootnoteReference"/>
        </w:rPr>
        <w:footnoteRef/>
      </w:r>
      <w:r>
        <w:t xml:space="preserve"> </w:t>
      </w:r>
      <w:r>
        <w:t xml:space="preserve">DV 7</w:t>
      </w:r>
    </w:p>
  </w:footnote>
  <w:footnote w:id="108">
    <w:p>
      <w:pPr>
        <w:pStyle w:val="FootnoteText"/>
      </w:pPr>
      <w:r>
        <w:rPr>
          <w:rStyle w:val="FootnoteReference"/>
        </w:rPr>
        <w:footnoteRef/>
      </w:r>
      <w:r>
        <w:t xml:space="preserve"> </w:t>
      </w:r>
      <w:r>
        <w:t xml:space="preserve">DV 7 §2；圣爱任纽，《驳异端》3,3,1：PG 7/1,848；Harvey, 2,9</w:t>
      </w:r>
    </w:p>
  </w:footnote>
  <w:footnote w:id="109">
    <w:p>
      <w:pPr>
        <w:pStyle w:val="FootnoteText"/>
      </w:pPr>
      <w:r>
        <w:rPr>
          <w:rStyle w:val="FootnoteReference"/>
        </w:rPr>
        <w:footnoteRef/>
      </w:r>
      <w:r>
        <w:t xml:space="preserve"> </w:t>
      </w:r>
      <w:r>
        <w:t xml:space="preserve">DV 8 §1</w:t>
      </w:r>
    </w:p>
  </w:footnote>
  <w:footnote w:id="110">
    <w:p>
      <w:pPr>
        <w:pStyle w:val="FootnoteText"/>
      </w:pPr>
      <w:r>
        <w:rPr>
          <w:rStyle w:val="FootnoteReference"/>
        </w:rPr>
        <w:footnoteRef/>
      </w:r>
      <w:r>
        <w:t xml:space="preserve"> </w:t>
      </w:r>
      <w:r>
        <w:t xml:space="preserve">DV 8 §1</w:t>
      </w:r>
    </w:p>
  </w:footnote>
  <w:footnote w:id="111">
    <w:p>
      <w:pPr>
        <w:pStyle w:val="FootnoteText"/>
      </w:pPr>
      <w:r>
        <w:rPr>
          <w:rStyle w:val="FootnoteReference"/>
        </w:rPr>
        <w:footnoteRef/>
      </w:r>
      <w:r>
        <w:t xml:space="preserve"> </w:t>
      </w:r>
      <w:r>
        <w:t xml:space="preserve">DV 8 §3</w:t>
      </w:r>
    </w:p>
  </w:footnote>
  <w:footnote w:id="112">
    <w:p>
      <w:pPr>
        <w:pStyle w:val="FootnoteText"/>
      </w:pPr>
      <w:r>
        <w:rPr>
          <w:rStyle w:val="FootnoteReference"/>
        </w:rPr>
        <w:footnoteRef/>
      </w:r>
      <w:r>
        <w:t xml:space="preserve"> </w:t>
      </w:r>
      <w:r>
        <w:t xml:space="preserve">DV 8 §3；参西3:16</w:t>
      </w:r>
    </w:p>
  </w:footnote>
  <w:footnote w:id="115">
    <w:p>
      <w:pPr>
        <w:pStyle w:val="FootnoteText"/>
      </w:pPr>
      <w:r>
        <w:rPr>
          <w:rStyle w:val="FootnoteReference"/>
        </w:rPr>
        <w:footnoteRef/>
      </w:r>
      <w:r>
        <w:t xml:space="preserve"> </w:t>
      </w:r>
      <w:r>
        <w:t xml:space="preserve">《神的道》9。</w:t>
      </w:r>
    </w:p>
  </w:footnote>
  <w:footnote w:id="116">
    <w:p>
      <w:pPr>
        <w:pStyle w:val="FootnoteText"/>
      </w:pPr>
      <w:r>
        <w:rPr>
          <w:rStyle w:val="FootnoteReference"/>
        </w:rPr>
        <w:footnoteRef/>
      </w:r>
      <w:r>
        <w:t xml:space="preserve"> </w:t>
      </w:r>
      <w:r>
        <w:t xml:space="preserve">太 28:20。</w:t>
      </w:r>
    </w:p>
  </w:footnote>
  <w:footnote w:id="118">
    <w:p>
      <w:pPr>
        <w:pStyle w:val="FootnoteText"/>
      </w:pPr>
      <w:r>
        <w:rPr>
          <w:rStyle w:val="FootnoteReference"/>
        </w:rPr>
        <w:footnoteRef/>
      </w:r>
      <w:r>
        <w:t xml:space="preserve"> </w:t>
      </w:r>
      <w:r>
        <w:t xml:space="preserve">DV 9</w:t>
      </w:r>
    </w:p>
  </w:footnote>
  <w:footnote w:id="119">
    <w:p>
      <w:pPr>
        <w:pStyle w:val="FootnoteText"/>
      </w:pPr>
      <w:r>
        <w:rPr>
          <w:rStyle w:val="FootnoteReference"/>
        </w:rPr>
        <w:footnoteRef/>
      </w:r>
      <w:r>
        <w:t xml:space="preserve"> </w:t>
      </w:r>
      <w:r>
        <w:t xml:space="preserve">DV 9</w:t>
      </w:r>
    </w:p>
  </w:footnote>
  <w:footnote w:id="120">
    <w:p>
      <w:pPr>
        <w:pStyle w:val="FootnoteText"/>
      </w:pPr>
      <w:r>
        <w:rPr>
          <w:rStyle w:val="FootnoteReference"/>
        </w:rPr>
        <w:footnoteRef/>
      </w:r>
      <w:r>
        <w:t xml:space="preserve"> </w:t>
      </w:r>
      <w:r>
        <w:t xml:space="preserve">DV 9</w:t>
      </w:r>
    </w:p>
  </w:footnote>
  <w:footnote w:id="124">
    <w:p>
      <w:pPr>
        <w:pStyle w:val="FootnoteText"/>
      </w:pPr>
      <w:r>
        <w:rPr>
          <w:rStyle w:val="FootnoteReference"/>
        </w:rPr>
        <w:footnoteRef/>
      </w:r>
      <w:r>
        <w:t xml:space="preserve"> </w:t>
      </w:r>
      <w:r>
        <w:t xml:space="preserve">DV 10 §1；参提前6:20；提后1:12-14（武加大）</w:t>
      </w:r>
    </w:p>
  </w:footnote>
  <w:footnote w:id="125">
    <w:p>
      <w:pPr>
        <w:pStyle w:val="FootnoteText"/>
      </w:pPr>
      <w:r>
        <w:rPr>
          <w:rStyle w:val="FootnoteReference"/>
        </w:rPr>
        <w:footnoteRef/>
      </w:r>
      <w:r>
        <w:t xml:space="preserve"> </w:t>
      </w:r>
      <w:r>
        <w:t xml:space="preserve">DV 10 §1；参徒2:42（希腊文）；庇护十二世《宗座宪令·最慷慨的神》（1950年11月1日）：AAS 42 (1950), 756；并参圣屈普良，《书信》66,8：CSEL 3/2,733</w:t>
      </w:r>
    </w:p>
  </w:footnote>
  <w:footnote w:id="127">
    <w:p>
      <w:pPr>
        <w:pStyle w:val="FootnoteText"/>
      </w:pPr>
      <w:r>
        <w:rPr>
          <w:rStyle w:val="FootnoteReference"/>
        </w:rPr>
        <w:footnoteRef/>
      </w:r>
      <w:r>
        <w:t xml:space="preserve"> </w:t>
      </w:r>
      <w:r>
        <w:t xml:space="preserve">DV 10 §2</w:t>
      </w:r>
    </w:p>
  </w:footnote>
  <w:footnote w:id="128">
    <w:p>
      <w:pPr>
        <w:pStyle w:val="FootnoteText"/>
      </w:pPr>
      <w:r>
        <w:rPr>
          <w:rStyle w:val="FootnoteReference"/>
        </w:rPr>
        <w:footnoteRef/>
      </w:r>
      <w:r>
        <w:t xml:space="preserve"> </w:t>
      </w:r>
      <w:r>
        <w:t xml:space="preserve">DV 10 第2段</w:t>
      </w:r>
    </w:p>
  </w:footnote>
  <w:footnote w:id="129">
    <w:p>
      <w:pPr>
        <w:pStyle w:val="FootnoteText"/>
      </w:pPr>
      <w:r>
        <w:rPr>
          <w:rStyle w:val="FootnoteReference"/>
        </w:rPr>
        <w:footnoteRef/>
      </w:r>
      <w:r>
        <w:t xml:space="preserve"> </w:t>
      </w:r>
      <w:r>
        <w:t xml:space="preserve">路10:16；参 LG 20</w:t>
      </w:r>
    </w:p>
  </w:footnote>
  <w:footnote w:id="131">
    <w:p>
      <w:pPr>
        <w:pStyle w:val="FootnoteText"/>
      </w:pPr>
      <w:r>
        <w:rPr>
          <w:rStyle w:val="FootnoteReference"/>
        </w:rPr>
        <w:footnoteRef/>
      </w:r>
      <w:r>
        <w:t xml:space="preserve"> </w:t>
      </w:r>
      <w:r>
        <w:t xml:space="preserve">约8:31-32</w:t>
      </w:r>
    </w:p>
  </w:footnote>
  <w:footnote w:id="132">
    <w:p>
      <w:pPr>
        <w:pStyle w:val="FootnoteText"/>
      </w:pPr>
      <w:r>
        <w:rPr>
          <w:rStyle w:val="FootnoteReference"/>
        </w:rPr>
        <w:footnoteRef/>
      </w:r>
      <w:r>
        <w:t xml:space="preserve"> </w:t>
      </w:r>
      <w:r>
        <w:t xml:space="preserve">参梵一：nexus mysteriorum（DS 3016）；LG 25</w:t>
      </w:r>
    </w:p>
  </w:footnote>
  <w:footnote w:id="133">
    <w:p>
      <w:pPr>
        <w:pStyle w:val="FootnoteText"/>
      </w:pPr>
      <w:r>
        <w:rPr>
          <w:rStyle w:val="FootnoteReference"/>
        </w:rPr>
        <w:footnoteRef/>
      </w:r>
      <w:r>
        <w:t xml:space="preserve"> </w:t>
      </w:r>
      <w:r>
        <w:t xml:space="preserve">UR II</w:t>
      </w:r>
    </w:p>
  </w:footnote>
  <w:footnote w:id="135">
    <w:p>
      <w:pPr>
        <w:pStyle w:val="FootnoteText"/>
      </w:pPr>
      <w:r>
        <w:rPr>
          <w:rStyle w:val="FootnoteReference"/>
        </w:rPr>
        <w:footnoteRef/>
      </w:r>
      <w:r>
        <w:t xml:space="preserve"> </w:t>
      </w:r>
      <w:r>
        <w:t xml:space="preserve">约壹2:20,27</w:t>
      </w:r>
    </w:p>
  </w:footnote>
  <w:footnote w:id="136">
    <w:p>
      <w:pPr>
        <w:pStyle w:val="FootnoteText"/>
      </w:pPr>
      <w:r>
        <w:rPr>
          <w:rStyle w:val="FootnoteReference"/>
        </w:rPr>
        <w:footnoteRef/>
      </w:r>
      <w:r>
        <w:t xml:space="preserve"> </w:t>
      </w:r>
      <w:r>
        <w:t xml:space="preserve">约16:13</w:t>
      </w:r>
    </w:p>
  </w:footnote>
  <w:footnote w:id="137">
    <w:p>
      <w:pPr>
        <w:pStyle w:val="FootnoteText"/>
      </w:pPr>
      <w:r>
        <w:rPr>
          <w:rStyle w:val="FootnoteReference"/>
        </w:rPr>
        <w:footnoteRef/>
      </w:r>
      <w:r>
        <w:t xml:space="preserve"> </w:t>
      </w:r>
      <w:r>
        <w:t xml:space="preserve">LG 12；参圣奥古斯丁，《论圣徒预定》14,27：PL 44,980</w:t>
      </w:r>
    </w:p>
  </w:footnote>
  <w:footnote w:id="138">
    <w:p>
      <w:pPr>
        <w:pStyle w:val="FootnoteText"/>
      </w:pPr>
      <w:r>
        <w:rPr>
          <w:rStyle w:val="FootnoteReference"/>
        </w:rPr>
        <w:footnoteRef/>
      </w:r>
      <w:r>
        <w:t xml:space="preserve"> </w:t>
      </w:r>
      <w:r>
        <w:t xml:space="preserve">LG 12；参犹3</w:t>
      </w:r>
    </w:p>
  </w:footnote>
  <w:footnote w:id="139">
    <w:p>
      <w:pPr>
        <w:pStyle w:val="FootnoteText"/>
      </w:pPr>
      <w:r>
        <w:rPr>
          <w:rStyle w:val="FootnoteReference"/>
        </w:rPr>
        <w:footnoteRef/>
      </w:r>
      <w:r>
        <w:t xml:space="preserve"> </w:t>
      </w:r>
      <w:r>
        <w:t xml:space="preserve">DV 8 §2；参路2:19,51</w:t>
      </w:r>
    </w:p>
  </w:footnote>
  <w:footnote w:id="140">
    <w:p>
      <w:pPr>
        <w:pStyle w:val="FootnoteText"/>
      </w:pPr>
      <w:r>
        <w:rPr>
          <w:rStyle w:val="FootnoteReference"/>
        </w:rPr>
        <w:footnoteRef/>
      </w:r>
      <w:r>
        <w:t xml:space="preserve"> </w:t>
      </w:r>
      <w:r>
        <w:t xml:space="preserve">GS 62 §7；参 GS 44 §2；DV 23；24；UR 4</w:t>
      </w:r>
    </w:p>
  </w:footnote>
  <w:footnote w:id="141">
    <w:p>
      <w:pPr>
        <w:pStyle w:val="FootnoteText"/>
      </w:pPr>
      <w:r>
        <w:rPr>
          <w:rStyle w:val="FootnoteReference"/>
        </w:rPr>
        <w:footnoteRef/>
      </w:r>
      <w:r>
        <w:t xml:space="preserve"> </w:t>
      </w:r>
      <w:r>
        <w:t xml:space="preserve">DV 8 §2</w:t>
      </w:r>
    </w:p>
  </w:footnote>
  <w:footnote w:id="142">
    <w:p>
      <w:pPr>
        <w:pStyle w:val="FootnoteText"/>
      </w:pPr>
      <w:r>
        <w:rPr>
          <w:rStyle w:val="FootnoteReference"/>
        </w:rPr>
        <w:footnoteRef/>
      </w:r>
      <w:r>
        <w:t xml:space="preserve"> </w:t>
      </w:r>
      <w:r>
        <w:t xml:space="preserve">DV 8 §2</w:t>
      </w:r>
    </w:p>
  </w:footnote>
  <w:footnote w:id="143">
    <w:p>
      <w:pPr>
        <w:pStyle w:val="FootnoteText"/>
      </w:pPr>
      <w:r>
        <w:rPr>
          <w:rStyle w:val="FootnoteReference"/>
        </w:rPr>
        <w:footnoteRef/>
      </w:r>
      <w:r>
        <w:t xml:space="preserve"> </w:t>
      </w:r>
      <w:r>
        <w:t xml:space="preserve">圣额我略一世，《厄则克尔讲道》1,7,8：PL 76,843D</w:t>
      </w:r>
    </w:p>
  </w:footnote>
  <w:footnote w:id="144">
    <w:p>
      <w:pPr>
        <w:pStyle w:val="FootnoteText"/>
      </w:pPr>
      <w:r>
        <w:rPr>
          <w:rStyle w:val="FootnoteReference"/>
        </w:rPr>
        <w:footnoteRef/>
      </w:r>
      <w:r>
        <w:t xml:space="preserve"> </w:t>
      </w:r>
      <w:r>
        <w:t xml:space="preserve">DV 10 §3</w:t>
      </w:r>
    </w:p>
  </w:footnote>
  <w:footnote w:id="149">
    <w:p>
      <w:pPr>
        <w:pStyle w:val="FootnoteText"/>
      </w:pPr>
      <w:r>
        <w:rPr>
          <w:rStyle w:val="FootnoteReference"/>
        </w:rPr>
        <w:footnoteRef/>
      </w:r>
      <w:r>
        <w:t xml:space="preserve"> </w:t>
      </w:r>
      <w:r>
        <w:t xml:space="preserve">DV 13。</w:t>
      </w:r>
    </w:p>
  </w:footnote>
  <w:footnote w:id="150">
    <w:p>
      <w:pPr>
        <w:pStyle w:val="FootnoteText"/>
      </w:pPr>
      <w:r>
        <w:rPr>
          <w:rStyle w:val="FootnoteReference"/>
        </w:rPr>
        <w:footnoteRef/>
      </w:r>
      <w:r>
        <w:t xml:space="preserve"> </w:t>
      </w:r>
      <w:r>
        <w:t xml:space="preserve">参来1:1-3。</w:t>
      </w:r>
    </w:p>
  </w:footnote>
  <w:footnote w:id="151">
    <w:p>
      <w:pPr>
        <w:pStyle w:val="FootnoteText"/>
      </w:pPr>
      <w:r>
        <w:rPr>
          <w:rStyle w:val="FootnoteReference"/>
        </w:rPr>
        <w:footnoteRef/>
      </w:r>
      <w:r>
        <w:t xml:space="preserve"> </w:t>
      </w:r>
      <w:r>
        <w:t xml:space="preserve">圣奥古斯丁，《诗篇讲解》103,4,1：PL 37,1378；参诗 104；约 1:1。</w:t>
      </w:r>
    </w:p>
  </w:footnote>
  <w:footnote w:id="152">
    <w:p>
      <w:pPr>
        <w:pStyle w:val="FootnoteText"/>
      </w:pPr>
      <w:r>
        <w:rPr>
          <w:rStyle w:val="FootnoteReference"/>
        </w:rPr>
        <w:footnoteRef/>
      </w:r>
      <w:r>
        <w:t xml:space="preserve"> </w:t>
      </w:r>
      <w:r>
        <w:t xml:space="preserve">参《神的道》21。</w:t>
      </w:r>
    </w:p>
  </w:footnote>
  <w:footnote w:id="153">
    <w:p>
      <w:pPr>
        <w:pStyle w:val="FootnoteText"/>
      </w:pPr>
      <w:r>
        <w:rPr>
          <w:rStyle w:val="FootnoteReference"/>
        </w:rPr>
        <w:footnoteRef/>
      </w:r>
      <w:r>
        <w:t xml:space="preserve"> </w:t>
      </w:r>
      <w:r>
        <w:t xml:space="preserve">帖前2:13；参《神的道》24。</w:t>
      </w:r>
    </w:p>
  </w:footnote>
  <w:footnote w:id="154">
    <w:p>
      <w:pPr>
        <w:pStyle w:val="FootnoteText"/>
      </w:pPr>
      <w:r>
        <w:rPr>
          <w:rStyle w:val="FootnoteReference"/>
        </w:rPr>
        <w:footnoteRef/>
      </w:r>
      <w:r>
        <w:t xml:space="preserve"> </w:t>
      </w:r>
      <w:r>
        <w:t xml:space="preserve">《神的道》21。</w:t>
      </w:r>
    </w:p>
  </w:footnote>
  <w:footnote w:id="156">
    <w:p>
      <w:pPr>
        <w:pStyle w:val="FootnoteText"/>
      </w:pPr>
      <w:r>
        <w:rPr>
          <w:rStyle w:val="FootnoteReference"/>
        </w:rPr>
        <w:footnoteRef/>
      </w:r>
      <w:r>
        <w:t xml:space="preserve"> </w:t>
      </w:r>
      <w:r>
        <w:t xml:space="preserve">DV 11。</w:t>
      </w:r>
    </w:p>
  </w:footnote>
  <w:footnote w:id="157">
    <w:p>
      <w:pPr>
        <w:pStyle w:val="FootnoteText"/>
      </w:pPr>
      <w:r>
        <w:rPr>
          <w:rStyle w:val="FootnoteReference"/>
        </w:rPr>
        <w:footnoteRef/>
      </w:r>
      <w:r>
        <w:t xml:space="preserve"> </w:t>
      </w:r>
      <w:r>
        <w:t xml:space="preserve">DV 11；参约20:31；提后3:16；彼后1:19-21；3:15-16。</w:t>
      </w:r>
    </w:p>
  </w:footnote>
  <w:footnote w:id="158">
    <w:p>
      <w:pPr>
        <w:pStyle w:val="FootnoteText"/>
      </w:pPr>
      <w:r>
        <w:rPr>
          <w:rStyle w:val="FootnoteReference"/>
        </w:rPr>
        <w:footnoteRef/>
      </w:r>
      <w:r>
        <w:t xml:space="preserve"> </w:t>
      </w:r>
      <w:r>
        <w:t xml:space="preserve">DV 11。</w:t>
      </w:r>
    </w:p>
  </w:footnote>
  <w:footnote w:id="159">
    <w:p>
      <w:pPr>
        <w:pStyle w:val="FootnoteText"/>
      </w:pPr>
      <w:r>
        <w:rPr>
          <w:rStyle w:val="FootnoteReference"/>
        </w:rPr>
        <w:footnoteRef/>
      </w:r>
      <w:r>
        <w:t xml:space="preserve"> </w:t>
      </w:r>
      <w:r>
        <w:t xml:space="preserve">DV 11。</w:t>
      </w:r>
    </w:p>
  </w:footnote>
  <w:footnote w:id="160">
    <w:p>
      <w:pPr>
        <w:pStyle w:val="FootnoteText"/>
      </w:pPr>
      <w:r>
        <w:rPr>
          <w:rStyle w:val="FootnoteReference"/>
        </w:rPr>
        <w:footnoteRef/>
      </w:r>
      <w:r>
        <w:t xml:space="preserve"> </w:t>
      </w:r>
      <w:r>
        <w:t xml:space="preserve">圣贝尔纳铎，《讲道·天使奉遣》4,11：PL 183,86。</w:t>
      </w:r>
    </w:p>
  </w:footnote>
  <w:footnote w:id="161">
    <w:p>
      <w:pPr>
        <w:pStyle w:val="FootnoteText"/>
      </w:pPr>
      <w:r>
        <w:rPr>
          <w:rStyle w:val="FootnoteReference"/>
        </w:rPr>
        <w:footnoteRef/>
      </w:r>
      <w:r>
        <w:t xml:space="preserve"> </w:t>
      </w:r>
      <w:r>
        <w:t xml:space="preserve">参路24:45。</w:t>
      </w:r>
    </w:p>
  </w:footnote>
  <w:footnote w:id="163">
    <w:p>
      <w:pPr>
        <w:pStyle w:val="FootnoteText"/>
      </w:pPr>
      <w:r>
        <w:rPr>
          <w:rStyle w:val="FootnoteReference"/>
        </w:rPr>
        <w:footnoteRef/>
      </w:r>
      <w:r>
        <w:t xml:space="preserve"> </w:t>
      </w:r>
      <w:r>
        <w:t xml:space="preserve">参 DV 12 § 1。</w:t>
      </w:r>
    </w:p>
  </w:footnote>
  <w:footnote w:id="164">
    <w:p>
      <w:pPr>
        <w:pStyle w:val="FootnoteText"/>
      </w:pPr>
      <w:r>
        <w:rPr>
          <w:rStyle w:val="FootnoteReference"/>
        </w:rPr>
        <w:footnoteRef/>
      </w:r>
      <w:r>
        <w:t xml:space="preserve"> </w:t>
      </w:r>
      <w:r>
        <w:t xml:space="preserve">DV 12 § 2。</w:t>
      </w:r>
    </w:p>
  </w:footnote>
  <w:footnote w:id="165">
    <w:p>
      <w:pPr>
        <w:pStyle w:val="FootnoteText"/>
      </w:pPr>
      <w:r>
        <w:rPr>
          <w:rStyle w:val="FootnoteReference"/>
        </w:rPr>
        <w:footnoteRef/>
      </w:r>
      <w:r>
        <w:t xml:space="preserve"> </w:t>
      </w:r>
      <w:r>
        <w:t xml:space="preserve">DV 12 § 3。</w:t>
      </w:r>
    </w:p>
  </w:footnote>
  <w:footnote w:id="166">
    <w:p>
      <w:pPr>
        <w:pStyle w:val="FootnoteText"/>
      </w:pPr>
      <w:r>
        <w:rPr>
          <w:rStyle w:val="FootnoteReference"/>
        </w:rPr>
        <w:footnoteRef/>
      </w:r>
      <w:r>
        <w:t xml:space="preserve"> </w:t>
      </w:r>
      <w:r>
        <w:t xml:space="preserve">参 DV 12 § 4。</w:t>
      </w:r>
    </w:p>
  </w:footnote>
  <w:footnote w:id="167">
    <w:p>
      <w:pPr>
        <w:pStyle w:val="FootnoteText"/>
      </w:pPr>
      <w:r>
        <w:rPr>
          <w:rStyle w:val="FootnoteReference"/>
        </w:rPr>
        <w:footnoteRef/>
      </w:r>
      <w:r>
        <w:t xml:space="preserve"> </w:t>
      </w:r>
      <w:r>
        <w:t xml:space="preserve">参路24:25-27,44-46。</w:t>
      </w:r>
    </w:p>
  </w:footnote>
  <w:footnote w:id="168">
    <w:p>
      <w:pPr>
        <w:pStyle w:val="FootnoteText"/>
      </w:pPr>
      <w:r>
        <w:rPr>
          <w:rStyle w:val="FootnoteReference"/>
        </w:rPr>
        <w:footnoteRef/>
      </w:r>
      <w:r>
        <w:t xml:space="preserve"> </w:t>
      </w:r>
      <w:r>
        <w:t xml:space="preserve">圣托马斯·阿奎那，《诗篇讲解》21,11；参诗22:14。</w:t>
      </w:r>
    </w:p>
  </w:footnote>
  <w:footnote w:id="169">
    <w:p>
      <w:pPr>
        <w:pStyle w:val="FootnoteText"/>
      </w:pPr>
      <w:r>
        <w:rPr>
          <w:rStyle w:val="FootnoteReference"/>
        </w:rPr>
        <w:footnoteRef/>
      </w:r>
      <w:r>
        <w:t xml:space="preserve"> </w:t>
      </w:r>
      <w:r>
        <w:t xml:space="preserve">俄利根，《论肋未纪讲道》5,5：PG 12,454D。</w:t>
      </w:r>
    </w:p>
  </w:footnote>
  <w:footnote w:id="170">
    <w:p>
      <w:pPr>
        <w:pStyle w:val="FootnoteText"/>
      </w:pPr>
      <w:r>
        <w:rPr>
          <w:rStyle w:val="FootnoteReference"/>
        </w:rPr>
        <w:footnoteRef/>
      </w:r>
      <w:r>
        <w:t xml:space="preserve"> </w:t>
      </w:r>
      <w:r>
        <w:t xml:space="preserve">参罗12:6。</w:t>
      </w:r>
    </w:p>
  </w:footnote>
  <w:footnote w:id="171">
    <w:p>
      <w:pPr>
        <w:pStyle w:val="FootnoteText"/>
      </w:pPr>
      <w:r>
        <w:rPr>
          <w:rStyle w:val="FootnoteReference"/>
        </w:rPr>
        <w:footnoteRef/>
      </w:r>
      <w:r>
        <w:t xml:space="preserve"> </w:t>
      </w:r>
      <w:r>
        <w:t xml:space="preserve">圣托马斯·阿奎那，《神学大全》I,1,10,ad I。</w:t>
      </w:r>
    </w:p>
  </w:footnote>
  <w:footnote w:id="172">
    <w:p>
      <w:pPr>
        <w:pStyle w:val="FootnoteText"/>
      </w:pPr>
      <w:r>
        <w:rPr>
          <w:rStyle w:val="FootnoteReference"/>
        </w:rPr>
        <w:footnoteRef/>
      </w:r>
      <w:r>
        <w:t xml:space="preserve"> </w:t>
      </w:r>
      <w:r>
        <w:t xml:space="preserve">参林前10:2。</w:t>
      </w:r>
    </w:p>
  </w:footnote>
  <w:footnote w:id="173">
    <w:p>
      <w:pPr>
        <w:pStyle w:val="FootnoteText"/>
      </w:pPr>
      <w:r>
        <w:rPr>
          <w:rStyle w:val="FootnoteReference"/>
        </w:rPr>
        <w:footnoteRef/>
      </w:r>
      <w:r>
        <w:t xml:space="preserve"> </w:t>
      </w:r>
      <w:r>
        <w:t xml:space="preserve">林前10:11；参来3:1-4:11。</w:t>
      </w:r>
    </w:p>
  </w:footnote>
  <w:footnote w:id="174">
    <w:p>
      <w:pPr>
        <w:pStyle w:val="FootnoteText"/>
      </w:pPr>
      <w:r>
        <w:rPr>
          <w:rStyle w:val="FootnoteReference"/>
        </w:rPr>
        <w:footnoteRef/>
      </w:r>
      <w:r>
        <w:t xml:space="preserve"> </w:t>
      </w:r>
      <w:r>
        <w:t xml:space="preserve">参启21:1-22:5。</w:t>
      </w:r>
    </w:p>
  </w:footnote>
  <w:footnote w:id="175">
    <w:p>
      <w:pPr>
        <w:pStyle w:val="FootnoteText"/>
      </w:pPr>
      <w:r>
        <w:rPr>
          <w:rStyle w:val="FootnoteReference"/>
        </w:rPr>
        <w:footnoteRef/>
      </w:r>
      <w:r>
        <w:t xml:space="preserve"> </w:t>
      </w:r>
      <w:r>
        <w:t xml:space="preserve">Lettera gesta docet, quid credas allegoria, moralis quid agas, quo tendas anagogia；达契亚的奥古斯丁，《手札卷》，I：A. Walz 编：《安琪利库姆》6 (1929) 256。</w:t>
      </w:r>
    </w:p>
  </w:footnote>
  <w:footnote w:id="176">
    <w:p>
      <w:pPr>
        <w:pStyle w:val="FootnoteText"/>
      </w:pPr>
      <w:r>
        <w:rPr>
          <w:rStyle w:val="FootnoteReference"/>
        </w:rPr>
        <w:footnoteRef/>
      </w:r>
      <w:r>
        <w:t xml:space="preserve"> </w:t>
      </w:r>
      <w:r>
        <w:t xml:space="preserve">DV 12 § 3。</w:t>
      </w:r>
    </w:p>
  </w:footnote>
  <w:footnote w:id="177">
    <w:p>
      <w:pPr>
        <w:pStyle w:val="FootnoteText"/>
      </w:pPr>
      <w:r>
        <w:rPr>
          <w:rStyle w:val="FootnoteReference"/>
        </w:rPr>
        <w:footnoteRef/>
      </w:r>
      <w:r>
        <w:t xml:space="preserve"> </w:t>
      </w:r>
      <w:r>
        <w:t xml:space="preserve">圣奥古斯丁，《驳摩尼教书信》5,6：PL 42,176。</w:t>
      </w:r>
    </w:p>
  </w:footnote>
  <w:footnote w:id="180">
    <w:p>
      <w:pPr>
        <w:pStyle w:val="FootnoteText"/>
      </w:pPr>
      <w:r>
        <w:rPr>
          <w:rStyle w:val="FootnoteReference"/>
        </w:rPr>
        <w:footnoteRef/>
      </w:r>
      <w:r>
        <w:t xml:space="preserve"> </w:t>
      </w:r>
      <w:r>
        <w:t xml:space="preserve">参 DV 8 § 3。</w:t>
      </w:r>
    </w:p>
  </w:footnote>
  <w:footnote w:id="181">
    <w:p>
      <w:pPr>
        <w:pStyle w:val="FootnoteText"/>
      </w:pPr>
      <w:r>
        <w:rPr>
          <w:rStyle w:val="FootnoteReference"/>
        </w:rPr>
        <w:footnoteRef/>
      </w:r>
      <w:r>
        <w:t xml:space="preserve"> </w:t>
      </w:r>
      <w:r>
        <w:t xml:space="preserve">参 DV 14。</w:t>
      </w:r>
    </w:p>
  </w:footnote>
  <w:footnote w:id="182">
    <w:p>
      <w:pPr>
        <w:pStyle w:val="FootnoteText"/>
      </w:pPr>
      <w:r>
        <w:rPr>
          <w:rStyle w:val="FootnoteReference"/>
        </w:rPr>
        <w:footnoteRef/>
      </w:r>
      <w:r>
        <w:t xml:space="preserve"> </w:t>
      </w:r>
      <w:r>
        <w:t xml:space="preserve">DV 15。</w:t>
      </w:r>
    </w:p>
  </w:footnote>
  <w:footnote w:id="183">
    <w:p>
      <w:pPr>
        <w:pStyle w:val="FootnoteText"/>
      </w:pPr>
      <w:r>
        <w:rPr>
          <w:rStyle w:val="FootnoteReference"/>
        </w:rPr>
        <w:footnoteRef/>
      </w:r>
      <w:r>
        <w:t xml:space="preserve"> </w:t>
      </w:r>
      <w:r>
        <w:t xml:space="preserve">DV 15。</w:t>
      </w:r>
    </w:p>
  </w:footnote>
  <w:footnote w:id="184">
    <w:p>
      <w:pPr>
        <w:pStyle w:val="FootnoteText"/>
      </w:pPr>
      <w:r>
        <w:rPr>
          <w:rStyle w:val="FootnoteReference"/>
        </w:rPr>
        <w:footnoteRef/>
      </w:r>
      <w:r>
        <w:t xml:space="preserve"> </w:t>
      </w:r>
      <w:r>
        <w:t xml:space="preserve">DV 15。</w:t>
      </w:r>
    </w:p>
  </w:footnote>
  <w:footnote w:id="185">
    <w:p>
      <w:pPr>
        <w:pStyle w:val="FootnoteText"/>
      </w:pPr>
      <w:r>
        <w:rPr>
          <w:rStyle w:val="FootnoteReference"/>
        </w:rPr>
        <w:footnoteRef/>
      </w:r>
      <w:r>
        <w:t xml:space="preserve"> </w:t>
      </w:r>
      <w:r>
        <w:t xml:space="preserve">DV 17；参 罗 1:16。</w:t>
      </w:r>
    </w:p>
  </w:footnote>
  <w:footnote w:id="186">
    <w:p>
      <w:pPr>
        <w:pStyle w:val="FootnoteText"/>
      </w:pPr>
      <w:r>
        <w:rPr>
          <w:rStyle w:val="FootnoteReference"/>
        </w:rPr>
        <w:footnoteRef/>
      </w:r>
      <w:r>
        <w:t xml:space="preserve"> </w:t>
      </w:r>
      <w:r>
        <w:t xml:space="preserve">参 DV 20。</w:t>
      </w:r>
    </w:p>
  </w:footnote>
  <w:footnote w:id="187">
    <w:p>
      <w:pPr>
        <w:pStyle w:val="FootnoteText"/>
      </w:pPr>
      <w:r>
        <w:rPr>
          <w:rStyle w:val="FootnoteReference"/>
        </w:rPr>
        <w:footnoteRef/>
      </w:r>
      <w:r>
        <w:t xml:space="preserve"> </w:t>
      </w:r>
      <w:r>
        <w:t xml:space="preserve">DV 18。</w:t>
      </w:r>
    </w:p>
  </w:footnote>
  <w:footnote w:id="188">
    <w:p>
      <w:pPr>
        <w:pStyle w:val="FootnoteText"/>
      </w:pPr>
      <w:r>
        <w:rPr>
          <w:rStyle w:val="FootnoteReference"/>
        </w:rPr>
        <w:footnoteRef/>
      </w:r>
      <w:r>
        <w:t xml:space="preserve"> </w:t>
      </w:r>
      <w:r>
        <w:t xml:space="preserve">DV 19；参 徒 1:1-2。</w:t>
      </w:r>
    </w:p>
  </w:footnote>
  <w:footnote w:id="189">
    <w:p>
      <w:pPr>
        <w:pStyle w:val="FootnoteText"/>
      </w:pPr>
      <w:r>
        <w:rPr>
          <w:rStyle w:val="FootnoteReference"/>
        </w:rPr>
        <w:footnoteRef/>
      </w:r>
      <w:r>
        <w:t xml:space="preserve"> </w:t>
      </w:r>
      <w:r>
        <w:t xml:space="preserve">DV 19。</w:t>
      </w:r>
    </w:p>
  </w:footnote>
  <w:footnote w:id="190">
    <w:p>
      <w:pPr>
        <w:pStyle w:val="FootnoteText"/>
      </w:pPr>
      <w:r>
        <w:rPr>
          <w:rStyle w:val="FootnoteReference"/>
        </w:rPr>
        <w:footnoteRef/>
      </w:r>
      <w:r>
        <w:t xml:space="preserve"> </w:t>
      </w:r>
      <w:r>
        <w:t xml:space="preserve">DV 19。</w:t>
      </w:r>
    </w:p>
  </w:footnote>
  <w:footnote w:id="191">
    <w:p>
      <w:pPr>
        <w:pStyle w:val="FootnoteText"/>
      </w:pPr>
      <w:r>
        <w:rPr>
          <w:rStyle w:val="FootnoteReference"/>
        </w:rPr>
        <w:footnoteRef/>
      </w:r>
      <w:r>
        <w:t xml:space="preserve"> </w:t>
      </w:r>
      <w:r>
        <w:t xml:space="preserve">小凯撒利亚写给圣瑞希尔迪斯与圣拉德贡达，SCh 345, 480。</w:t>
      </w:r>
    </w:p>
  </w:footnote>
  <w:footnote w:id="192">
    <w:p>
      <w:pPr>
        <w:pStyle w:val="FootnoteText"/>
      </w:pPr>
      <w:r>
        <w:rPr>
          <w:rStyle w:val="FootnoteReference"/>
        </w:rPr>
        <w:footnoteRef/>
      </w:r>
      <w:r>
        <w:t xml:space="preserve"> </w:t>
      </w:r>
      <w:r>
        <w:t xml:space="preserve">圣德兰（里修），自传手稿 A 83v。</w:t>
      </w:r>
    </w:p>
  </w:footnote>
  <w:footnote w:id="193">
    <w:p>
      <w:pPr>
        <w:pStyle w:val="FootnoteText"/>
      </w:pPr>
      <w:r>
        <w:rPr>
          <w:rStyle w:val="FootnoteReference"/>
        </w:rPr>
        <w:footnoteRef/>
      </w:r>
      <w:r>
        <w:t xml:space="preserve"> </w:t>
      </w:r>
      <w:r>
        <w:t xml:space="preserve">参 林前 10:6,11；来 10:1；彼前 3:21。</w:t>
      </w:r>
    </w:p>
  </w:footnote>
  <w:footnote w:id="194">
    <w:p>
      <w:pPr>
        <w:pStyle w:val="FootnoteText"/>
      </w:pPr>
      <w:r>
        <w:rPr>
          <w:rStyle w:val="FootnoteReference"/>
        </w:rPr>
        <w:footnoteRef/>
      </w:r>
      <w:r>
        <w:t xml:space="preserve"> </w:t>
      </w:r>
      <w:r>
        <w:t xml:space="preserve">参 可 12:29-31。</w:t>
      </w:r>
    </w:p>
  </w:footnote>
  <w:footnote w:id="195">
    <w:p>
      <w:pPr>
        <w:pStyle w:val="FootnoteText"/>
      </w:pPr>
      <w:r>
        <w:rPr>
          <w:rStyle w:val="FootnoteReference"/>
        </w:rPr>
        <w:footnoteRef/>
      </w:r>
      <w:r>
        <w:t xml:space="preserve"> </w:t>
      </w:r>
      <w:r>
        <w:t xml:space="preserve">参 林前 5:6-8；10:1-11。</w:t>
      </w:r>
    </w:p>
  </w:footnote>
  <w:footnote w:id="196">
    <w:p>
      <w:pPr>
        <w:pStyle w:val="FootnoteText"/>
      </w:pPr>
      <w:r>
        <w:rPr>
          <w:rStyle w:val="FootnoteReference"/>
        </w:rPr>
        <w:footnoteRef/>
      </w:r>
      <w:r>
        <w:t xml:space="preserve"> </w:t>
      </w:r>
      <w:r>
        <w:t xml:space="preserve">参 圣奥古斯丁，《七卷疑问》2,73：PL 34,623；参 DV 16。</w:t>
      </w:r>
    </w:p>
  </w:footnote>
  <w:footnote w:id="197">
    <w:p>
      <w:pPr>
        <w:pStyle w:val="FootnoteText"/>
      </w:pPr>
      <w:r>
        <w:rPr>
          <w:rStyle w:val="FootnoteReference"/>
        </w:rPr>
        <w:footnoteRef/>
      </w:r>
      <w:r>
        <w:t xml:space="preserve"> </w:t>
      </w:r>
      <w:r>
        <w:t xml:space="preserve">林前 15:28。</w:t>
      </w:r>
    </w:p>
  </w:footnote>
  <w:footnote w:id="200">
    <w:p>
      <w:pPr>
        <w:pStyle w:val="FootnoteText"/>
      </w:pPr>
      <w:r>
        <w:rPr>
          <w:rStyle w:val="FootnoteReference"/>
        </w:rPr>
        <w:footnoteRef/>
      </w:r>
      <w:r>
        <w:t xml:space="preserve"> </w:t>
      </w:r>
      <w:r>
        <w:t xml:space="preserve">DV 21。</w:t>
      </w:r>
    </w:p>
  </w:footnote>
  <w:footnote w:id="201">
    <w:p>
      <w:pPr>
        <w:pStyle w:val="FootnoteText"/>
      </w:pPr>
      <w:r>
        <w:rPr>
          <w:rStyle w:val="FootnoteReference"/>
        </w:rPr>
        <w:footnoteRef/>
      </w:r>
      <w:r>
        <w:t xml:space="preserve"> </w:t>
      </w:r>
      <w:r>
        <w:t xml:space="preserve">DV 22。</w:t>
      </w:r>
    </w:p>
  </w:footnote>
  <w:footnote w:id="202">
    <w:p>
      <w:pPr>
        <w:pStyle w:val="FootnoteText"/>
      </w:pPr>
      <w:r>
        <w:rPr>
          <w:rStyle w:val="FootnoteReference"/>
        </w:rPr>
        <w:footnoteRef/>
      </w:r>
      <w:r>
        <w:t xml:space="preserve"> </w:t>
      </w:r>
      <w:r>
        <w:t xml:space="preserve">DV 24。</w:t>
      </w:r>
    </w:p>
  </w:footnote>
  <w:footnote w:id="203">
    <w:p>
      <w:pPr>
        <w:pStyle w:val="FootnoteText"/>
      </w:pPr>
      <w:r>
        <w:rPr>
          <w:rStyle w:val="FootnoteReference"/>
        </w:rPr>
        <w:footnoteRef/>
      </w:r>
      <w:r>
        <w:t xml:space="preserve"> </w:t>
      </w:r>
      <w:r>
        <w:t xml:space="preserve">DV 25；参 腓 3:8 及 圣耶柔米，《以赛亚注释》卷十八序：PL 24,17B。</w:t>
      </w:r>
    </w:p>
  </w:footnote>
  <w:footnote w:id="208">
    <w:p>
      <w:pPr>
        <w:pStyle w:val="FootnoteText"/>
      </w:pPr>
      <w:r>
        <w:rPr>
          <w:rStyle w:val="FootnoteReference"/>
        </w:rPr>
        <w:footnoteRef/>
      </w:r>
      <w:r>
        <w:t xml:space="preserve"> </w:t>
      </w:r>
      <w:r>
        <w:t xml:space="preserve">DV 2；参 西 1:15；提前 1:17；出 33:11；约 15:14-15；巴录 3:38（武加大）。</w:t>
      </w:r>
    </w:p>
  </w:footnote>
  <w:footnote w:id="209">
    <w:p>
      <w:pPr>
        <w:pStyle w:val="FootnoteText"/>
      </w:pPr>
      <w:r>
        <w:rPr>
          <w:rStyle w:val="FootnoteReference"/>
        </w:rPr>
        <w:footnoteRef/>
      </w:r>
      <w:r>
        <w:t xml:space="preserve"> </w:t>
      </w:r>
      <w:r>
        <w:t xml:space="preserve">参 DV 5。</w:t>
      </w:r>
    </w:p>
  </w:footnote>
  <w:footnote w:id="210">
    <w:p>
      <w:pPr>
        <w:pStyle w:val="FootnoteText"/>
      </w:pPr>
      <w:r>
        <w:rPr>
          <w:rStyle w:val="FootnoteReference"/>
        </w:rPr>
        <w:footnoteRef/>
      </w:r>
      <w:r>
        <w:t xml:space="preserve"> </w:t>
      </w:r>
      <w:r>
        <w:t xml:space="preserve">参 罗 1:5；16:26。</w:t>
      </w:r>
    </w:p>
  </w:footnote>
  <w:footnote w:id="211">
    <w:p>
      <w:pPr>
        <w:pStyle w:val="FootnoteText"/>
      </w:pPr>
      <w:r>
        <w:rPr>
          <w:rStyle w:val="FootnoteReference"/>
        </w:rPr>
        <w:footnoteRef/>
      </w:r>
      <w:r>
        <w:t xml:space="preserve"> </w:t>
      </w:r>
      <w:r>
        <w:t xml:space="preserve">来 11:8；参 创 12:1-4。</w:t>
      </w:r>
    </w:p>
  </w:footnote>
  <w:footnote w:id="212">
    <w:p>
      <w:pPr>
        <w:pStyle w:val="FootnoteText"/>
      </w:pPr>
      <w:r>
        <w:rPr>
          <w:rStyle w:val="FootnoteReference"/>
        </w:rPr>
        <w:footnoteRef/>
      </w:r>
      <w:r>
        <w:t xml:space="preserve"> </w:t>
      </w:r>
      <w:r>
        <w:t xml:space="preserve">参 创 23:4。</w:t>
      </w:r>
    </w:p>
  </w:footnote>
  <w:footnote w:id="213">
    <w:p>
      <w:pPr>
        <w:pStyle w:val="FootnoteText"/>
      </w:pPr>
      <w:r>
        <w:rPr>
          <w:rStyle w:val="FootnoteReference"/>
        </w:rPr>
        <w:footnoteRef/>
      </w:r>
      <w:r>
        <w:t xml:space="preserve"> </w:t>
      </w:r>
      <w:r>
        <w:t xml:space="preserve">参 来 11:17。</w:t>
      </w:r>
    </w:p>
  </w:footnote>
  <w:footnote w:id="214">
    <w:p>
      <w:pPr>
        <w:pStyle w:val="FootnoteText"/>
      </w:pPr>
      <w:r>
        <w:rPr>
          <w:rStyle w:val="FootnoteReference"/>
        </w:rPr>
        <w:footnoteRef/>
      </w:r>
      <w:r>
        <w:t xml:space="preserve"> </w:t>
      </w:r>
      <w:r>
        <w:t xml:space="preserve">来 11:1。</w:t>
      </w:r>
    </w:p>
  </w:footnote>
  <w:footnote w:id="215">
    <w:p>
      <w:pPr>
        <w:pStyle w:val="FootnoteText"/>
      </w:pPr>
      <w:r>
        <w:rPr>
          <w:rStyle w:val="FootnoteReference"/>
        </w:rPr>
        <w:footnoteRef/>
      </w:r>
      <w:r>
        <w:t xml:space="preserve"> </w:t>
      </w:r>
      <w:r>
        <w:t xml:space="preserve">罗 4:3；参 创 15:6。</w:t>
      </w:r>
    </w:p>
  </w:footnote>
  <w:footnote w:id="216">
    <w:p>
      <w:pPr>
        <w:pStyle w:val="FootnoteText"/>
      </w:pPr>
      <w:r>
        <w:rPr>
          <w:rStyle w:val="FootnoteReference"/>
        </w:rPr>
        <w:footnoteRef/>
      </w:r>
      <w:r>
        <w:t xml:space="preserve"> </w:t>
      </w:r>
      <w:r>
        <w:t xml:space="preserve">罗 4:11,18；4:20；参 创 15:5。</w:t>
      </w:r>
    </w:p>
  </w:footnote>
  <w:footnote w:id="217">
    <w:p>
      <w:pPr>
        <w:pStyle w:val="FootnoteText"/>
      </w:pPr>
      <w:r>
        <w:rPr>
          <w:rStyle w:val="FootnoteReference"/>
        </w:rPr>
        <w:footnoteRef/>
      </w:r>
      <w:r>
        <w:t xml:space="preserve"> </w:t>
      </w:r>
      <w:r>
        <w:t xml:space="preserve">来 11:2，39。</w:t>
      </w:r>
    </w:p>
  </w:footnote>
  <w:footnote w:id="218">
    <w:p>
      <w:pPr>
        <w:pStyle w:val="FootnoteText"/>
      </w:pPr>
      <w:r>
        <w:rPr>
          <w:rStyle w:val="FootnoteReference"/>
        </w:rPr>
        <w:footnoteRef/>
      </w:r>
      <w:r>
        <w:t xml:space="preserve"> </w:t>
      </w:r>
      <w:r>
        <w:t xml:space="preserve">来 11:40；12:2。</w:t>
      </w:r>
    </w:p>
  </w:footnote>
  <w:footnote w:id="220">
    <w:p>
      <w:pPr>
        <w:pStyle w:val="FootnoteText"/>
      </w:pPr>
      <w:r>
        <w:rPr>
          <w:rStyle w:val="FootnoteReference"/>
        </w:rPr>
        <w:footnoteRef/>
      </w:r>
      <w:r>
        <w:t xml:space="preserve"> </w:t>
      </w:r>
      <w:r>
        <w:t xml:space="preserve">路 1:37-38；参 创 18:14。</w:t>
      </w:r>
    </w:p>
  </w:footnote>
  <w:footnote w:id="221">
    <w:p>
      <w:pPr>
        <w:pStyle w:val="FootnoteText"/>
      </w:pPr>
      <w:r>
        <w:rPr>
          <w:rStyle w:val="FootnoteReference"/>
        </w:rPr>
        <w:footnoteRef/>
      </w:r>
      <w:r>
        <w:t xml:space="preserve"> </w:t>
      </w:r>
      <w:r>
        <w:t xml:space="preserve">路 1:45。</w:t>
      </w:r>
    </w:p>
  </w:footnote>
  <w:footnote w:id="222">
    <w:p>
      <w:pPr>
        <w:pStyle w:val="FootnoteText"/>
      </w:pPr>
      <w:r>
        <w:rPr>
          <w:rStyle w:val="FootnoteReference"/>
        </w:rPr>
        <w:footnoteRef/>
      </w:r>
      <w:r>
        <w:t xml:space="preserve"> </w:t>
      </w:r>
      <w:r>
        <w:t xml:space="preserve">参 路 1:48。</w:t>
      </w:r>
    </w:p>
  </w:footnote>
  <w:footnote w:id="223">
    <w:p>
      <w:pPr>
        <w:pStyle w:val="FootnoteText"/>
      </w:pPr>
      <w:r>
        <w:rPr>
          <w:rStyle w:val="FootnoteReference"/>
        </w:rPr>
        <w:footnoteRef/>
      </w:r>
      <w:r>
        <w:t xml:space="preserve"> </w:t>
      </w:r>
      <w:r>
        <w:t xml:space="preserve">参 路 2:35。</w:t>
      </w:r>
    </w:p>
  </w:footnote>
  <w:footnote w:id="226">
    <w:p>
      <w:pPr>
        <w:pStyle w:val="FootnoteText"/>
      </w:pPr>
      <w:r>
        <w:rPr>
          <w:rStyle w:val="FootnoteReference"/>
        </w:rPr>
        <w:footnoteRef/>
      </w:r>
      <w:r>
        <w:t xml:space="preserve"> </w:t>
      </w:r>
      <w:r>
        <w:t xml:space="preserve">参 耶 17:5-6；诗 40:5；146:3-4。</w:t>
      </w:r>
    </w:p>
  </w:footnote>
  <w:footnote w:id="228">
    <w:p>
      <w:pPr>
        <w:pStyle w:val="FootnoteText"/>
      </w:pPr>
      <w:r>
        <w:rPr>
          <w:rStyle w:val="FootnoteReference"/>
        </w:rPr>
        <w:footnoteRef/>
      </w:r>
      <w:r>
        <w:t xml:space="preserve"> </w:t>
      </w:r>
      <w:r>
        <w:t xml:space="preserve">可 1:11；参 9:7。</w:t>
      </w:r>
    </w:p>
  </w:footnote>
  <w:footnote w:id="229">
    <w:p>
      <w:pPr>
        <w:pStyle w:val="FootnoteText"/>
      </w:pPr>
      <w:r>
        <w:rPr>
          <w:rStyle w:val="FootnoteReference"/>
        </w:rPr>
        <w:footnoteRef/>
      </w:r>
      <w:r>
        <w:t xml:space="preserve"> </w:t>
      </w:r>
      <w:r>
        <w:t xml:space="preserve">约 14:1。</w:t>
      </w:r>
    </w:p>
  </w:footnote>
  <w:footnote w:id="230">
    <w:p>
      <w:pPr>
        <w:pStyle w:val="FootnoteText"/>
      </w:pPr>
      <w:r>
        <w:rPr>
          <w:rStyle w:val="FootnoteReference"/>
        </w:rPr>
        <w:footnoteRef/>
      </w:r>
      <w:r>
        <w:t xml:space="preserve"> </w:t>
      </w:r>
      <w:r>
        <w:t xml:space="preserve">约 1:18。</w:t>
      </w:r>
    </w:p>
  </w:footnote>
  <w:footnote w:id="231">
    <w:p>
      <w:pPr>
        <w:pStyle w:val="FootnoteText"/>
      </w:pPr>
      <w:r>
        <w:rPr>
          <w:rStyle w:val="FootnoteReference"/>
        </w:rPr>
        <w:footnoteRef/>
      </w:r>
      <w:r>
        <w:t xml:space="preserve"> </w:t>
      </w:r>
      <w:r>
        <w:t xml:space="preserve">约 6:46；参 太 11:27。</w:t>
      </w:r>
    </w:p>
  </w:footnote>
  <w:footnote w:id="233">
    <w:p>
      <w:pPr>
        <w:pStyle w:val="FootnoteText"/>
      </w:pPr>
      <w:r>
        <w:rPr>
          <w:rStyle w:val="FootnoteReference"/>
        </w:rPr>
        <w:footnoteRef/>
      </w:r>
      <w:r>
        <w:t xml:space="preserve"> </w:t>
      </w:r>
      <w:r>
        <w:t xml:space="preserve">林前 12:3。</w:t>
      </w:r>
    </w:p>
  </w:footnote>
  <w:footnote w:id="234">
    <w:p>
      <w:pPr>
        <w:pStyle w:val="FootnoteText"/>
      </w:pPr>
      <w:r>
        <w:rPr>
          <w:rStyle w:val="FootnoteReference"/>
        </w:rPr>
        <w:footnoteRef/>
      </w:r>
      <w:r>
        <w:t xml:space="preserve"> </w:t>
      </w:r>
      <w:r>
        <w:t xml:space="preserve">林前 2:10-11。</w:t>
      </w:r>
    </w:p>
  </w:footnote>
  <w:footnote w:id="237">
    <w:p>
      <w:pPr>
        <w:pStyle w:val="FootnoteText"/>
      </w:pPr>
      <w:r>
        <w:rPr>
          <w:rStyle w:val="FootnoteReference"/>
        </w:rPr>
        <w:footnoteRef/>
      </w:r>
      <w:r>
        <w:t xml:space="preserve"> </w:t>
      </w:r>
      <w:r>
        <w:t xml:space="preserve">太 16:17；参 加 1:15；太 11:25。</w:t>
      </w:r>
    </w:p>
  </w:footnote>
  <w:footnote w:id="238">
    <w:p>
      <w:pPr>
        <w:pStyle w:val="FootnoteText"/>
      </w:pPr>
      <w:r>
        <w:rPr>
          <w:rStyle w:val="FootnoteReference"/>
        </w:rPr>
        <w:footnoteRef/>
      </w:r>
      <w:r>
        <w:t xml:space="preserve"> </w:t>
      </w:r>
      <w:r>
        <w:t xml:space="preserve">《神的道》5；参 DS 377；3010。</w:t>
      </w:r>
    </w:p>
  </w:footnote>
  <w:footnote w:id="240">
    <w:p>
      <w:pPr>
        <w:pStyle w:val="FootnoteText"/>
      </w:pPr>
      <w:r>
        <w:rPr>
          <w:rStyle w:val="FootnoteReference"/>
        </w:rPr>
        <w:footnoteRef/>
      </w:r>
      <w:r>
        <w:t xml:space="preserve"> </w:t>
      </w:r>
      <w:r>
        <w:t xml:space="preserve">《Dei Filius》3：DS 3008。</w:t>
      </w:r>
    </w:p>
  </w:footnote>
  <w:footnote w:id="241">
    <w:p>
      <w:pPr>
        <w:pStyle w:val="FootnoteText"/>
      </w:pPr>
      <w:r>
        <w:rPr>
          <w:rStyle w:val="FootnoteReference"/>
        </w:rPr>
        <w:footnoteRef/>
      </w:r>
      <w:r>
        <w:t xml:space="preserve"> </w:t>
      </w:r>
      <w:r>
        <w:t xml:space="preserve">圣托马斯·阿奎那，《神学大全》II-II,2,9；参《Dei Filius》3：DS 3010。</w:t>
      </w:r>
    </w:p>
  </w:footnote>
  <w:footnote w:id="243">
    <w:p>
      <w:pPr>
        <w:pStyle w:val="FootnoteText"/>
      </w:pPr>
      <w:r>
        <w:rPr>
          <w:rStyle w:val="FootnoteReference"/>
        </w:rPr>
        <w:footnoteRef/>
      </w:r>
      <w:r>
        <w:t xml:space="preserve"> </w:t>
      </w:r>
      <w:r>
        <w:t xml:space="preserve">《Dei Filius》3：DS 3008。</w:t>
      </w:r>
    </w:p>
  </w:footnote>
  <w:footnote w:id="244">
    <w:p>
      <w:pPr>
        <w:pStyle w:val="FootnoteText"/>
      </w:pPr>
      <w:r>
        <w:rPr>
          <w:rStyle w:val="FootnoteReference"/>
        </w:rPr>
        <w:footnoteRef/>
      </w:r>
      <w:r>
        <w:t xml:space="preserve"> </w:t>
      </w:r>
      <w:r>
        <w:t xml:space="preserve">《Dei Filius》3：DS 3009。</w:t>
      </w:r>
    </w:p>
  </w:footnote>
  <w:footnote w:id="245">
    <w:p>
      <w:pPr>
        <w:pStyle w:val="FootnoteText"/>
      </w:pPr>
      <w:r>
        <w:rPr>
          <w:rStyle w:val="FootnoteReference"/>
        </w:rPr>
        <w:footnoteRef/>
      </w:r>
      <w:r>
        <w:t xml:space="preserve"> </w:t>
      </w:r>
      <w:r>
        <w:t xml:space="preserve">《Dei Filius》3：DS 3008-3010；参 可 16:20；来 2:4。</w:t>
      </w:r>
    </w:p>
  </w:footnote>
  <w:footnote w:id="246">
    <w:p>
      <w:pPr>
        <w:pStyle w:val="FootnoteText"/>
      </w:pPr>
      <w:r>
        <w:rPr>
          <w:rStyle w:val="FootnoteReference"/>
        </w:rPr>
        <w:footnoteRef/>
      </w:r>
      <w:r>
        <w:t xml:space="preserve"> </w:t>
      </w:r>
      <w:r>
        <w:t xml:space="preserve">圣托马斯·阿奎那，《神学大全》II-II,171,5,异议3。</w:t>
      </w:r>
    </w:p>
  </w:footnote>
  <w:footnote w:id="247">
    <w:p>
      <w:pPr>
        <w:pStyle w:val="FootnoteText"/>
      </w:pPr>
      <w:r>
        <w:rPr>
          <w:rStyle w:val="FootnoteReference"/>
        </w:rPr>
        <w:footnoteRef/>
      </w:r>
      <w:r>
        <w:t xml:space="preserve"> </w:t>
      </w:r>
      <w:r>
        <w:t xml:space="preserve">约翰·亨利·纽曼枢机，《Apologia pro vita sua》（伦敦：Longman，1878），239。</w:t>
      </w:r>
    </w:p>
  </w:footnote>
  <w:footnote w:id="248">
    <w:p>
      <w:pPr>
        <w:pStyle w:val="FootnoteText"/>
      </w:pPr>
      <w:r>
        <w:rPr>
          <w:rStyle w:val="FootnoteReference"/>
        </w:rPr>
        <w:footnoteRef/>
      </w:r>
      <w:r>
        <w:t xml:space="preserve"> </w:t>
      </w:r>
      <w:r>
        <w:t xml:space="preserve">圣安瑟伦，《独白集》序：PL 153,225A。</w:t>
      </w:r>
    </w:p>
  </w:footnote>
  <w:footnote w:id="249">
    <w:p>
      <w:pPr>
        <w:pStyle w:val="FootnoteText"/>
      </w:pPr>
      <w:r>
        <w:rPr>
          <w:rStyle w:val="FootnoteReference"/>
        </w:rPr>
        <w:footnoteRef/>
      </w:r>
      <w:r>
        <w:t xml:space="preserve"> </w:t>
      </w:r>
      <w:r>
        <w:t xml:space="preserve">弗 1:18。</w:t>
      </w:r>
    </w:p>
  </w:footnote>
  <w:footnote w:id="250">
    <w:p>
      <w:pPr>
        <w:pStyle w:val="FootnoteText"/>
      </w:pPr>
      <w:r>
        <w:rPr>
          <w:rStyle w:val="FootnoteReference"/>
        </w:rPr>
        <w:footnoteRef/>
      </w:r>
      <w:r>
        <w:t xml:space="preserve"> </w:t>
      </w:r>
      <w:r>
        <w:t xml:space="preserve">《神的道》5。</w:t>
      </w:r>
    </w:p>
  </w:footnote>
  <w:footnote w:id="251">
    <w:p>
      <w:pPr>
        <w:pStyle w:val="FootnoteText"/>
      </w:pPr>
      <w:r>
        <w:rPr>
          <w:rStyle w:val="FootnoteReference"/>
        </w:rPr>
        <w:footnoteRef/>
      </w:r>
      <w:r>
        <w:t xml:space="preserve"> </w:t>
      </w:r>
      <w:r>
        <w:t xml:space="preserve">圣奥古斯丁，《讲道集》43,7,9：PL 38,257-258。</w:t>
      </w:r>
    </w:p>
  </w:footnote>
  <w:footnote w:id="252">
    <w:p>
      <w:pPr>
        <w:pStyle w:val="FootnoteText"/>
      </w:pPr>
      <w:r>
        <w:rPr>
          <w:rStyle w:val="FootnoteReference"/>
        </w:rPr>
        <w:footnoteRef/>
      </w:r>
      <w:r>
        <w:t xml:space="preserve"> </w:t>
      </w:r>
      <w:r>
        <w:t xml:space="preserve">《Dei Filius》4：DS 3017。</w:t>
      </w:r>
    </w:p>
  </w:footnote>
  <w:footnote w:id="253">
    <w:p>
      <w:pPr>
        <w:pStyle w:val="FootnoteText"/>
      </w:pPr>
      <w:r>
        <w:rPr>
          <w:rStyle w:val="FootnoteReference"/>
        </w:rPr>
        <w:footnoteRef/>
      </w:r>
      <w:r>
        <w:t xml:space="preserve"> </w:t>
      </w:r>
      <w:r>
        <w:t xml:space="preserve">《牧职宪章》36 § 1。</w:t>
      </w:r>
    </w:p>
  </w:footnote>
  <w:footnote w:id="254">
    <w:p>
      <w:pPr>
        <w:pStyle w:val="FootnoteText"/>
      </w:pPr>
      <w:r>
        <w:rPr>
          <w:rStyle w:val="FootnoteReference"/>
        </w:rPr>
        <w:footnoteRef/>
      </w:r>
      <w:r>
        <w:t xml:space="preserve"> </w:t>
      </w:r>
      <w:r>
        <w:t xml:space="preserve">《宗教自由宣言》10；参《教会法典》法 748 § 2。</w:t>
      </w:r>
    </w:p>
  </w:footnote>
  <w:footnote w:id="255">
    <w:p>
      <w:pPr>
        <w:pStyle w:val="FootnoteText"/>
      </w:pPr>
      <w:r>
        <w:rPr>
          <w:rStyle w:val="FootnoteReference"/>
        </w:rPr>
        <w:footnoteRef/>
      </w:r>
      <w:r>
        <w:t xml:space="preserve"> </w:t>
      </w:r>
      <w:r>
        <w:t xml:space="preserve">《宗教自由宣言》11。</w:t>
      </w:r>
    </w:p>
  </w:footnote>
  <w:footnote w:id="256">
    <w:p>
      <w:pPr>
        <w:pStyle w:val="FootnoteText"/>
      </w:pPr>
      <w:r>
        <w:rPr>
          <w:rStyle w:val="FootnoteReference"/>
        </w:rPr>
        <w:footnoteRef/>
      </w:r>
      <w:r>
        <w:t xml:space="preserve"> </w:t>
      </w:r>
      <w:r>
        <w:t xml:space="preserve">《宗教自由宣言》11；参 约 18:37；12:32。</w:t>
      </w:r>
    </w:p>
  </w:footnote>
  <w:footnote w:id="257">
    <w:p>
      <w:pPr>
        <w:pStyle w:val="FootnoteText"/>
      </w:pPr>
      <w:r>
        <w:rPr>
          <w:rStyle w:val="FootnoteReference"/>
        </w:rPr>
        <w:footnoteRef/>
      </w:r>
      <w:r>
        <w:t xml:space="preserve"> </w:t>
      </w:r>
      <w:r>
        <w:t xml:space="preserve">参 可 16:16；约 3:36；6:40 等。</w:t>
      </w:r>
    </w:p>
  </w:footnote>
  <w:footnote w:id="258">
    <w:p>
      <w:pPr>
        <w:pStyle w:val="FootnoteText"/>
      </w:pPr>
      <w:r>
        <w:rPr>
          <w:rStyle w:val="FootnoteReference"/>
        </w:rPr>
        <w:footnoteRef/>
      </w:r>
      <w:r>
        <w:t xml:space="preserve"> </w:t>
      </w:r>
      <w:r>
        <w:t xml:space="preserve">《Dei Filius》3：DS 3012；参 太 10:22；24:13 及 来 11:6；特利腾会议：DS 1532。</w:t>
      </w:r>
    </w:p>
  </w:footnote>
  <w:footnote w:id="259">
    <w:p>
      <w:pPr>
        <w:pStyle w:val="FootnoteText"/>
      </w:pPr>
      <w:r>
        <w:rPr>
          <w:rStyle w:val="FootnoteReference"/>
        </w:rPr>
        <w:footnoteRef/>
      </w:r>
      <w:r>
        <w:t xml:space="preserve"> </w:t>
      </w:r>
      <w:r>
        <w:t xml:space="preserve">提前 1:18-19。</w:t>
      </w:r>
    </w:p>
  </w:footnote>
  <w:footnote w:id="260">
    <w:p>
      <w:pPr>
        <w:pStyle w:val="FootnoteText"/>
      </w:pPr>
      <w:r>
        <w:rPr>
          <w:rStyle w:val="FootnoteReference"/>
        </w:rPr>
        <w:footnoteRef/>
      </w:r>
      <w:r>
        <w:t xml:space="preserve"> </w:t>
      </w:r>
      <w:r>
        <w:t xml:space="preserve">参 可 9:24；路 17:5；22:32。</w:t>
      </w:r>
    </w:p>
  </w:footnote>
  <w:footnote w:id="261">
    <w:p>
      <w:pPr>
        <w:pStyle w:val="FootnoteText"/>
      </w:pPr>
      <w:r>
        <w:rPr>
          <w:rStyle w:val="FootnoteReference"/>
        </w:rPr>
        <w:footnoteRef/>
      </w:r>
      <w:r>
        <w:t xml:space="preserve"> </w:t>
      </w:r>
      <w:r>
        <w:t xml:space="preserve">加 5:6；罗 15:13；参 雅 2:14-26。</w:t>
      </w:r>
    </w:p>
  </w:footnote>
  <w:footnote w:id="262">
    <w:p>
      <w:pPr>
        <w:pStyle w:val="FootnoteText"/>
      </w:pPr>
      <w:r>
        <w:rPr>
          <w:rStyle w:val="FootnoteReference"/>
        </w:rPr>
        <w:footnoteRef/>
      </w:r>
      <w:r>
        <w:t xml:space="preserve"> </w:t>
      </w:r>
      <w:r>
        <w:t xml:space="preserve">林前 13:12；约壹 3:2。</w:t>
      </w:r>
    </w:p>
  </w:footnote>
  <w:footnote w:id="263">
    <w:p>
      <w:pPr>
        <w:pStyle w:val="FootnoteText"/>
      </w:pPr>
      <w:r>
        <w:rPr>
          <w:rStyle w:val="FootnoteReference"/>
        </w:rPr>
        <w:footnoteRef/>
      </w:r>
      <w:r>
        <w:t xml:space="preserve"> </w:t>
      </w:r>
      <w:r>
        <w:t xml:space="preserve">圣巴西略，《论圣灵》15,36：PG 32,132；参 圣托马斯·阿奎那，《神学大全》II-II,4,1。</w:t>
      </w:r>
    </w:p>
  </w:footnote>
  <w:footnote w:id="264">
    <w:p>
      <w:pPr>
        <w:pStyle w:val="FootnoteText"/>
      </w:pPr>
      <w:r>
        <w:rPr>
          <w:rStyle w:val="FootnoteReference"/>
        </w:rPr>
        <w:footnoteRef/>
      </w:r>
      <w:r>
        <w:t xml:space="preserve"> </w:t>
      </w:r>
      <w:r>
        <w:t xml:space="preserve">林后 5:7。</w:t>
      </w:r>
    </w:p>
  </w:footnote>
  <w:footnote w:id="265">
    <w:p>
      <w:pPr>
        <w:pStyle w:val="FootnoteText"/>
      </w:pPr>
      <w:r>
        <w:rPr>
          <w:rStyle w:val="FootnoteReference"/>
        </w:rPr>
        <w:footnoteRef/>
      </w:r>
      <w:r>
        <w:t xml:space="preserve"> </w:t>
      </w:r>
      <w:r>
        <w:t xml:space="preserve">林前 13:12。</w:t>
      </w:r>
    </w:p>
  </w:footnote>
  <w:footnote w:id="266">
    <w:p>
      <w:pPr>
        <w:pStyle w:val="FootnoteText"/>
      </w:pPr>
      <w:r>
        <w:rPr>
          <w:rStyle w:val="FootnoteReference"/>
        </w:rPr>
        <w:footnoteRef/>
      </w:r>
      <w:r>
        <w:t xml:space="preserve"> </w:t>
      </w:r>
      <w:r>
        <w:t xml:space="preserve">罗 4:18。</w:t>
      </w:r>
    </w:p>
  </w:footnote>
  <w:footnote w:id="267">
    <w:p>
      <w:pPr>
        <w:pStyle w:val="FootnoteText"/>
      </w:pPr>
      <w:r>
        <w:rPr>
          <w:rStyle w:val="FootnoteReference"/>
        </w:rPr>
        <w:footnoteRef/>
      </w:r>
      <w:r>
        <w:t xml:space="preserve"> </w:t>
      </w:r>
      <w:r>
        <w:t xml:space="preserve">《教会宪章》58；若望保禄二世，《RMat》18。</w:t>
      </w:r>
    </w:p>
  </w:footnote>
  <w:footnote w:id="268">
    <w:p>
      <w:pPr>
        <w:pStyle w:val="FootnoteText"/>
      </w:pPr>
      <w:r>
        <w:rPr>
          <w:rStyle w:val="FootnoteReference"/>
        </w:rPr>
        <w:footnoteRef/>
      </w:r>
      <w:r>
        <w:t xml:space="preserve"> </w:t>
      </w:r>
      <w:r>
        <w:t xml:space="preserve">来 12:1-2。</w:t>
      </w:r>
    </w:p>
  </w:footnote>
  <w:footnote w:id="272">
    <w:p>
      <w:pPr>
        <w:pStyle w:val="FootnoteText"/>
      </w:pPr>
      <w:r>
        <w:rPr>
          <w:rStyle w:val="FootnoteReference"/>
        </w:rPr>
        <w:footnoteRef/>
      </w:r>
      <w:r>
        <w:t xml:space="preserve"> </w:t>
      </w:r>
      <w:r>
        <w:t xml:space="preserve">《罗马仪式书》，成人受洗礼。</w:t>
      </w:r>
    </w:p>
  </w:footnote>
  <w:footnote w:id="273">
    <w:p>
      <w:pPr>
        <w:pStyle w:val="FootnoteText"/>
      </w:pPr>
      <w:r>
        <w:rPr>
          <w:rStyle w:val="FootnoteReference"/>
        </w:rPr>
        <w:footnoteRef/>
      </w:r>
      <w:r>
        <w:t xml:space="preserve"> </w:t>
      </w:r>
      <w:r>
        <w:t xml:space="preserve">雷兹的福斯都，《论圣灵》1,2：PL 62,II。</w:t>
      </w:r>
    </w:p>
  </w:footnote>
  <w:footnote w:id="275">
    <w:p>
      <w:pPr>
        <w:pStyle w:val="FootnoteText"/>
      </w:pPr>
      <w:r>
        <w:rPr>
          <w:rStyle w:val="FootnoteReference"/>
        </w:rPr>
        <w:footnoteRef/>
      </w:r>
      <w:r>
        <w:t xml:space="preserve"> </w:t>
      </w:r>
      <w:r>
        <w:t xml:space="preserve">圣托马斯·阿奎那，《神学大全》II-II,1,2，答2。</w:t>
      </w:r>
    </w:p>
  </w:footnote>
  <w:footnote w:id="276">
    <w:p>
      <w:pPr>
        <w:pStyle w:val="FootnoteText"/>
      </w:pPr>
      <w:r>
        <w:rPr>
          <w:rStyle w:val="FootnoteReference"/>
        </w:rPr>
        <w:footnoteRef/>
      </w:r>
      <w:r>
        <w:t xml:space="preserve"> </w:t>
      </w:r>
      <w:r>
        <w:t xml:space="preserve">提前 3:15；犹 3。</w:t>
      </w:r>
    </w:p>
  </w:footnote>
  <w:footnote w:id="278">
    <w:p>
      <w:pPr>
        <w:pStyle w:val="FootnoteText"/>
      </w:pPr>
      <w:r>
        <w:rPr>
          <w:rStyle w:val="FootnoteReference"/>
        </w:rPr>
        <w:footnoteRef/>
      </w:r>
      <w:r>
        <w:t xml:space="preserve"> </w:t>
      </w:r>
      <w:r>
        <w:t xml:space="preserve">参 弗 4:4-6。</w:t>
      </w:r>
    </w:p>
  </w:footnote>
  <w:footnote w:id="279">
    <w:p>
      <w:pPr>
        <w:pStyle w:val="FootnoteText"/>
      </w:pPr>
      <w:r>
        <w:rPr>
          <w:rStyle w:val="FootnoteReference"/>
        </w:rPr>
        <w:footnoteRef/>
      </w:r>
      <w:r>
        <w:t xml:space="preserve"> </w:t>
      </w:r>
      <w:r>
        <w:t xml:space="preserve">圣爱任纽，《驳异端》1,10,1-2：PG 7/1,549-552。</w:t>
      </w:r>
    </w:p>
  </w:footnote>
  <w:footnote w:id="280">
    <w:p>
      <w:pPr>
        <w:pStyle w:val="FootnoteText"/>
      </w:pPr>
      <w:r>
        <w:rPr>
          <w:rStyle w:val="FootnoteReference"/>
        </w:rPr>
        <w:footnoteRef/>
      </w:r>
      <w:r>
        <w:t xml:space="preserve"> </w:t>
      </w:r>
      <w:r>
        <w:t xml:space="preserve">圣爱任纽，《驳异端》1,10,1-2：PG 7/1,552-553。</w:t>
      </w:r>
    </w:p>
  </w:footnote>
  <w:footnote w:id="281">
    <w:p>
      <w:pPr>
        <w:pStyle w:val="FootnoteText"/>
      </w:pPr>
      <w:r>
        <w:rPr>
          <w:rStyle w:val="FootnoteReference"/>
        </w:rPr>
        <w:footnoteRef/>
      </w:r>
      <w:r>
        <w:t xml:space="preserve"> </w:t>
      </w:r>
      <w:r>
        <w:t xml:space="preserve">圣爱任纽，《驳异端》5,20,1：PG 7/2,1177。</w:t>
      </w:r>
    </w:p>
  </w:footnote>
  <w:footnote w:id="282">
    <w:p>
      <w:pPr>
        <w:pStyle w:val="FootnoteText"/>
      </w:pPr>
      <w:r>
        <w:rPr>
          <w:rStyle w:val="FootnoteReference"/>
        </w:rPr>
        <w:footnoteRef/>
      </w:r>
      <w:r>
        <w:t xml:space="preserve"> </w:t>
      </w:r>
      <w:r>
        <w:t xml:space="preserve">圣爱任纽，《驳异端》3,24,1：PG 7/1,966。</w:t>
      </w:r>
    </w:p>
  </w:footnote>
  <w:footnote w:id="288">
    <w:p>
      <w:pPr>
        <w:pStyle w:val="FootnoteText"/>
      </w:pPr>
      <w:r>
        <w:rPr>
          <w:rStyle w:val="FootnoteReference"/>
        </w:rPr>
        <w:footnoteRef/>
      </w:r>
      <w:r>
        <w:t xml:space="preserve"> </w:t>
      </w:r>
      <w:r>
        <w:t xml:space="preserve">参 罗 10:9；林前 15:3-5 等。</w:t>
      </w:r>
    </w:p>
  </w:footnote>
  <w:footnote w:id="289">
    <w:p>
      <w:pPr>
        <w:pStyle w:val="FootnoteText"/>
      </w:pPr>
      <w:r>
        <w:rPr>
          <w:rStyle w:val="FootnoteReference"/>
        </w:rPr>
        <w:footnoteRef/>
      </w:r>
      <w:r>
        <w:t xml:space="preserve"> </w:t>
      </w:r>
      <w:r>
        <w:t xml:space="preserve">圣区利罗，《慕道讲授》5,12：PG 33,521-524。</w:t>
      </w:r>
    </w:p>
  </w:footnote>
  <w:footnote w:id="290">
    <w:p>
      <w:pPr>
        <w:pStyle w:val="FootnoteText"/>
      </w:pPr>
      <w:r>
        <w:rPr>
          <w:rStyle w:val="FootnoteReference"/>
        </w:rPr>
        <w:footnoteRef/>
      </w:r>
      <w:r>
        <w:t xml:space="preserve"> </w:t>
      </w:r>
      <w:r>
        <w:t xml:space="preserve">太 28:19。</w:t>
      </w:r>
    </w:p>
  </w:footnote>
  <w:footnote w:id="291">
    <w:p>
      <w:pPr>
        <w:pStyle w:val="FootnoteText"/>
      </w:pPr>
      <w:r>
        <w:rPr>
          <w:rStyle w:val="FootnoteReference"/>
        </w:rPr>
        <w:footnoteRef/>
      </w:r>
      <w:r>
        <w:t xml:space="preserve"> </w:t>
      </w:r>
      <w:r>
        <w:t xml:space="preserve">《罗马教理》I,1,3。</w:t>
      </w:r>
    </w:p>
  </w:footnote>
  <w:footnote w:id="292">
    <w:p>
      <w:pPr>
        <w:pStyle w:val="FootnoteText"/>
      </w:pPr>
      <w:r>
        <w:rPr>
          <w:rStyle w:val="FootnoteReference"/>
        </w:rPr>
        <w:footnoteRef/>
      </w:r>
      <w:r>
        <w:t xml:space="preserve"> </w:t>
      </w:r>
      <w:r>
        <w:t xml:space="preserve">圣爱任纽，《使徒宣讲》100：SCh 62,170。</w:t>
      </w:r>
    </w:p>
  </w:footnote>
  <w:footnote w:id="293">
    <w:p>
      <w:pPr>
        <w:pStyle w:val="FootnoteText"/>
      </w:pPr>
      <w:r>
        <w:rPr>
          <w:rStyle w:val="FootnoteReference"/>
        </w:rPr>
        <w:footnoteRef/>
      </w:r>
      <w:r>
        <w:t xml:space="preserve"> </w:t>
      </w:r>
      <w:r>
        <w:t xml:space="preserve">《罗马教理》I,1,4。</w:t>
      </w:r>
    </w:p>
  </w:footnote>
  <w:footnote w:id="294">
    <w:p>
      <w:pPr>
        <w:pStyle w:val="FootnoteText"/>
      </w:pPr>
      <w:r>
        <w:rPr>
          <w:rStyle w:val="FootnoteReference"/>
        </w:rPr>
        <w:footnoteRef/>
      </w:r>
      <w:r>
        <w:t xml:space="preserve"> </w:t>
      </w:r>
      <w:r>
        <w:t xml:space="preserve">参 圣安布罗斯，《信经解说》8。</w:t>
      </w:r>
    </w:p>
  </w:footnote>
  <w:footnote w:id="295">
    <w:p>
      <w:pPr>
        <w:pStyle w:val="FootnoteText"/>
      </w:pPr>
      <w:r>
        <w:rPr>
          <w:rStyle w:val="FootnoteReference"/>
        </w:rPr>
        <w:footnoteRef/>
      </w:r>
      <w:r>
        <w:t xml:space="preserve"> </w:t>
      </w:r>
      <w:r>
        <w:t xml:space="preserve">参 DS 1–64。</w:t>
      </w:r>
    </w:p>
  </w:footnote>
  <w:footnote w:id="296">
    <w:p>
      <w:pPr>
        <w:pStyle w:val="FootnoteText"/>
      </w:pPr>
      <w:r>
        <w:rPr>
          <w:rStyle w:val="FootnoteReference"/>
        </w:rPr>
        <w:footnoteRef/>
      </w:r>
      <w:r>
        <w:t xml:space="preserve"> </w:t>
      </w:r>
      <w:r>
        <w:t xml:space="preserve">参 DS 75–76。</w:t>
      </w:r>
    </w:p>
  </w:footnote>
  <w:footnote w:id="297">
    <w:p>
      <w:pPr>
        <w:pStyle w:val="FootnoteText"/>
      </w:pPr>
      <w:r>
        <w:rPr>
          <w:rStyle w:val="FootnoteReference"/>
        </w:rPr>
        <w:footnoteRef/>
      </w:r>
      <w:r>
        <w:t xml:space="preserve"> </w:t>
      </w:r>
      <w:r>
        <w:t xml:space="preserve">参 DS 525–541；800–802；851–861；1862–1870。</w:t>
      </w:r>
    </w:p>
  </w:footnote>
  <w:footnote w:id="298">
    <w:p>
      <w:pPr>
        <w:pStyle w:val="FootnoteText"/>
      </w:pPr>
      <w:r>
        <w:rPr>
          <w:rStyle w:val="FootnoteReference"/>
        </w:rPr>
        <w:footnoteRef/>
      </w:r>
      <w:r>
        <w:t xml:space="preserve"> </w:t>
      </w:r>
      <w:r>
        <w:t xml:space="preserve">参 DS 71–72。</w:t>
      </w:r>
    </w:p>
  </w:footnote>
  <w:footnote w:id="299">
    <w:p>
      <w:pPr>
        <w:pStyle w:val="FootnoteText"/>
      </w:pPr>
      <w:r>
        <w:rPr>
          <w:rStyle w:val="FootnoteReference"/>
        </w:rPr>
        <w:footnoteRef/>
      </w:r>
      <w:r>
        <w:t xml:space="preserve"> </w:t>
      </w:r>
      <w:r>
        <w:t xml:space="preserve">保禄六世，CPG（1968）。</w:t>
      </w:r>
    </w:p>
  </w:footnote>
  <w:footnote w:id="300">
    <w:p>
      <w:pPr>
        <w:pStyle w:val="FootnoteText"/>
      </w:pPr>
      <w:r>
        <w:rPr>
          <w:rStyle w:val="FootnoteReference"/>
        </w:rPr>
        <w:footnoteRef/>
      </w:r>
      <w:r>
        <w:t xml:space="preserve"> </w:t>
      </w:r>
      <w:r>
        <w:t xml:space="preserve">圣安布罗斯，《信经解说》7：PL 17,1196。</w:t>
      </w:r>
    </w:p>
  </w:footnote>
  <w:footnote w:id="301">
    <w:p>
      <w:pPr>
        <w:pStyle w:val="FootnoteText"/>
      </w:pPr>
      <w:r>
        <w:rPr>
          <w:rStyle w:val="FootnoteReference"/>
        </w:rPr>
        <w:footnoteRef/>
      </w:r>
      <w:r>
        <w:t xml:space="preserve"> </w:t>
      </w:r>
      <w:r>
        <w:t xml:space="preserve">罗 6:17。</w:t>
      </w:r>
    </w:p>
  </w:footnote>
  <w:footnote w:id="302">
    <w:p>
      <w:pPr>
        <w:pStyle w:val="FootnoteText"/>
      </w:pPr>
      <w:r>
        <w:rPr>
          <w:rStyle w:val="FootnoteReference"/>
        </w:rPr>
        <w:footnoteRef/>
      </w:r>
      <w:r>
        <w:t xml:space="preserve"> </w:t>
      </w:r>
      <w:r>
        <w:t xml:space="preserve">圣安布罗斯，《信经解说》1：PL 17,1193。</w:t>
      </w:r>
    </w:p>
  </w:footnote>
  <w:footnote w:id="305">
    <w:p>
      <w:pPr>
        <w:pStyle w:val="FootnoteText"/>
      </w:pPr>
      <w:r>
        <w:rPr>
          <w:rStyle w:val="FootnoteReference"/>
        </w:rPr>
        <w:footnoteRef/>
      </w:r>
      <w:r>
        <w:t xml:space="preserve"> </w:t>
      </w:r>
      <w:r>
        <w:t xml:space="preserve">参 赛 44:6。</w:t>
      </w:r>
    </w:p>
  </w:footnote>
  <w:footnote w:id="306">
    <w:p>
      <w:pPr>
        <w:pStyle w:val="FootnoteText"/>
      </w:pPr>
      <w:r>
        <w:rPr>
          <w:rStyle w:val="FootnoteReference"/>
        </w:rPr>
        <w:footnoteRef/>
      </w:r>
      <w:r>
        <w:t xml:space="preserve"> </w:t>
      </w:r>
      <w:r>
        <w:t xml:space="preserve">《罗马教理》I,2,2。</w:t>
      </w:r>
    </w:p>
  </w:footnote>
  <w:footnote w:id="307">
    <w:p>
      <w:pPr>
        <w:pStyle w:val="FootnoteText"/>
      </w:pPr>
      <w:r>
        <w:rPr>
          <w:rStyle w:val="FootnoteReference"/>
        </w:rPr>
        <w:footnoteRef/>
      </w:r>
      <w:r>
        <w:t xml:space="preserve"> </w:t>
      </w:r>
      <w:r>
        <w:t xml:space="preserve">《罗马教理》I,2,2。</w:t>
      </w:r>
    </w:p>
  </w:footnote>
  <w:footnote w:id="308">
    <w:p>
      <w:pPr>
        <w:pStyle w:val="FootnoteText"/>
      </w:pPr>
      <w:r>
        <w:rPr>
          <w:rStyle w:val="FootnoteReference"/>
        </w:rPr>
        <w:footnoteRef/>
      </w:r>
      <w:r>
        <w:t xml:space="preserve"> </w:t>
      </w:r>
      <w:r>
        <w:t xml:space="preserve">申 6:4-5。</w:t>
      </w:r>
    </w:p>
  </w:footnote>
  <w:footnote w:id="309">
    <w:p>
      <w:pPr>
        <w:pStyle w:val="FootnoteText"/>
      </w:pPr>
      <w:r>
        <w:rPr>
          <w:rStyle w:val="FootnoteReference"/>
        </w:rPr>
        <w:footnoteRef/>
      </w:r>
      <w:r>
        <w:t xml:space="preserve"> </w:t>
      </w:r>
      <w:r>
        <w:t xml:space="preserve">赛 45:22-24；参 腓 2:10-11。</w:t>
      </w:r>
    </w:p>
  </w:footnote>
  <w:footnote w:id="310">
    <w:p>
      <w:pPr>
        <w:pStyle w:val="FootnoteText"/>
      </w:pPr>
      <w:r>
        <w:rPr>
          <w:rStyle w:val="FootnoteReference"/>
        </w:rPr>
        <w:footnoteRef/>
      </w:r>
      <w:r>
        <w:t xml:space="preserve"> </w:t>
      </w:r>
      <w:r>
        <w:t xml:space="preserve">可 12:29-30。</w:t>
      </w:r>
    </w:p>
  </w:footnote>
  <w:footnote w:id="311">
    <w:p>
      <w:pPr>
        <w:pStyle w:val="FootnoteText"/>
      </w:pPr>
      <w:r>
        <w:rPr>
          <w:rStyle w:val="FootnoteReference"/>
        </w:rPr>
        <w:footnoteRef/>
      </w:r>
      <w:r>
        <w:t xml:space="preserve"> </w:t>
      </w:r>
      <w:r>
        <w:t xml:space="preserve">参 可 12:35-37。</w:t>
      </w:r>
    </w:p>
  </w:footnote>
  <w:footnote w:id="312">
    <w:p>
      <w:pPr>
        <w:pStyle w:val="FootnoteText"/>
      </w:pPr>
      <w:r>
        <w:rPr>
          <w:rStyle w:val="FootnoteReference"/>
        </w:rPr>
        <w:footnoteRef/>
      </w:r>
      <w:r>
        <w:t xml:space="preserve"> </w:t>
      </w:r>
      <w:r>
        <w:t xml:space="preserve">拉特朗第四届大公会议：DS 800。</w:t>
      </w:r>
    </w:p>
  </w:footnote>
  <w:footnote w:id="314">
    <w:p>
      <w:pPr>
        <w:pStyle w:val="FootnoteText"/>
      </w:pPr>
      <w:r>
        <w:rPr>
          <w:rStyle w:val="FootnoteReference"/>
        </w:rPr>
        <w:footnoteRef/>
      </w:r>
      <w:r>
        <w:t xml:space="preserve"> </w:t>
      </w:r>
      <w:r>
        <w:t xml:space="preserve">出 3:6。</w:t>
      </w:r>
    </w:p>
  </w:footnote>
  <w:footnote w:id="315">
    <w:p>
      <w:pPr>
        <w:pStyle w:val="FootnoteText"/>
      </w:pPr>
      <w:r>
        <w:rPr>
          <w:rStyle w:val="FootnoteReference"/>
        </w:rPr>
        <w:footnoteRef/>
      </w:r>
      <w:r>
        <w:t xml:space="preserve"> </w:t>
      </w:r>
      <w:r>
        <w:t xml:space="preserve">出 3:13-15。</w:t>
      </w:r>
    </w:p>
  </w:footnote>
  <w:footnote w:id="316">
    <w:p>
      <w:pPr>
        <w:pStyle w:val="FootnoteText"/>
      </w:pPr>
      <w:r>
        <w:rPr>
          <w:rStyle w:val="FootnoteReference"/>
        </w:rPr>
        <w:footnoteRef/>
      </w:r>
      <w:r>
        <w:t xml:space="preserve"> </w:t>
      </w:r>
      <w:r>
        <w:t xml:space="preserve">参 赛 45:15；士 13:18。</w:t>
      </w:r>
    </w:p>
  </w:footnote>
  <w:footnote w:id="317">
    <w:p>
      <w:pPr>
        <w:pStyle w:val="FootnoteText"/>
      </w:pPr>
      <w:r>
        <w:rPr>
          <w:rStyle w:val="FootnoteReference"/>
        </w:rPr>
        <w:footnoteRef/>
      </w:r>
      <w:r>
        <w:t xml:space="preserve"> </w:t>
      </w:r>
      <w:r>
        <w:t xml:space="preserve">出 3:6,12。</w:t>
      </w:r>
    </w:p>
  </w:footnote>
  <w:footnote w:id="318">
    <w:p>
      <w:pPr>
        <w:pStyle w:val="FootnoteText"/>
      </w:pPr>
      <w:r>
        <w:rPr>
          <w:rStyle w:val="FootnoteReference"/>
        </w:rPr>
        <w:footnoteRef/>
      </w:r>
      <w:r>
        <w:t xml:space="preserve"> </w:t>
      </w:r>
      <w:r>
        <w:t xml:space="preserve">参 出 3:5-6。</w:t>
      </w:r>
    </w:p>
  </w:footnote>
  <w:footnote w:id="319">
    <w:p>
      <w:pPr>
        <w:pStyle w:val="FootnoteText"/>
      </w:pPr>
      <w:r>
        <w:rPr>
          <w:rStyle w:val="FootnoteReference"/>
        </w:rPr>
        <w:footnoteRef/>
      </w:r>
      <w:r>
        <w:t xml:space="preserve"> </w:t>
      </w:r>
      <w:r>
        <w:t xml:space="preserve">赛 6:5。</w:t>
      </w:r>
    </w:p>
  </w:footnote>
  <w:footnote w:id="320">
    <w:p>
      <w:pPr>
        <w:pStyle w:val="FootnoteText"/>
      </w:pPr>
      <w:r>
        <w:rPr>
          <w:rStyle w:val="FootnoteReference"/>
        </w:rPr>
        <w:footnoteRef/>
      </w:r>
      <w:r>
        <w:t xml:space="preserve"> </w:t>
      </w:r>
      <w:r>
        <w:t xml:space="preserve">路 5:8。</w:t>
      </w:r>
    </w:p>
  </w:footnote>
  <w:footnote w:id="321">
    <w:p>
      <w:pPr>
        <w:pStyle w:val="FootnoteText"/>
      </w:pPr>
      <w:r>
        <w:rPr>
          <w:rStyle w:val="FootnoteReference"/>
        </w:rPr>
        <w:footnoteRef/>
      </w:r>
      <w:r>
        <w:t xml:space="preserve"> </w:t>
      </w:r>
      <w:r>
        <w:t xml:space="preserve">何 11:9。</w:t>
      </w:r>
    </w:p>
  </w:footnote>
  <w:footnote w:id="322">
    <w:p>
      <w:pPr>
        <w:pStyle w:val="FootnoteText"/>
      </w:pPr>
      <w:r>
        <w:rPr>
          <w:rStyle w:val="FootnoteReference"/>
        </w:rPr>
        <w:footnoteRef/>
      </w:r>
      <w:r>
        <w:t xml:space="preserve"> </w:t>
      </w:r>
      <w:r>
        <w:t xml:space="preserve">约壹 3:19-20。</w:t>
      </w:r>
    </w:p>
  </w:footnote>
  <w:footnote w:id="323">
    <w:p>
      <w:pPr>
        <w:pStyle w:val="FootnoteText"/>
      </w:pPr>
      <w:r>
        <w:rPr>
          <w:rStyle w:val="FootnoteReference"/>
        </w:rPr>
        <w:footnoteRef/>
      </w:r>
      <w:r>
        <w:t xml:space="preserve"> </w:t>
      </w:r>
      <w:r>
        <w:t xml:space="preserve">参 出 32；33:12-17。</w:t>
      </w:r>
    </w:p>
  </w:footnote>
  <w:footnote w:id="324">
    <w:p>
      <w:pPr>
        <w:pStyle w:val="FootnoteText"/>
      </w:pPr>
      <w:r>
        <w:rPr>
          <w:rStyle w:val="FootnoteReference"/>
        </w:rPr>
        <w:footnoteRef/>
      </w:r>
      <w:r>
        <w:t xml:space="preserve"> </w:t>
      </w:r>
      <w:r>
        <w:t xml:space="preserve">出 33:18-19。</w:t>
      </w:r>
    </w:p>
  </w:footnote>
  <w:footnote w:id="325">
    <w:p>
      <w:pPr>
        <w:pStyle w:val="FootnoteText"/>
      </w:pPr>
      <w:r>
        <w:rPr>
          <w:rStyle w:val="FootnoteReference"/>
        </w:rPr>
        <w:footnoteRef/>
      </w:r>
      <w:r>
        <w:t xml:space="preserve"> </w:t>
      </w:r>
      <w:r>
        <w:t xml:space="preserve">出 34:5-6；参 34:9。</w:t>
      </w:r>
    </w:p>
  </w:footnote>
  <w:footnote w:id="326">
    <w:p>
      <w:pPr>
        <w:pStyle w:val="FootnoteText"/>
      </w:pPr>
      <w:r>
        <w:rPr>
          <w:rStyle w:val="FootnoteReference"/>
        </w:rPr>
        <w:footnoteRef/>
      </w:r>
      <w:r>
        <w:t xml:space="preserve"> </w:t>
      </w:r>
      <w:r>
        <w:t xml:space="preserve">参 赛 44:6。</w:t>
      </w:r>
    </w:p>
  </w:footnote>
  <w:footnote w:id="327">
    <w:p>
      <w:pPr>
        <w:pStyle w:val="FootnoteText"/>
      </w:pPr>
      <w:r>
        <w:rPr>
          <w:rStyle w:val="FootnoteReference"/>
        </w:rPr>
        <w:footnoteRef/>
      </w:r>
      <w:r>
        <w:t xml:space="preserve"> </w:t>
      </w:r>
      <w:r>
        <w:t xml:space="preserve">诗 102:26-27。</w:t>
      </w:r>
    </w:p>
  </w:footnote>
  <w:footnote w:id="328">
    <w:p>
      <w:pPr>
        <w:pStyle w:val="FootnoteText"/>
      </w:pPr>
      <w:r>
        <w:rPr>
          <w:rStyle w:val="FootnoteReference"/>
        </w:rPr>
        <w:footnoteRef/>
      </w:r>
      <w:r>
        <w:t xml:space="preserve"> </w:t>
      </w:r>
      <w:r>
        <w:t xml:space="preserve">雅 1:17。</w:t>
      </w:r>
    </w:p>
  </w:footnote>
  <w:footnote w:id="330">
    <w:p>
      <w:pPr>
        <w:pStyle w:val="FootnoteText"/>
      </w:pPr>
      <w:r>
        <w:rPr>
          <w:rStyle w:val="FootnoteReference"/>
        </w:rPr>
        <w:footnoteRef/>
      </w:r>
      <w:r>
        <w:t xml:space="preserve"> </w:t>
      </w:r>
      <w:r>
        <w:t xml:space="preserve">出 34:6。</w:t>
      </w:r>
    </w:p>
  </w:footnote>
  <w:footnote w:id="331">
    <w:p>
      <w:pPr>
        <w:pStyle w:val="FootnoteText"/>
      </w:pPr>
      <w:r>
        <w:rPr>
          <w:rStyle w:val="FootnoteReference"/>
        </w:rPr>
        <w:footnoteRef/>
      </w:r>
      <w:r>
        <w:t xml:space="preserve"> </w:t>
      </w:r>
      <w:r>
        <w:t xml:space="preserve">诗 138:2；参 诗 85:11。</w:t>
      </w:r>
    </w:p>
  </w:footnote>
  <w:footnote w:id="332">
    <w:p>
      <w:pPr>
        <w:pStyle w:val="FootnoteText"/>
      </w:pPr>
      <w:r>
        <w:rPr>
          <w:rStyle w:val="FootnoteReference"/>
        </w:rPr>
        <w:footnoteRef/>
      </w:r>
      <w:r>
        <w:t xml:space="preserve"> </w:t>
      </w:r>
      <w:r>
        <w:t xml:space="preserve">约壹 1:5；4:8。</w:t>
      </w:r>
    </w:p>
  </w:footnote>
  <w:footnote w:id="333">
    <w:p>
      <w:pPr>
        <w:pStyle w:val="FootnoteText"/>
      </w:pPr>
      <w:r>
        <w:rPr>
          <w:rStyle w:val="FootnoteReference"/>
        </w:rPr>
        <w:footnoteRef/>
      </w:r>
      <w:r>
        <w:t xml:space="preserve"> </w:t>
      </w:r>
      <w:r>
        <w:t xml:space="preserve">诗 119:160。</w:t>
      </w:r>
    </w:p>
  </w:footnote>
  <w:footnote w:id="334">
    <w:p>
      <w:pPr>
        <w:pStyle w:val="FootnoteText"/>
      </w:pPr>
      <w:r>
        <w:rPr>
          <w:rStyle w:val="FootnoteReference"/>
        </w:rPr>
        <w:footnoteRef/>
      </w:r>
      <w:r>
        <w:t xml:space="preserve"> </w:t>
      </w:r>
      <w:r>
        <w:t xml:space="preserve">撒下 7:28。</w:t>
      </w:r>
    </w:p>
  </w:footnote>
  <w:footnote w:id="335">
    <w:p>
      <w:pPr>
        <w:pStyle w:val="FootnoteText"/>
      </w:pPr>
      <w:r>
        <w:rPr>
          <w:rStyle w:val="FootnoteReference"/>
        </w:rPr>
        <w:footnoteRef/>
      </w:r>
      <w:r>
        <w:t xml:space="preserve"> </w:t>
      </w:r>
      <w:r>
        <w:t xml:space="preserve">参 申 7:9。</w:t>
      </w:r>
    </w:p>
  </w:footnote>
  <w:footnote w:id="336">
    <w:p>
      <w:pPr>
        <w:pStyle w:val="FootnoteText"/>
      </w:pPr>
      <w:r>
        <w:rPr>
          <w:rStyle w:val="FootnoteReference"/>
        </w:rPr>
        <w:footnoteRef/>
      </w:r>
      <w:r>
        <w:t xml:space="preserve"> </w:t>
      </w:r>
      <w:r>
        <w:t xml:space="preserve">参 智 13:1-9。</w:t>
      </w:r>
    </w:p>
  </w:footnote>
  <w:footnote w:id="337">
    <w:p>
      <w:pPr>
        <w:pStyle w:val="FootnoteText"/>
      </w:pPr>
      <w:r>
        <w:rPr>
          <w:rStyle w:val="FootnoteReference"/>
        </w:rPr>
        <w:footnoteRef/>
      </w:r>
      <w:r>
        <w:t xml:space="preserve"> </w:t>
      </w:r>
      <w:r>
        <w:t xml:space="preserve">参 诗 115:15；智 7:17-21。</w:t>
      </w:r>
    </w:p>
  </w:footnote>
  <w:footnote w:id="338">
    <w:p>
      <w:pPr>
        <w:pStyle w:val="FootnoteText"/>
      </w:pPr>
      <w:r>
        <w:rPr>
          <w:rStyle w:val="FootnoteReference"/>
        </w:rPr>
        <w:footnoteRef/>
      </w:r>
      <w:r>
        <w:t xml:space="preserve"> </w:t>
      </w:r>
      <w:r>
        <w:t xml:space="preserve">玛 2:6。</w:t>
      </w:r>
    </w:p>
  </w:footnote>
  <w:footnote w:id="339">
    <w:p>
      <w:pPr>
        <w:pStyle w:val="FootnoteText"/>
      </w:pPr>
      <w:r>
        <w:rPr>
          <w:rStyle w:val="FootnoteReference"/>
        </w:rPr>
        <w:footnoteRef/>
      </w:r>
      <w:r>
        <w:t xml:space="preserve"> </w:t>
      </w:r>
      <w:r>
        <w:t xml:space="preserve">约 18:37。</w:t>
      </w:r>
    </w:p>
  </w:footnote>
  <w:footnote w:id="340">
    <w:p>
      <w:pPr>
        <w:pStyle w:val="FootnoteText"/>
      </w:pPr>
      <w:r>
        <w:rPr>
          <w:rStyle w:val="FootnoteReference"/>
        </w:rPr>
        <w:footnoteRef/>
      </w:r>
      <w:r>
        <w:t xml:space="preserve"> </w:t>
      </w:r>
      <w:r>
        <w:t xml:space="preserve">约壹 5:20；参 约 17:3。</w:t>
      </w:r>
    </w:p>
  </w:footnote>
  <w:footnote w:id="341">
    <w:p>
      <w:pPr>
        <w:pStyle w:val="FootnoteText"/>
      </w:pPr>
      <w:r>
        <w:rPr>
          <w:rStyle w:val="FootnoteReference"/>
        </w:rPr>
        <w:footnoteRef/>
      </w:r>
      <w:r>
        <w:t xml:space="preserve"> </w:t>
      </w:r>
      <w:r>
        <w:t xml:space="preserve">参 申 4:37；7:8；10:15。</w:t>
      </w:r>
    </w:p>
  </w:footnote>
  <w:footnote w:id="342">
    <w:p>
      <w:pPr>
        <w:pStyle w:val="FootnoteText"/>
      </w:pPr>
      <w:r>
        <w:rPr>
          <w:rStyle w:val="FootnoteReference"/>
        </w:rPr>
        <w:footnoteRef/>
      </w:r>
      <w:r>
        <w:t xml:space="preserve"> </w:t>
      </w:r>
      <w:r>
        <w:t xml:space="preserve">参 赛 43:1-7；何 2。</w:t>
      </w:r>
    </w:p>
  </w:footnote>
  <w:footnote w:id="343">
    <w:p>
      <w:pPr>
        <w:pStyle w:val="FootnoteText"/>
      </w:pPr>
      <w:r>
        <w:rPr>
          <w:rStyle w:val="FootnoteReference"/>
        </w:rPr>
        <w:footnoteRef/>
      </w:r>
      <w:r>
        <w:t xml:space="preserve"> </w:t>
      </w:r>
      <w:r>
        <w:t xml:space="preserve">约 3:16；参 何 11:1；赛 49:14-15；62:4-5；结 16；何 11。</w:t>
      </w:r>
    </w:p>
  </w:footnote>
  <w:footnote w:id="344">
    <w:p>
      <w:pPr>
        <w:pStyle w:val="FootnoteText"/>
      </w:pPr>
      <w:r>
        <w:rPr>
          <w:rStyle w:val="FootnoteReference"/>
        </w:rPr>
        <w:footnoteRef/>
      </w:r>
      <w:r>
        <w:t xml:space="preserve"> </w:t>
      </w:r>
      <w:r>
        <w:t xml:space="preserve">赛 54:8。</w:t>
      </w:r>
    </w:p>
  </w:footnote>
  <w:footnote w:id="345">
    <w:p>
      <w:pPr>
        <w:pStyle w:val="FootnoteText"/>
      </w:pPr>
      <w:r>
        <w:rPr>
          <w:rStyle w:val="FootnoteReference"/>
        </w:rPr>
        <w:footnoteRef/>
      </w:r>
      <w:r>
        <w:t xml:space="preserve"> </w:t>
      </w:r>
      <w:r>
        <w:t xml:space="preserve">赛 54:10；参 54:8。</w:t>
      </w:r>
    </w:p>
  </w:footnote>
  <w:footnote w:id="346">
    <w:p>
      <w:pPr>
        <w:pStyle w:val="FootnoteText"/>
      </w:pPr>
      <w:r>
        <w:rPr>
          <w:rStyle w:val="FootnoteReference"/>
        </w:rPr>
        <w:footnoteRef/>
      </w:r>
      <w:r>
        <w:t xml:space="preserve"> </w:t>
      </w:r>
      <w:r>
        <w:t xml:space="preserve">耶 31:3。</w:t>
      </w:r>
    </w:p>
  </w:footnote>
  <w:footnote w:id="347">
    <w:p>
      <w:pPr>
        <w:pStyle w:val="FootnoteText"/>
      </w:pPr>
      <w:r>
        <w:rPr>
          <w:rStyle w:val="FootnoteReference"/>
        </w:rPr>
        <w:footnoteRef/>
      </w:r>
      <w:r>
        <w:t xml:space="preserve"> </w:t>
      </w:r>
      <w:r>
        <w:t xml:space="preserve">约壹 4:8，16。</w:t>
      </w:r>
    </w:p>
  </w:footnote>
  <w:footnote w:id="348">
    <w:p>
      <w:pPr>
        <w:pStyle w:val="FootnoteText"/>
      </w:pPr>
      <w:r>
        <w:rPr>
          <w:rStyle w:val="FootnoteReference"/>
        </w:rPr>
        <w:footnoteRef/>
      </w:r>
      <w:r>
        <w:t xml:space="preserve"> </w:t>
      </w:r>
      <w:r>
        <w:t xml:space="preserve">参 林前 2:7-16；弗 3:9-12。</w:t>
      </w:r>
    </w:p>
  </w:footnote>
  <w:footnote w:id="350">
    <w:p>
      <w:pPr>
        <w:pStyle w:val="FootnoteText"/>
      </w:pPr>
      <w:r>
        <w:rPr>
          <w:rStyle w:val="FootnoteReference"/>
        </w:rPr>
        <w:footnoteRef/>
      </w:r>
      <w:r>
        <w:t xml:space="preserve"> </w:t>
      </w:r>
      <w:r>
        <w:t xml:space="preserve">伯 36:26。</w:t>
      </w:r>
    </w:p>
  </w:footnote>
  <w:footnote w:id="351">
    <w:p>
      <w:pPr>
        <w:pStyle w:val="FootnoteText"/>
      </w:pPr>
      <w:r>
        <w:rPr>
          <w:rStyle w:val="FootnoteReference"/>
        </w:rPr>
        <w:footnoteRef/>
      </w:r>
      <w:r>
        <w:t xml:space="preserve"> </w:t>
      </w:r>
      <w:r>
        <w:t xml:space="preserve">圣女贞德。</w:t>
      </w:r>
    </w:p>
  </w:footnote>
  <w:footnote w:id="352">
    <w:p>
      <w:pPr>
        <w:pStyle w:val="FootnoteText"/>
      </w:pPr>
      <w:r>
        <w:rPr>
          <w:rStyle w:val="FootnoteReference"/>
        </w:rPr>
        <w:footnoteRef/>
      </w:r>
      <w:r>
        <w:t xml:space="preserve"> </w:t>
      </w:r>
      <w:r>
        <w:t xml:space="preserve">林前 4:7。</w:t>
      </w:r>
    </w:p>
  </w:footnote>
  <w:footnote w:id="353">
    <w:p>
      <w:pPr>
        <w:pStyle w:val="FootnoteText"/>
      </w:pPr>
      <w:r>
        <w:rPr>
          <w:rStyle w:val="FootnoteReference"/>
        </w:rPr>
        <w:footnoteRef/>
      </w:r>
      <w:r>
        <w:t xml:space="preserve"> </w:t>
      </w:r>
      <w:r>
        <w:t xml:space="preserve">诗 116:12。</w:t>
      </w:r>
    </w:p>
  </w:footnote>
  <w:footnote w:id="354">
    <w:p>
      <w:pPr>
        <w:pStyle w:val="FootnoteText"/>
      </w:pPr>
      <w:r>
        <w:rPr>
          <w:rStyle w:val="FootnoteReference"/>
        </w:rPr>
        <w:footnoteRef/>
      </w:r>
      <w:r>
        <w:t xml:space="preserve"> </w:t>
      </w:r>
      <w:r>
        <w:t xml:space="preserve">创 1:26。</w:t>
      </w:r>
    </w:p>
  </w:footnote>
  <w:footnote w:id="355">
    <w:p>
      <w:pPr>
        <w:pStyle w:val="FootnoteText"/>
      </w:pPr>
      <w:r>
        <w:rPr>
          <w:rStyle w:val="FootnoteReference"/>
        </w:rPr>
        <w:footnoteRef/>
      </w:r>
      <w:r>
        <w:t xml:space="preserve"> </w:t>
      </w:r>
      <w:r>
        <w:t xml:space="preserve">圣尼古拉·弗吕厄；参 太 5:29-30；16:24-26。</w:t>
      </w:r>
    </w:p>
  </w:footnote>
  <w:footnote w:id="356">
    <w:p>
      <w:pPr>
        <w:pStyle w:val="FootnoteText"/>
      </w:pPr>
      <w:r>
        <w:rPr>
          <w:rStyle w:val="FootnoteReference"/>
        </w:rPr>
        <w:footnoteRef/>
      </w:r>
      <w:r>
        <w:t xml:space="preserve"> </w:t>
      </w:r>
      <w:r>
        <w:t xml:space="preserve">阿维拉的圣德兰，《诗作》30，见《阿维拉的圣德兰全集》卷三，K. Kavanaugh（赤足迦密会）与 O. Rodriguez（赤足迦密会）译编（华盛顿特区：嘉尔默罗会研究所，1985），第 386 页，第 9 条，约翰·沃尔译。</w:t>
      </w:r>
    </w:p>
  </w:footnote>
  <w:footnote w:id="360">
    <w:p>
      <w:pPr>
        <w:pStyle w:val="FootnoteText"/>
      </w:pPr>
      <w:r>
        <w:rPr>
          <w:rStyle w:val="FootnoteReference"/>
        </w:rPr>
        <w:footnoteRef/>
      </w:r>
      <w:r>
        <w:t xml:space="preserve"> </w:t>
      </w:r>
      <w:r>
        <w:t xml:space="preserve">太 28:19。</w:t>
      </w:r>
    </w:p>
  </w:footnote>
  <w:footnote w:id="361">
    <w:p>
      <w:pPr>
        <w:pStyle w:val="FootnoteText"/>
      </w:pPr>
      <w:r>
        <w:rPr>
          <w:rStyle w:val="FootnoteReference"/>
        </w:rPr>
        <w:footnoteRef/>
      </w:r>
      <w:r>
        <w:t xml:space="preserve"> </w:t>
      </w:r>
      <w:r>
        <w:t xml:space="preserve">阿尔勒的圣凯撒利乌，《讲道》9，《信经释义》：CCL 103, 47。</w:t>
      </w:r>
    </w:p>
  </w:footnote>
  <w:footnote w:id="362">
    <w:p>
      <w:pPr>
        <w:pStyle w:val="FootnoteText"/>
      </w:pPr>
      <w:r>
        <w:rPr>
          <w:rStyle w:val="FootnoteReference"/>
        </w:rPr>
        <w:footnoteRef/>
      </w:r>
      <w:r>
        <w:t xml:space="preserve"> </w:t>
      </w:r>
      <w:r>
        <w:t xml:space="preserve">参 维吉流一世教宗（552）《信仰宣认》：DS 415。</w:t>
      </w:r>
    </w:p>
  </w:footnote>
  <w:footnote w:id="363">
    <w:p>
      <w:pPr>
        <w:pStyle w:val="FootnoteText"/>
      </w:pPr>
      <w:r>
        <w:rPr>
          <w:rStyle w:val="FootnoteReference"/>
        </w:rPr>
        <w:footnoteRef/>
      </w:r>
      <w:r>
        <w:t xml:space="preserve"> </w:t>
      </w:r>
      <w:r>
        <w:t xml:space="preserve">GCD 43。</w:t>
      </w:r>
    </w:p>
  </w:footnote>
  <w:footnote w:id="364">
    <w:p>
      <w:pPr>
        <w:pStyle w:val="FootnoteText"/>
      </w:pPr>
      <w:r>
        <w:rPr>
          <w:rStyle w:val="FootnoteReference"/>
        </w:rPr>
        <w:footnoteRef/>
      </w:r>
      <w:r>
        <w:t xml:space="preserve"> </w:t>
      </w:r>
      <w:r>
        <w:t xml:space="preserve">GCD 47。</w:t>
      </w:r>
    </w:p>
  </w:footnote>
  <w:footnote w:id="365">
    <w:p>
      <w:pPr>
        <w:pStyle w:val="FootnoteText"/>
      </w:pPr>
      <w:r>
        <w:rPr>
          <w:rStyle w:val="FootnoteReference"/>
        </w:rPr>
        <w:footnoteRef/>
      </w:r>
      <w:r>
        <w:t xml:space="preserve"> </w:t>
      </w:r>
      <w:r>
        <w:t xml:space="preserve">《Dei Filius》4：DS 3015。</w:t>
      </w:r>
    </w:p>
  </w:footnote>
  <w:footnote w:id="367">
    <w:p>
      <w:pPr>
        <w:pStyle w:val="FootnoteText"/>
      </w:pPr>
      <w:r>
        <w:rPr>
          <w:rStyle w:val="FootnoteReference"/>
        </w:rPr>
        <w:footnoteRef/>
      </w:r>
      <w:r>
        <w:t xml:space="preserve"> </w:t>
      </w:r>
      <w:r>
        <w:t xml:space="preserve">参 申 32:6；玛 2:10。</w:t>
      </w:r>
    </w:p>
  </w:footnote>
  <w:footnote w:id="368">
    <w:p>
      <w:pPr>
        <w:pStyle w:val="FootnoteText"/>
      </w:pPr>
      <w:r>
        <w:rPr>
          <w:rStyle w:val="FootnoteReference"/>
        </w:rPr>
        <w:footnoteRef/>
      </w:r>
      <w:r>
        <w:t xml:space="preserve"> </w:t>
      </w:r>
      <w:r>
        <w:t xml:space="preserve">出 4:22。</w:t>
      </w:r>
    </w:p>
  </w:footnote>
  <w:footnote w:id="369">
    <w:p>
      <w:pPr>
        <w:pStyle w:val="FootnoteText"/>
      </w:pPr>
      <w:r>
        <w:rPr>
          <w:rStyle w:val="FootnoteReference"/>
        </w:rPr>
        <w:footnoteRef/>
      </w:r>
      <w:r>
        <w:t xml:space="preserve"> </w:t>
      </w:r>
      <w:r>
        <w:t xml:space="preserve">参 撒下 7:14；诗 68:6。</w:t>
      </w:r>
    </w:p>
  </w:footnote>
  <w:footnote w:id="370">
    <w:p>
      <w:pPr>
        <w:pStyle w:val="FootnoteText"/>
      </w:pPr>
      <w:r>
        <w:rPr>
          <w:rStyle w:val="FootnoteReference"/>
        </w:rPr>
        <w:footnoteRef/>
      </w:r>
      <w:r>
        <w:t xml:space="preserve"> </w:t>
      </w:r>
      <w:r>
        <w:t xml:space="preserve">参 赛 66:13；诗 131:2。</w:t>
      </w:r>
    </w:p>
  </w:footnote>
  <w:footnote w:id="371">
    <w:p>
      <w:pPr>
        <w:pStyle w:val="FootnoteText"/>
      </w:pPr>
      <w:r>
        <w:rPr>
          <w:rStyle w:val="FootnoteReference"/>
        </w:rPr>
        <w:footnoteRef/>
      </w:r>
      <w:r>
        <w:t xml:space="preserve"> </w:t>
      </w:r>
      <w:r>
        <w:t xml:space="preserve">参 诗 27:10；弗 3:14；赛 49:15。</w:t>
      </w:r>
    </w:p>
  </w:footnote>
  <w:footnote w:id="372">
    <w:p>
      <w:pPr>
        <w:pStyle w:val="FootnoteText"/>
      </w:pPr>
      <w:r>
        <w:rPr>
          <w:rStyle w:val="FootnoteReference"/>
        </w:rPr>
        <w:footnoteRef/>
      </w:r>
      <w:r>
        <w:t xml:space="preserve"> </w:t>
      </w:r>
      <w:r>
        <w:t xml:space="preserve">太 11:27。</w:t>
      </w:r>
    </w:p>
  </w:footnote>
  <w:footnote w:id="373">
    <w:p>
      <w:pPr>
        <w:pStyle w:val="FootnoteText"/>
      </w:pPr>
      <w:r>
        <w:rPr>
          <w:rStyle w:val="FootnoteReference"/>
        </w:rPr>
        <w:footnoteRef/>
      </w:r>
      <w:r>
        <w:t xml:space="preserve"> </w:t>
      </w:r>
      <w:r>
        <w:t xml:space="preserve">约 1:1；西 1:15；来 1:3。</w:t>
      </w:r>
    </w:p>
  </w:footnote>
  <w:footnote w:id="374">
    <w:p>
      <w:pPr>
        <w:pStyle w:val="FootnoteText"/>
      </w:pPr>
      <w:r>
        <w:rPr>
          <w:rStyle w:val="FootnoteReference"/>
        </w:rPr>
        <w:footnoteRef/>
      </w:r>
      <w:r>
        <w:t xml:space="preserve"> </w:t>
      </w:r>
      <w:r>
        <w:t xml:space="preserve">英文「of one being / one in being」译自希腊文</w:t>
      </w:r>
      <w:r>
        <w:t xml:space="preserve"> </w:t>
      </w:r>
      <w:r>
        <w:rPr>
          <w:i/>
          <w:iCs/>
        </w:rPr>
        <w:t xml:space="preserve">homoousios</w:t>
      </w:r>
      <w:r>
        <w:t xml:space="preserve">，拉丁文为</w:t>
      </w:r>
      <w:r>
        <w:t xml:space="preserve"> </w:t>
      </w:r>
      <w:r>
        <w:rPr>
          <w:i/>
          <w:iCs/>
        </w:rPr>
        <w:t xml:space="preserve">consubstantialis</w:t>
      </w:r>
      <w:r>
        <w:t xml:space="preserve">。</w:t>
      </w:r>
    </w:p>
  </w:footnote>
  <w:footnote w:id="375">
    <w:p>
      <w:pPr>
        <w:pStyle w:val="FootnoteText"/>
      </w:pPr>
      <w:r>
        <w:rPr>
          <w:rStyle w:val="FootnoteReference"/>
        </w:rPr>
        <w:footnoteRef/>
      </w:r>
      <w:r>
        <w:t xml:space="preserve"> </w:t>
      </w:r>
      <w:r>
        <w:t xml:space="preserve">《尼西亚-君士坦丁堡信经》；参 DS 150。</w:t>
      </w:r>
    </w:p>
  </w:footnote>
  <w:footnote w:id="376">
    <w:p>
      <w:pPr>
        <w:pStyle w:val="FootnoteText"/>
      </w:pPr>
      <w:r>
        <w:rPr>
          <w:rStyle w:val="FootnoteReference"/>
        </w:rPr>
        <w:footnoteRef/>
      </w:r>
      <w:r>
        <w:t xml:space="preserve"> </w:t>
      </w:r>
      <w:r>
        <w:t xml:space="preserve">参 创 1:2；《尼西亚信经》（DS 150）；约 14:17，26；16:13。</w:t>
      </w:r>
    </w:p>
  </w:footnote>
  <w:footnote w:id="377">
    <w:p>
      <w:pPr>
        <w:pStyle w:val="FootnoteText"/>
      </w:pPr>
      <w:r>
        <w:rPr>
          <w:rStyle w:val="FootnoteReference"/>
        </w:rPr>
        <w:footnoteRef/>
      </w:r>
      <w:r>
        <w:t xml:space="preserve"> </w:t>
      </w:r>
      <w:r>
        <w:t xml:space="preserve">参 约 14:26；15:26；16:14。</w:t>
      </w:r>
    </w:p>
  </w:footnote>
  <w:footnote w:id="378">
    <w:p>
      <w:pPr>
        <w:pStyle w:val="FootnoteText"/>
      </w:pPr>
      <w:r>
        <w:rPr>
          <w:rStyle w:val="FootnoteReference"/>
        </w:rPr>
        <w:footnoteRef/>
      </w:r>
      <w:r>
        <w:t xml:space="preserve"> </w:t>
      </w:r>
      <w:r>
        <w:t xml:space="preserve">参 约 7:39。</w:t>
      </w:r>
    </w:p>
  </w:footnote>
  <w:footnote w:id="379">
    <w:p>
      <w:pPr>
        <w:pStyle w:val="FootnoteText"/>
      </w:pPr>
      <w:r>
        <w:rPr>
          <w:rStyle w:val="FootnoteReference"/>
        </w:rPr>
        <w:footnoteRef/>
      </w:r>
      <w:r>
        <w:t xml:space="preserve"> </w:t>
      </w:r>
      <w:r>
        <w:t xml:space="preserve">《尼西亚信经》；参 DS 150。</w:t>
      </w:r>
    </w:p>
  </w:footnote>
  <w:footnote w:id="380">
    <w:p>
      <w:pPr>
        <w:pStyle w:val="FootnoteText"/>
      </w:pPr>
      <w:r>
        <w:rPr>
          <w:rStyle w:val="FootnoteReference"/>
        </w:rPr>
        <w:footnoteRef/>
      </w:r>
      <w:r>
        <w:t xml:space="preserve"> </w:t>
      </w:r>
      <w:r>
        <w:t xml:space="preserve">第六届托莱多会议（638）：DS 490。</w:t>
      </w:r>
    </w:p>
  </w:footnote>
  <w:footnote w:id="381">
    <w:p>
      <w:pPr>
        <w:pStyle w:val="FootnoteText"/>
      </w:pPr>
      <w:r>
        <w:rPr>
          <w:rStyle w:val="FootnoteReference"/>
        </w:rPr>
        <w:footnoteRef/>
      </w:r>
      <w:r>
        <w:t xml:space="preserve"> </w:t>
      </w:r>
      <w:r>
        <w:t xml:space="preserve">第十一届托莱多会议（675）：DS 527。</w:t>
      </w:r>
    </w:p>
  </w:footnote>
  <w:footnote w:id="382">
    <w:p>
      <w:pPr>
        <w:pStyle w:val="FootnoteText"/>
      </w:pPr>
      <w:r>
        <w:rPr>
          <w:rStyle w:val="FootnoteReference"/>
        </w:rPr>
        <w:footnoteRef/>
      </w:r>
      <w:r>
        <w:t xml:space="preserve"> </w:t>
      </w:r>
      <w:r>
        <w:t xml:space="preserve">《尼西亚信经》；参 DS 150。</w:t>
      </w:r>
    </w:p>
  </w:footnote>
  <w:footnote w:id="383">
    <w:p>
      <w:pPr>
        <w:pStyle w:val="FootnoteText"/>
      </w:pPr>
      <w:r>
        <w:rPr>
          <w:rStyle w:val="FootnoteReference"/>
        </w:rPr>
        <w:footnoteRef/>
      </w:r>
      <w:r>
        <w:t xml:space="preserve"> </w:t>
      </w:r>
      <w:r>
        <w:t xml:space="preserve">佛罗伦萨大公会议（1439）：DS 1300–1301。</w:t>
      </w:r>
    </w:p>
  </w:footnote>
  <w:footnote w:id="384">
    <w:p>
      <w:pPr>
        <w:pStyle w:val="FootnoteText"/>
      </w:pPr>
      <w:r>
        <w:rPr>
          <w:rStyle w:val="FootnoteReference"/>
        </w:rPr>
        <w:footnoteRef/>
      </w:r>
      <w:r>
        <w:t xml:space="preserve"> </w:t>
      </w:r>
      <w:r>
        <w:t xml:space="preserve">参 良一世，《Quam laudabiliter》（447）：DS 284。</w:t>
      </w:r>
    </w:p>
  </w:footnote>
  <w:footnote w:id="385">
    <w:p>
      <w:pPr>
        <w:pStyle w:val="FootnoteText"/>
      </w:pPr>
      <w:r>
        <w:rPr>
          <w:rStyle w:val="FootnoteReference"/>
        </w:rPr>
        <w:footnoteRef/>
      </w:r>
      <w:r>
        <w:t xml:space="preserve"> </w:t>
      </w:r>
      <w:r>
        <w:t xml:space="preserve">约 15:26；参 AG 2。</w:t>
      </w:r>
    </w:p>
  </w:footnote>
  <w:footnote w:id="386">
    <w:p>
      <w:pPr>
        <w:pStyle w:val="FootnoteText"/>
      </w:pPr>
      <w:r>
        <w:rPr>
          <w:rStyle w:val="FootnoteReference"/>
        </w:rPr>
        <w:footnoteRef/>
      </w:r>
      <w:r>
        <w:t xml:space="preserve"> </w:t>
      </w:r>
      <w:r>
        <w:t xml:space="preserve">佛罗伦萨大公会议（1439）：DS 1302。</w:t>
      </w:r>
    </w:p>
  </w:footnote>
  <w:footnote w:id="387">
    <w:p>
      <w:pPr>
        <w:pStyle w:val="FootnoteText"/>
      </w:pPr>
      <w:r>
        <w:rPr>
          <w:rStyle w:val="FootnoteReference"/>
        </w:rPr>
        <w:footnoteRef/>
      </w:r>
      <w:r>
        <w:t xml:space="preserve"> </w:t>
      </w:r>
      <w:r>
        <w:t xml:space="preserve">佛罗伦萨大公会议（1442）：DS 1331。</w:t>
      </w:r>
    </w:p>
  </w:footnote>
  <w:footnote w:id="388">
    <w:p>
      <w:pPr>
        <w:pStyle w:val="FootnoteText"/>
      </w:pPr>
      <w:r>
        <w:rPr>
          <w:rStyle w:val="FootnoteReference"/>
        </w:rPr>
        <w:footnoteRef/>
      </w:r>
      <w:r>
        <w:t xml:space="preserve"> </w:t>
      </w:r>
      <w:r>
        <w:t xml:space="preserve">参 里昂第二届大公会议（1274）：DS 850。</w:t>
      </w:r>
    </w:p>
  </w:footnote>
  <w:footnote w:id="390">
    <w:p>
      <w:pPr>
        <w:pStyle w:val="FootnoteText"/>
      </w:pPr>
      <w:r>
        <w:rPr>
          <w:rStyle w:val="FootnoteReference"/>
        </w:rPr>
        <w:footnoteRef/>
      </w:r>
      <w:r>
        <w:t xml:space="preserve"> </w:t>
      </w:r>
      <w:r>
        <w:t xml:space="preserve">林后 13:14；参 林前 12:4–6；弗 4:4–6。</w:t>
      </w:r>
    </w:p>
  </w:footnote>
  <w:footnote w:id="391">
    <w:p>
      <w:pPr>
        <w:pStyle w:val="FootnoteText"/>
      </w:pPr>
      <w:r>
        <w:rPr>
          <w:rStyle w:val="FootnoteReference"/>
        </w:rPr>
        <w:footnoteRef/>
      </w:r>
      <w:r>
        <w:t xml:space="preserve"> </w:t>
      </w:r>
      <w:r>
        <w:t xml:space="preserve">保禄六世，CPG § 2。</w:t>
      </w:r>
    </w:p>
  </w:footnote>
  <w:footnote w:id="392">
    <w:p>
      <w:pPr>
        <w:pStyle w:val="FootnoteText"/>
      </w:pPr>
      <w:r>
        <w:rPr>
          <w:rStyle w:val="FootnoteReference"/>
        </w:rPr>
        <w:footnoteRef/>
      </w:r>
      <w:r>
        <w:t xml:space="preserve"> </w:t>
      </w:r>
      <w:r>
        <w:t xml:space="preserve">第二次君士坦丁堡大公会议（553）：DS 421。</w:t>
      </w:r>
    </w:p>
  </w:footnote>
  <w:footnote w:id="393">
    <w:p>
      <w:pPr>
        <w:pStyle w:val="FootnoteText"/>
      </w:pPr>
      <w:r>
        <w:rPr>
          <w:rStyle w:val="FootnoteReference"/>
        </w:rPr>
        <w:footnoteRef/>
      </w:r>
      <w:r>
        <w:t xml:space="preserve"> </w:t>
      </w:r>
      <w:r>
        <w:t xml:space="preserve">第十一届托莱多会议（675）：DS 530:26。</w:t>
      </w:r>
    </w:p>
  </w:footnote>
  <w:footnote w:id="394">
    <w:p>
      <w:pPr>
        <w:pStyle w:val="FootnoteText"/>
      </w:pPr>
      <w:r>
        <w:rPr>
          <w:rStyle w:val="FootnoteReference"/>
        </w:rPr>
        <w:footnoteRef/>
      </w:r>
      <w:r>
        <w:t xml:space="preserve"> </w:t>
      </w:r>
      <w:r>
        <w:t xml:space="preserve">拉特朗第四届大公会议（1215）：DS 804。</w:t>
      </w:r>
    </w:p>
  </w:footnote>
  <w:footnote w:id="395">
    <w:p>
      <w:pPr>
        <w:pStyle w:val="FootnoteText"/>
      </w:pPr>
      <w:r>
        <w:rPr>
          <w:rStyle w:val="FootnoteReference"/>
        </w:rPr>
        <w:footnoteRef/>
      </w:r>
      <w:r>
        <w:t xml:space="preserve"> </w:t>
      </w:r>
      <w:r>
        <w:t xml:space="preserve">《达玛稣信经》：DS 71。</w:t>
      </w:r>
    </w:p>
  </w:footnote>
  <w:footnote w:id="396">
    <w:p>
      <w:pPr>
        <w:pStyle w:val="FootnoteText"/>
      </w:pPr>
      <w:r>
        <w:rPr>
          <w:rStyle w:val="FootnoteReference"/>
        </w:rPr>
        <w:footnoteRef/>
      </w:r>
      <w:r>
        <w:t xml:space="preserve"> </w:t>
      </w:r>
      <w:r>
        <w:t xml:space="preserve">第十一届托莱多会议（675）：DS 530:25。</w:t>
      </w:r>
    </w:p>
  </w:footnote>
  <w:footnote w:id="397">
    <w:p>
      <w:pPr>
        <w:pStyle w:val="FootnoteText"/>
      </w:pPr>
      <w:r>
        <w:rPr>
          <w:rStyle w:val="FootnoteReference"/>
        </w:rPr>
        <w:footnoteRef/>
      </w:r>
      <w:r>
        <w:t xml:space="preserve"> </w:t>
      </w:r>
      <w:r>
        <w:t xml:space="preserve">拉特朗第四届大公会议（1215）：DS 804。</w:t>
      </w:r>
    </w:p>
  </w:footnote>
  <w:footnote w:id="398">
    <w:p>
      <w:pPr>
        <w:pStyle w:val="FootnoteText"/>
      </w:pPr>
      <w:r>
        <w:rPr>
          <w:rStyle w:val="FootnoteReference"/>
        </w:rPr>
        <w:footnoteRef/>
      </w:r>
      <w:r>
        <w:t xml:space="preserve"> </w:t>
      </w:r>
      <w:r>
        <w:t xml:space="preserve">第十一届托莱多会议（675）：DS 528。</w:t>
      </w:r>
    </w:p>
  </w:footnote>
  <w:footnote w:id="399">
    <w:p>
      <w:pPr>
        <w:pStyle w:val="FootnoteText"/>
      </w:pPr>
      <w:r>
        <w:rPr>
          <w:rStyle w:val="FootnoteReference"/>
        </w:rPr>
        <w:footnoteRef/>
      </w:r>
      <w:r>
        <w:t xml:space="preserve"> </w:t>
      </w:r>
      <w:r>
        <w:t xml:space="preserve">佛罗伦萨大公会议（1442）：DS 1330。</w:t>
      </w:r>
    </w:p>
  </w:footnote>
  <w:footnote w:id="400">
    <w:p>
      <w:pPr>
        <w:pStyle w:val="FootnoteText"/>
      </w:pPr>
      <w:r>
        <w:rPr>
          <w:rStyle w:val="FootnoteReference"/>
        </w:rPr>
        <w:footnoteRef/>
      </w:r>
      <w:r>
        <w:t xml:space="preserve"> </w:t>
      </w:r>
      <w:r>
        <w:t xml:space="preserve">佛罗伦萨大公会议（1442）：DS 1331。</w:t>
      </w:r>
    </w:p>
  </w:footnote>
  <w:footnote w:id="401">
    <w:p>
      <w:pPr>
        <w:pStyle w:val="FootnoteText"/>
      </w:pPr>
      <w:r>
        <w:rPr>
          <w:rStyle w:val="FootnoteReference"/>
        </w:rPr>
        <w:footnoteRef/>
      </w:r>
      <w:r>
        <w:t xml:space="preserve"> </w:t>
      </w:r>
      <w:r>
        <w:t xml:space="preserve">纳齐安的圣额我略，《讲论》40，41：PG 36，417。</w:t>
      </w:r>
    </w:p>
  </w:footnote>
  <w:footnote w:id="403">
    <w:p>
      <w:pPr>
        <w:pStyle w:val="FootnoteText"/>
      </w:pPr>
      <w:r>
        <w:rPr>
          <w:rStyle w:val="FootnoteReference"/>
        </w:rPr>
        <w:footnoteRef/>
      </w:r>
      <w:r>
        <w:t xml:space="preserve"> </w:t>
      </w:r>
      <w:r>
        <w:t xml:space="preserve">《时辰礼仪》，晚祷赞美诗。</w:t>
      </w:r>
    </w:p>
  </w:footnote>
  <w:footnote w:id="404">
    <w:p>
      <w:pPr>
        <w:pStyle w:val="FootnoteText"/>
      </w:pPr>
      <w:r>
        <w:rPr>
          <w:rStyle w:val="FootnoteReference"/>
        </w:rPr>
        <w:footnoteRef/>
      </w:r>
      <w:r>
        <w:t xml:space="preserve"> </w:t>
      </w:r>
      <w:r>
        <w:t xml:space="preserve">弗 1:4–5，9；罗 8:15，29。</w:t>
      </w:r>
    </w:p>
  </w:footnote>
  <w:footnote w:id="405">
    <w:p>
      <w:pPr>
        <w:pStyle w:val="FootnoteText"/>
      </w:pPr>
      <w:r>
        <w:rPr>
          <w:rStyle w:val="FootnoteReference"/>
        </w:rPr>
        <w:footnoteRef/>
      </w:r>
      <w:r>
        <w:t xml:space="preserve"> </w:t>
      </w:r>
      <w:r>
        <w:t xml:space="preserve">提后 1:9–10。</w:t>
      </w:r>
    </w:p>
  </w:footnote>
  <w:footnote w:id="406">
    <w:p>
      <w:pPr>
        <w:pStyle w:val="FootnoteText"/>
      </w:pPr>
      <w:r>
        <w:rPr>
          <w:rStyle w:val="FootnoteReference"/>
        </w:rPr>
        <w:footnoteRef/>
      </w:r>
      <w:r>
        <w:t xml:space="preserve"> </w:t>
      </w:r>
      <w:r>
        <w:t xml:space="preserve">参 AG 2–9。</w:t>
      </w:r>
    </w:p>
  </w:footnote>
  <w:footnote w:id="407">
    <w:p>
      <w:pPr>
        <w:pStyle w:val="FootnoteText"/>
      </w:pPr>
      <w:r>
        <w:rPr>
          <w:rStyle w:val="FootnoteReference"/>
        </w:rPr>
        <w:footnoteRef/>
      </w:r>
      <w:r>
        <w:t xml:space="preserve"> </w:t>
      </w:r>
      <w:r>
        <w:t xml:space="preserve">佛罗伦萨大公会议（1442）：DS 1331；参 第二次君士坦丁堡大公会议（553）：DS 421。</w:t>
      </w:r>
    </w:p>
  </w:footnote>
  <w:footnote w:id="408">
    <w:p>
      <w:pPr>
        <w:pStyle w:val="FootnoteText"/>
      </w:pPr>
      <w:r>
        <w:rPr>
          <w:rStyle w:val="FootnoteReference"/>
        </w:rPr>
        <w:footnoteRef/>
      </w:r>
      <w:r>
        <w:t xml:space="preserve"> </w:t>
      </w:r>
      <w:r>
        <w:t xml:space="preserve">第二次君士坦丁堡大公会议：DS 421。</w:t>
      </w:r>
    </w:p>
  </w:footnote>
  <w:footnote w:id="409">
    <w:p>
      <w:pPr>
        <w:pStyle w:val="FootnoteText"/>
      </w:pPr>
      <w:r>
        <w:rPr>
          <w:rStyle w:val="FootnoteReference"/>
        </w:rPr>
        <w:footnoteRef/>
      </w:r>
      <w:r>
        <w:t xml:space="preserve"> </w:t>
      </w:r>
      <w:r>
        <w:t xml:space="preserve">参 约 6:44；罗 8:14。</w:t>
      </w:r>
    </w:p>
  </w:footnote>
  <w:footnote w:id="410">
    <w:p>
      <w:pPr>
        <w:pStyle w:val="FootnoteText"/>
      </w:pPr>
      <w:r>
        <w:rPr>
          <w:rStyle w:val="FootnoteReference"/>
        </w:rPr>
        <w:footnoteRef/>
      </w:r>
      <w:r>
        <w:t xml:space="preserve"> </w:t>
      </w:r>
      <w:r>
        <w:t xml:space="preserve">参 约 17:21–23。</w:t>
      </w:r>
    </w:p>
  </w:footnote>
  <w:footnote w:id="411">
    <w:p>
      <w:pPr>
        <w:pStyle w:val="FootnoteText"/>
      </w:pPr>
      <w:r>
        <w:rPr>
          <w:rStyle w:val="FootnoteReference"/>
        </w:rPr>
        <w:footnoteRef/>
      </w:r>
      <w:r>
        <w:t xml:space="preserve"> </w:t>
      </w:r>
      <w:r>
        <w:t xml:space="preserve">约 14:23。</w:t>
      </w:r>
    </w:p>
  </w:footnote>
  <w:footnote w:id="412">
    <w:p>
      <w:pPr>
        <w:pStyle w:val="FootnoteText"/>
      </w:pPr>
      <w:r>
        <w:rPr>
          <w:rStyle w:val="FootnoteReference"/>
        </w:rPr>
        <w:footnoteRef/>
      </w:r>
      <w:r>
        <w:t xml:space="preserve"> </w:t>
      </w:r>
      <w:r>
        <w:t xml:space="preserve">真福圣德肋撒（三位一体德兰）的祈祷。</w:t>
      </w:r>
    </w:p>
  </w:footnote>
  <w:footnote w:id="416">
    <w:p>
      <w:pPr>
        <w:pStyle w:val="FootnoteText"/>
      </w:pPr>
      <w:r>
        <w:rPr>
          <w:rStyle w:val="FootnoteReference"/>
        </w:rPr>
        <w:footnoteRef/>
      </w:r>
      <w:r>
        <w:t xml:space="preserve"> </w:t>
      </w:r>
      <w:r>
        <w:t xml:space="preserve">创 1:1；约 1:3；太 6:9；林后 12:9；参 林前 1:18。</w:t>
      </w:r>
    </w:p>
  </w:footnote>
  <w:footnote w:id="417">
    <w:p>
      <w:pPr>
        <w:pStyle w:val="FootnoteText"/>
      </w:pPr>
      <w:r>
        <w:rPr>
          <w:rStyle w:val="FootnoteReference"/>
        </w:rPr>
        <w:footnoteRef/>
      </w:r>
      <w:r>
        <w:t xml:space="preserve"> </w:t>
      </w:r>
      <w:r>
        <w:t xml:space="preserve">诗 115:3。</w:t>
      </w:r>
    </w:p>
  </w:footnote>
  <w:footnote w:id="418">
    <w:p>
      <w:pPr>
        <w:pStyle w:val="FootnoteText"/>
      </w:pPr>
      <w:r>
        <w:rPr>
          <w:rStyle w:val="FootnoteReference"/>
        </w:rPr>
        <w:footnoteRef/>
      </w:r>
      <w:r>
        <w:t xml:space="preserve"> </w:t>
      </w:r>
      <w:r>
        <w:t xml:space="preserve">智 11:21；参 斯 4:17下；箴 21:1；多 13:2。</w:t>
      </w:r>
    </w:p>
  </w:footnote>
  <w:footnote w:id="419">
    <w:p>
      <w:pPr>
        <w:pStyle w:val="FootnoteText"/>
      </w:pPr>
      <w:r>
        <w:rPr>
          <w:rStyle w:val="FootnoteReference"/>
        </w:rPr>
        <w:footnoteRef/>
      </w:r>
      <w:r>
        <w:t xml:space="preserve"> </w:t>
      </w:r>
      <w:r>
        <w:t xml:space="preserve">智 11:23。</w:t>
      </w:r>
    </w:p>
  </w:footnote>
  <w:footnote w:id="420">
    <w:p>
      <w:pPr>
        <w:pStyle w:val="FootnoteText"/>
      </w:pPr>
      <w:r>
        <w:rPr>
          <w:rStyle w:val="FootnoteReference"/>
        </w:rPr>
        <w:footnoteRef/>
      </w:r>
      <w:r>
        <w:t xml:space="preserve"> </w:t>
      </w:r>
      <w:r>
        <w:t xml:space="preserve">林后 6:18；参 太 6:32。</w:t>
      </w:r>
    </w:p>
  </w:footnote>
  <w:footnote w:id="421">
    <w:p>
      <w:pPr>
        <w:pStyle w:val="FootnoteText"/>
      </w:pPr>
      <w:r>
        <w:rPr>
          <w:rStyle w:val="FootnoteReference"/>
        </w:rPr>
        <w:footnoteRef/>
      </w:r>
      <w:r>
        <w:t xml:space="preserve"> </w:t>
      </w:r>
      <w:r>
        <w:t xml:space="preserve">圣托马斯阿奎那，《神学大全》I,25,5, ad I。</w:t>
      </w:r>
    </w:p>
  </w:footnote>
  <w:footnote w:id="422">
    <w:p>
      <w:pPr>
        <w:pStyle w:val="FootnoteText"/>
      </w:pPr>
      <w:r>
        <w:rPr>
          <w:rStyle w:val="FootnoteReference"/>
        </w:rPr>
        <w:footnoteRef/>
      </w:r>
      <w:r>
        <w:t xml:space="preserve"> </w:t>
      </w:r>
      <w:r>
        <w:t xml:space="preserve">林前 1:24-25。</w:t>
      </w:r>
    </w:p>
  </w:footnote>
  <w:footnote w:id="423">
    <w:p>
      <w:pPr>
        <w:pStyle w:val="FootnoteText"/>
      </w:pPr>
      <w:r>
        <w:rPr>
          <w:rStyle w:val="FootnoteReference"/>
        </w:rPr>
        <w:footnoteRef/>
      </w:r>
      <w:r>
        <w:t xml:space="preserve"> </w:t>
      </w:r>
      <w:r>
        <w:t xml:space="preserve">弗 1:19-22。</w:t>
      </w:r>
    </w:p>
  </w:footnote>
  <w:footnote w:id="424">
    <w:p>
      <w:pPr>
        <w:pStyle w:val="FootnoteText"/>
      </w:pPr>
      <w:r>
        <w:rPr>
          <w:rStyle w:val="FootnoteReference"/>
        </w:rPr>
        <w:footnoteRef/>
      </w:r>
      <w:r>
        <w:t xml:space="preserve"> </w:t>
      </w:r>
      <w:r>
        <w:t xml:space="preserve">参 林后 12:9；腓 4:13。</w:t>
      </w:r>
    </w:p>
  </w:footnote>
  <w:footnote w:id="425">
    <w:p>
      <w:pPr>
        <w:pStyle w:val="FootnoteText"/>
      </w:pPr>
      <w:r>
        <w:rPr>
          <w:rStyle w:val="FootnoteReference"/>
        </w:rPr>
        <w:footnoteRef/>
      </w:r>
      <w:r>
        <w:t xml:space="preserve"> </w:t>
      </w:r>
      <w:r>
        <w:t xml:space="preserve">路 1:37，49。</w:t>
      </w:r>
    </w:p>
  </w:footnote>
  <w:footnote w:id="426">
    <w:p>
      <w:pPr>
        <w:pStyle w:val="FootnoteText"/>
      </w:pPr>
      <w:r>
        <w:rPr>
          <w:rStyle w:val="FootnoteReference"/>
        </w:rPr>
        <w:footnoteRef/>
      </w:r>
      <w:r>
        <w:t xml:space="preserve"> </w:t>
      </w:r>
      <w:r>
        <w:t xml:space="preserve">《罗马教理》I,2,13。</w:t>
      </w:r>
    </w:p>
  </w:footnote>
  <w:footnote w:id="430">
    <w:p>
      <w:pPr>
        <w:pStyle w:val="FootnoteText"/>
      </w:pPr>
      <w:r>
        <w:rPr>
          <w:rStyle w:val="FootnoteReference"/>
        </w:rPr>
        <w:footnoteRef/>
      </w:r>
      <w:r>
        <w:t xml:space="preserve"> </w:t>
      </w:r>
      <w:r>
        <w:t xml:space="preserve">创 1:1</w:t>
      </w:r>
    </w:p>
  </w:footnote>
  <w:footnote w:id="431">
    <w:p>
      <w:pPr>
        <w:pStyle w:val="FootnoteText"/>
      </w:pPr>
      <w:r>
        <w:rPr>
          <w:rStyle w:val="FootnoteReference"/>
        </w:rPr>
        <w:footnoteRef/>
      </w:r>
      <w:r>
        <w:t xml:space="preserve"> </w:t>
      </w:r>
      <w:r>
        <w:t xml:space="preserve">GCD 51。</w:t>
      </w:r>
    </w:p>
  </w:footnote>
  <w:footnote w:id="432">
    <w:p>
      <w:pPr>
        <w:pStyle w:val="FootnoteText"/>
      </w:pPr>
      <w:r>
        <w:rPr>
          <w:rStyle w:val="FootnoteReference"/>
        </w:rPr>
        <w:footnoteRef/>
      </w:r>
      <w:r>
        <w:t xml:space="preserve"> </w:t>
      </w:r>
      <w:r>
        <w:t xml:space="preserve">创 1:1；参 罗 8:18-23。</w:t>
      </w:r>
    </w:p>
  </w:footnote>
  <w:footnote w:id="433">
    <w:p>
      <w:pPr>
        <w:pStyle w:val="FootnoteText"/>
      </w:pPr>
      <w:r>
        <w:rPr>
          <w:rStyle w:val="FootnoteReference"/>
        </w:rPr>
        <w:footnoteRef/>
      </w:r>
      <w:r>
        <w:t xml:space="preserve"> </w:t>
      </w:r>
      <w:r>
        <w:t xml:space="preserve">参埃格里亚，《圣地朝圣记》，46：PLS 1,1047；圣奥古斯丁，《论教导初学者》3,5：PL 40,256</w:t>
      </w:r>
    </w:p>
  </w:footnote>
  <w:footnote w:id="434">
    <w:p>
      <w:pPr>
        <w:pStyle w:val="FootnoteText"/>
      </w:pPr>
      <w:r>
        <w:rPr>
          <w:rStyle w:val="FootnoteReference"/>
        </w:rPr>
        <w:footnoteRef/>
      </w:r>
      <w:r>
        <w:t xml:space="preserve"> </w:t>
      </w:r>
      <w:r>
        <w:t xml:space="preserve">参 NA 2。</w:t>
      </w:r>
    </w:p>
  </w:footnote>
  <w:footnote w:id="435">
    <w:p>
      <w:pPr>
        <w:pStyle w:val="FootnoteText"/>
      </w:pPr>
      <w:r>
        <w:rPr>
          <w:rStyle w:val="FootnoteReference"/>
        </w:rPr>
        <w:footnoteRef/>
      </w:r>
      <w:r>
        <w:t xml:space="preserve"> </w:t>
      </w:r>
      <w:r>
        <w:t xml:space="preserve">智 7:17-22</w:t>
      </w:r>
    </w:p>
  </w:footnote>
  <w:footnote w:id="436">
    <w:p>
      <w:pPr>
        <w:pStyle w:val="FootnoteText"/>
      </w:pPr>
      <w:r>
        <w:rPr>
          <w:rStyle w:val="FootnoteReference"/>
        </w:rPr>
        <w:footnoteRef/>
      </w:r>
      <w:r>
        <w:t xml:space="preserve"> </w:t>
      </w:r>
      <w:r>
        <w:t xml:space="preserve">参 梵一，法则 2 § I：DS 3026。</w:t>
      </w:r>
    </w:p>
  </w:footnote>
  <w:footnote w:id="437">
    <w:p>
      <w:pPr>
        <w:pStyle w:val="FootnoteText"/>
      </w:pPr>
      <w:r>
        <w:rPr>
          <w:rStyle w:val="FootnoteReference"/>
        </w:rPr>
        <w:footnoteRef/>
      </w:r>
      <w:r>
        <w:t xml:space="preserve"> </w:t>
      </w:r>
      <w:r>
        <w:t xml:space="preserve">来 11:3。</w:t>
      </w:r>
    </w:p>
  </w:footnote>
  <w:footnote w:id="438">
    <w:p>
      <w:pPr>
        <w:pStyle w:val="FootnoteText"/>
      </w:pPr>
      <w:r>
        <w:rPr>
          <w:rStyle w:val="FootnoteReference"/>
        </w:rPr>
        <w:footnoteRef/>
      </w:r>
      <w:r>
        <w:t xml:space="preserve"> </w:t>
      </w:r>
      <w:r>
        <w:t xml:space="preserve">参 徒 17:24-29；罗 1:19-20。</w:t>
      </w:r>
    </w:p>
  </w:footnote>
  <w:footnote w:id="439">
    <w:p>
      <w:pPr>
        <w:pStyle w:val="FootnoteText"/>
      </w:pPr>
      <w:r>
        <w:rPr>
          <w:rStyle w:val="FootnoteReference"/>
        </w:rPr>
        <w:footnoteRef/>
      </w:r>
      <w:r>
        <w:t xml:space="preserve"> </w:t>
      </w:r>
      <w:r>
        <w:t xml:space="preserve">参 赛 43:1；诗 115:15；124:8；134:3。</w:t>
      </w:r>
    </w:p>
  </w:footnote>
  <w:footnote w:id="440">
    <w:p>
      <w:pPr>
        <w:pStyle w:val="FootnoteText"/>
      </w:pPr>
      <w:r>
        <w:rPr>
          <w:rStyle w:val="FootnoteReference"/>
        </w:rPr>
        <w:footnoteRef/>
      </w:r>
      <w:r>
        <w:t xml:space="preserve"> </w:t>
      </w:r>
      <w:r>
        <w:t xml:space="preserve">参 创 15:5；耶 33:19-26。</w:t>
      </w:r>
    </w:p>
  </w:footnote>
  <w:footnote w:id="441">
    <w:p>
      <w:pPr>
        <w:pStyle w:val="FootnoteText"/>
      </w:pPr>
      <w:r>
        <w:rPr>
          <w:rStyle w:val="FootnoteReference"/>
        </w:rPr>
        <w:footnoteRef/>
      </w:r>
      <w:r>
        <w:t xml:space="preserve"> </w:t>
      </w:r>
      <w:r>
        <w:t xml:space="preserve">参 赛 44:24；诗 104；箴 8:22-31。</w:t>
      </w:r>
    </w:p>
  </w:footnote>
  <w:footnote w:id="443">
    <w:p>
      <w:pPr>
        <w:pStyle w:val="FootnoteText"/>
      </w:pPr>
      <w:r>
        <w:rPr>
          <w:rStyle w:val="FootnoteReference"/>
        </w:rPr>
        <w:footnoteRef/>
      </w:r>
      <w:r>
        <w:t xml:space="preserve"> </w:t>
      </w:r>
      <w:r>
        <w:t xml:space="preserve">创 1:1。</w:t>
      </w:r>
    </w:p>
  </w:footnote>
  <w:footnote w:id="444">
    <w:p>
      <w:pPr>
        <w:pStyle w:val="FootnoteText"/>
      </w:pPr>
      <w:r>
        <w:rPr>
          <w:rStyle w:val="FootnoteReference"/>
        </w:rPr>
        <w:footnoteRef/>
      </w:r>
      <w:r>
        <w:t xml:space="preserve"> </w:t>
      </w:r>
      <w:r>
        <w:t xml:space="preserve">约 1:1-3。</w:t>
      </w:r>
    </w:p>
  </w:footnote>
  <w:footnote w:id="445">
    <w:p>
      <w:pPr>
        <w:pStyle w:val="FootnoteText"/>
      </w:pPr>
      <w:r>
        <w:rPr>
          <w:rStyle w:val="FootnoteReference"/>
        </w:rPr>
        <w:footnoteRef/>
      </w:r>
      <w:r>
        <w:t xml:space="preserve"> </w:t>
      </w:r>
      <w:r>
        <w:t xml:space="preserve">西 1:16-17。</w:t>
      </w:r>
    </w:p>
  </w:footnote>
  <w:footnote w:id="446">
    <w:p>
      <w:pPr>
        <w:pStyle w:val="FootnoteText"/>
      </w:pPr>
      <w:r>
        <w:rPr>
          <w:rStyle w:val="FootnoteReference"/>
        </w:rPr>
        <w:footnoteRef/>
      </w:r>
      <w:r>
        <w:t xml:space="preserve"> </w:t>
      </w:r>
      <w:r>
        <w:t xml:space="preserve">参 《尼西亚信经》：DS 150；赞美诗「Veni, Creator Spiritus」；拜占庭礼五旬期晚祷短歌：「天上君王，护慰者」。</w:t>
      </w:r>
    </w:p>
  </w:footnote>
  <w:footnote w:id="447">
    <w:p>
      <w:pPr>
        <w:pStyle w:val="FootnoteText"/>
      </w:pPr>
      <w:r>
        <w:rPr>
          <w:rStyle w:val="FootnoteReference"/>
        </w:rPr>
        <w:footnoteRef/>
      </w:r>
      <w:r>
        <w:t xml:space="preserve"> </w:t>
      </w:r>
      <w:r>
        <w:t xml:space="preserve">参 诗 33:6；104:30；创 1:2-3。</w:t>
      </w:r>
    </w:p>
  </w:footnote>
  <w:footnote w:id="448">
    <w:p>
      <w:pPr>
        <w:pStyle w:val="FootnoteText"/>
      </w:pPr>
      <w:r>
        <w:rPr>
          <w:rStyle w:val="FootnoteReference"/>
        </w:rPr>
        <w:footnoteRef/>
      </w:r>
      <w:r>
        <w:t xml:space="preserve"> </w:t>
      </w:r>
      <w:r>
        <w:t xml:space="preserve">圣爱任纽，《驳异端》2,30,9；4,20,1：PG 7/1,822,1032。</w:t>
      </w:r>
    </w:p>
  </w:footnote>
  <w:footnote w:id="450">
    <w:p>
      <w:pPr>
        <w:pStyle w:val="FootnoteText"/>
      </w:pPr>
      <w:r>
        <w:rPr>
          <w:rStyle w:val="FootnoteReference"/>
        </w:rPr>
        <w:footnoteRef/>
      </w:r>
      <w:r>
        <w:t xml:space="preserve"> </w:t>
      </w:r>
      <w:r>
        <w:t xml:space="preserve">《Dei Filius》卷一：DS 3002；参 拉特朗第四届大公会议（1215）：DS 800。</w:t>
      </w:r>
    </w:p>
  </w:footnote>
  <w:footnote w:id="451">
    <w:p>
      <w:pPr>
        <w:pStyle w:val="FootnoteText"/>
      </w:pPr>
      <w:r>
        <w:rPr>
          <w:rStyle w:val="FootnoteReference"/>
        </w:rPr>
        <w:footnoteRef/>
      </w:r>
      <w:r>
        <w:t xml:space="preserve"> </w:t>
      </w:r>
      <w:r>
        <w:t xml:space="preserve">《Dei Filius》卷一：DS 3002；参 拉特朗第四届大公会议（1215）：DS 800。</w:t>
      </w:r>
    </w:p>
  </w:footnote>
  <w:footnote w:id="452">
    <w:p>
      <w:pPr>
        <w:pStyle w:val="FootnoteText"/>
      </w:pPr>
      <w:r>
        <w:rPr>
          <w:rStyle w:val="FootnoteReference"/>
        </w:rPr>
        <w:footnoteRef/>
      </w:r>
      <w:r>
        <w:t xml:space="preserve"> </w:t>
      </w:r>
      <w:r>
        <w:t xml:space="preserve">弗 1:5-6。</w:t>
      </w:r>
    </w:p>
  </w:footnote>
  <w:footnote w:id="453">
    <w:p>
      <w:pPr>
        <w:pStyle w:val="FootnoteText"/>
      </w:pPr>
      <w:r>
        <w:rPr>
          <w:rStyle w:val="FootnoteReference"/>
        </w:rPr>
        <w:footnoteRef/>
      </w:r>
      <w:r>
        <w:t xml:space="preserve"> </w:t>
      </w:r>
      <w:r>
        <w:t xml:space="preserve">圣爱任纽，《驳异端》4,20,7：PG 7/1,1037。</w:t>
      </w:r>
    </w:p>
  </w:footnote>
  <w:footnote w:id="454">
    <w:p>
      <w:pPr>
        <w:pStyle w:val="FootnoteText"/>
      </w:pPr>
      <w:r>
        <w:rPr>
          <w:rStyle w:val="FootnoteReference"/>
        </w:rPr>
        <w:footnoteRef/>
      </w:r>
      <w:r>
        <w:t xml:space="preserve"> </w:t>
      </w:r>
      <w:r>
        <w:t xml:space="preserve">AG 2；参 林前 15:28。</w:t>
      </w:r>
    </w:p>
  </w:footnote>
  <w:footnote w:id="456">
    <w:p>
      <w:pPr>
        <w:pStyle w:val="FootnoteText"/>
      </w:pPr>
      <w:r>
        <w:rPr>
          <w:rStyle w:val="FootnoteReference"/>
        </w:rPr>
        <w:footnoteRef/>
      </w:r>
      <w:r>
        <w:t xml:space="preserve"> </w:t>
      </w:r>
      <w:r>
        <w:t xml:space="preserve">参智9:9</w:t>
      </w:r>
    </w:p>
  </w:footnote>
  <w:footnote w:id="457">
    <w:p>
      <w:pPr>
        <w:pStyle w:val="FootnoteText"/>
      </w:pPr>
      <w:r>
        <w:rPr>
          <w:rStyle w:val="FootnoteReference"/>
        </w:rPr>
        <w:footnoteRef/>
      </w:r>
      <w:r>
        <w:t xml:space="preserve"> </w:t>
      </w:r>
      <w:r>
        <w:t xml:space="preserve">启4:11</w:t>
      </w:r>
    </w:p>
  </w:footnote>
  <w:footnote w:id="458">
    <w:p>
      <w:pPr>
        <w:pStyle w:val="FootnoteText"/>
      </w:pPr>
      <w:r>
        <w:rPr>
          <w:rStyle w:val="FootnoteReference"/>
        </w:rPr>
        <w:footnoteRef/>
      </w:r>
      <w:r>
        <w:t xml:space="preserve"> </w:t>
      </w:r>
      <w:r>
        <w:t xml:space="preserve">诗104:24；145:9</w:t>
      </w:r>
    </w:p>
  </w:footnote>
  <w:footnote w:id="459">
    <w:p>
      <w:pPr>
        <w:pStyle w:val="FootnoteText"/>
      </w:pPr>
      <w:r>
        <w:rPr>
          <w:rStyle w:val="FootnoteReference"/>
        </w:rPr>
        <w:footnoteRef/>
      </w:r>
      <w:r>
        <w:t xml:space="preserve"> </w:t>
      </w:r>
      <w:r>
        <w:t xml:space="preserve">安提阿的圣狄奥菲卢，《致敖多吕库》II,4：PG 6,1052。</w:t>
      </w:r>
    </w:p>
  </w:footnote>
  <w:footnote w:id="460">
    <w:p>
      <w:pPr>
        <w:pStyle w:val="FootnoteText"/>
      </w:pPr>
      <w:r>
        <w:rPr>
          <w:rStyle w:val="FootnoteReference"/>
        </w:rPr>
        <w:footnoteRef/>
      </w:r>
      <w:r>
        <w:t xml:space="preserve"> </w:t>
      </w:r>
      <w:r>
        <w:t xml:space="preserve">圣底波罗《致奥托利库姆》II, 4：PG 6,1052</w:t>
      </w:r>
    </w:p>
  </w:footnote>
  <w:footnote w:id="461">
    <w:p>
      <w:pPr>
        <w:pStyle w:val="FootnoteText"/>
      </w:pPr>
      <w:r>
        <w:rPr>
          <w:rStyle w:val="FootnoteReference"/>
        </w:rPr>
        <w:footnoteRef/>
      </w:r>
      <w:r>
        <w:t xml:space="preserve"> </w:t>
      </w:r>
      <w:r>
        <w:t xml:space="preserve">玛下 7:22-21，28。</w:t>
      </w:r>
    </w:p>
  </w:footnote>
  <w:footnote w:id="462">
    <w:p>
      <w:pPr>
        <w:pStyle w:val="FootnoteText"/>
      </w:pPr>
      <w:r>
        <w:rPr>
          <w:rStyle w:val="FootnoteReference"/>
        </w:rPr>
        <w:footnoteRef/>
      </w:r>
      <w:r>
        <w:t xml:space="preserve"> </w:t>
      </w:r>
      <w:r>
        <w:t xml:space="preserve">马7:22-21,28</w:t>
      </w:r>
    </w:p>
  </w:footnote>
  <w:footnote w:id="463">
    <w:p>
      <w:pPr>
        <w:pStyle w:val="FootnoteText"/>
      </w:pPr>
      <w:r>
        <w:rPr>
          <w:rStyle w:val="FootnoteReference"/>
        </w:rPr>
        <w:footnoteRef/>
      </w:r>
      <w:r>
        <w:t xml:space="preserve"> </w:t>
      </w:r>
      <w:r>
        <w:t xml:space="preserve">参 诗 51:12。</w:t>
      </w:r>
    </w:p>
  </w:footnote>
  <w:footnote w:id="464">
    <w:p>
      <w:pPr>
        <w:pStyle w:val="FootnoteText"/>
      </w:pPr>
      <w:r>
        <w:rPr>
          <w:rStyle w:val="FootnoteReference"/>
        </w:rPr>
        <w:footnoteRef/>
      </w:r>
      <w:r>
        <w:t xml:space="preserve"> </w:t>
      </w:r>
      <w:r>
        <w:t xml:space="preserve">罗 4:17。</w:t>
      </w:r>
    </w:p>
  </w:footnote>
  <w:footnote w:id="465">
    <w:p>
      <w:pPr>
        <w:pStyle w:val="FootnoteText"/>
      </w:pPr>
      <w:r>
        <w:rPr>
          <w:rStyle w:val="FootnoteReference"/>
        </w:rPr>
        <w:footnoteRef/>
      </w:r>
      <w:r>
        <w:t xml:space="preserve"> </w:t>
      </w:r>
      <w:r>
        <w:t xml:space="preserve">参 创 1:3；林后 4:6。</w:t>
      </w:r>
    </w:p>
  </w:footnote>
  <w:footnote w:id="466">
    <w:p>
      <w:pPr>
        <w:pStyle w:val="FootnoteText"/>
      </w:pPr>
      <w:r>
        <w:rPr>
          <w:rStyle w:val="FootnoteReference"/>
        </w:rPr>
        <w:footnoteRef/>
      </w:r>
      <w:r>
        <w:t xml:space="preserve"> </w:t>
      </w:r>
      <w:r>
        <w:t xml:space="preserve">智 11:20。</w:t>
      </w:r>
    </w:p>
  </w:footnote>
  <w:footnote w:id="467">
    <w:p>
      <w:pPr>
        <w:pStyle w:val="FootnoteText"/>
      </w:pPr>
      <w:r>
        <w:rPr>
          <w:rStyle w:val="FootnoteReference"/>
        </w:rPr>
        <w:footnoteRef/>
      </w:r>
      <w:r>
        <w:t xml:space="preserve"> </w:t>
      </w:r>
      <w:r>
        <w:t xml:space="preserve">西 1:15；创 1:26。</w:t>
      </w:r>
    </w:p>
  </w:footnote>
  <w:footnote w:id="468">
    <w:p>
      <w:pPr>
        <w:pStyle w:val="FootnoteText"/>
      </w:pPr>
      <w:r>
        <w:rPr>
          <w:rStyle w:val="FootnoteReference"/>
        </w:rPr>
        <w:footnoteRef/>
      </w:r>
      <w:r>
        <w:t xml:space="preserve"> </w:t>
      </w:r>
      <w:r>
        <w:t xml:space="preserve">参 诗 19:2-5；伯 42:3。</w:t>
      </w:r>
    </w:p>
  </w:footnote>
  <w:footnote w:id="469">
    <w:p>
      <w:pPr>
        <w:pStyle w:val="FootnoteText"/>
      </w:pPr>
      <w:r>
        <w:rPr>
          <w:rStyle w:val="FootnoteReference"/>
        </w:rPr>
        <w:footnoteRef/>
      </w:r>
      <w:r>
        <w:t xml:space="preserve"> </w:t>
      </w:r>
      <w:r>
        <w:t xml:space="preserve">创 1:4，10，12，18，21，31。</w:t>
      </w:r>
    </w:p>
  </w:footnote>
  <w:footnote w:id="470">
    <w:p>
      <w:pPr>
        <w:pStyle w:val="FootnoteText"/>
      </w:pPr>
      <w:r>
        <w:rPr>
          <w:rStyle w:val="FootnoteReference"/>
        </w:rPr>
        <w:footnoteRef/>
      </w:r>
      <w:r>
        <w:t xml:space="preserve"> </w:t>
      </w:r>
      <w:r>
        <w:t xml:space="preserve">参 DS 286；455-463；800；1333；3002。</w:t>
      </w:r>
    </w:p>
  </w:footnote>
  <w:footnote w:id="471">
    <w:p>
      <w:pPr>
        <w:pStyle w:val="FootnoteText"/>
      </w:pPr>
      <w:r>
        <w:rPr>
          <w:rStyle w:val="FootnoteReference"/>
        </w:rPr>
        <w:footnoteRef/>
      </w:r>
      <w:r>
        <w:t xml:space="preserve"> </w:t>
      </w:r>
      <w:r>
        <w:t xml:space="preserve">诗 8:1；参 德 43:28。</w:t>
      </w:r>
    </w:p>
  </w:footnote>
  <w:footnote w:id="472">
    <w:p>
      <w:pPr>
        <w:pStyle w:val="FootnoteText"/>
      </w:pPr>
      <w:r>
        <w:rPr>
          <w:rStyle w:val="FootnoteReference"/>
        </w:rPr>
        <w:footnoteRef/>
      </w:r>
      <w:r>
        <w:t xml:space="preserve"> </w:t>
      </w:r>
      <w:r>
        <w:t xml:space="preserve">诗 145:3。</w:t>
      </w:r>
    </w:p>
  </w:footnote>
  <w:footnote w:id="473">
    <w:p>
      <w:pPr>
        <w:pStyle w:val="FootnoteText"/>
      </w:pPr>
      <w:r>
        <w:rPr>
          <w:rStyle w:val="FootnoteReference"/>
        </w:rPr>
        <w:footnoteRef/>
      </w:r>
      <w:r>
        <w:t xml:space="preserve"> </w:t>
      </w:r>
      <w:r>
        <w:t xml:space="preserve">徒 17:28。</w:t>
      </w:r>
    </w:p>
  </w:footnote>
  <w:footnote w:id="474">
    <w:p>
      <w:pPr>
        <w:pStyle w:val="FootnoteText"/>
      </w:pPr>
      <w:r>
        <w:rPr>
          <w:rStyle w:val="FootnoteReference"/>
        </w:rPr>
        <w:footnoteRef/>
      </w:r>
      <w:r>
        <w:t xml:space="preserve"> </w:t>
      </w:r>
      <w:r>
        <w:t xml:space="preserve">圣奥古斯丁，《忏悔录》3,6,11：PL 32,688。</w:t>
      </w:r>
    </w:p>
  </w:footnote>
  <w:footnote w:id="475">
    <w:p>
      <w:pPr>
        <w:pStyle w:val="FootnoteText"/>
      </w:pPr>
      <w:r>
        <w:rPr>
          <w:rStyle w:val="FootnoteReference"/>
        </w:rPr>
        <w:footnoteRef/>
      </w:r>
      <w:r>
        <w:t xml:space="preserve"> </w:t>
      </w:r>
      <w:r>
        <w:t xml:space="preserve">智 11:24-26</w:t>
      </w:r>
    </w:p>
  </w:footnote>
  <w:footnote w:id="477">
    <w:p>
      <w:pPr>
        <w:pStyle w:val="FootnoteText"/>
      </w:pPr>
      <w:r>
        <w:rPr>
          <w:rStyle w:val="FootnoteReference"/>
        </w:rPr>
        <w:footnoteRef/>
      </w:r>
      <w:r>
        <w:t xml:space="preserve"> </w:t>
      </w:r>
      <w:r>
        <w:t xml:space="preserve">Vatican Council I,</w:t>
      </w:r>
      <w:r>
        <w:t xml:space="preserve"> </w:t>
      </w:r>
      <w:r>
        <w:rPr>
          <w:i/>
          <w:iCs/>
        </w:rPr>
        <w:t xml:space="preserve">Dei Filius</w:t>
      </w:r>
      <w:r>
        <w:t xml:space="preserve"> </w:t>
      </w:r>
      <w:r>
        <w:t xml:space="preserve">1: DS 3003; cf. 智 8:1; 来 4:13</w:t>
      </w:r>
    </w:p>
  </w:footnote>
  <w:footnote w:id="478">
    <w:p>
      <w:pPr>
        <w:pStyle w:val="FootnoteText"/>
      </w:pPr>
      <w:r>
        <w:rPr>
          <w:rStyle w:val="FootnoteReference"/>
        </w:rPr>
        <w:footnoteRef/>
      </w:r>
      <w:r>
        <w:t xml:space="preserve"> </w:t>
      </w:r>
      <w:r>
        <w:t xml:space="preserve">诗 115:3。</w:t>
      </w:r>
    </w:p>
  </w:footnote>
  <w:footnote w:id="479">
    <w:p>
      <w:pPr>
        <w:pStyle w:val="FootnoteText"/>
      </w:pPr>
      <w:r>
        <w:rPr>
          <w:rStyle w:val="FootnoteReference"/>
        </w:rPr>
        <w:footnoteRef/>
      </w:r>
      <w:r>
        <w:t xml:space="preserve"> </w:t>
      </w:r>
      <w:r>
        <w:t xml:space="preserve">启 3:7。</w:t>
      </w:r>
    </w:p>
  </w:footnote>
  <w:footnote w:id="480">
    <w:p>
      <w:pPr>
        <w:pStyle w:val="FootnoteText"/>
      </w:pPr>
      <w:r>
        <w:rPr>
          <w:rStyle w:val="FootnoteReference"/>
        </w:rPr>
        <w:footnoteRef/>
      </w:r>
      <w:r>
        <w:t xml:space="preserve"> </w:t>
      </w:r>
      <w:r>
        <w:t xml:space="preserve">箴 19:21。</w:t>
      </w:r>
    </w:p>
  </w:footnote>
  <w:footnote w:id="481">
    <w:p>
      <w:pPr>
        <w:pStyle w:val="FootnoteText"/>
      </w:pPr>
      <w:r>
        <w:rPr>
          <w:rStyle w:val="FootnoteReference"/>
        </w:rPr>
        <w:footnoteRef/>
      </w:r>
      <w:r>
        <w:t xml:space="preserve"> </w:t>
      </w:r>
      <w:r>
        <w:t xml:space="preserve">参 赛 10:5-15；45:51；申 32:39；德 11:14。</w:t>
      </w:r>
    </w:p>
  </w:footnote>
  <w:footnote w:id="482">
    <w:p>
      <w:pPr>
        <w:pStyle w:val="FootnoteText"/>
      </w:pPr>
      <w:r>
        <w:rPr>
          <w:rStyle w:val="FootnoteReference"/>
        </w:rPr>
        <w:footnoteRef/>
      </w:r>
      <w:r>
        <w:t xml:space="preserve"> </w:t>
      </w:r>
      <w:r>
        <w:t xml:space="preserve">参 诗 22；32；35；103；138 等。</w:t>
      </w:r>
    </w:p>
  </w:footnote>
  <w:footnote w:id="483">
    <w:p>
      <w:pPr>
        <w:pStyle w:val="FootnoteText"/>
      </w:pPr>
      <w:r>
        <w:rPr>
          <w:rStyle w:val="FootnoteReference"/>
        </w:rPr>
        <w:footnoteRef/>
      </w:r>
      <w:r>
        <w:t xml:space="preserve"> </w:t>
      </w:r>
      <w:r>
        <w:t xml:space="preserve">太 6:31-33；参 10:29-31。</w:t>
      </w:r>
    </w:p>
  </w:footnote>
  <w:footnote w:id="484">
    <w:p>
      <w:pPr>
        <w:pStyle w:val="FootnoteText"/>
      </w:pPr>
      <w:r>
        <w:rPr>
          <w:rStyle w:val="FootnoteReference"/>
        </w:rPr>
        <w:footnoteRef/>
      </w:r>
      <w:r>
        <w:t xml:space="preserve"> </w:t>
      </w:r>
      <w:r>
        <w:t xml:space="preserve">创 1:26-28。</w:t>
      </w:r>
    </w:p>
  </w:footnote>
  <w:footnote w:id="485">
    <w:p>
      <w:pPr>
        <w:pStyle w:val="FootnoteText"/>
      </w:pPr>
      <w:r>
        <w:rPr>
          <w:rStyle w:val="FootnoteReference"/>
        </w:rPr>
        <w:footnoteRef/>
      </w:r>
      <w:r>
        <w:t xml:space="preserve"> </w:t>
      </w:r>
      <w:r>
        <w:t xml:space="preserve">西 1:24。</w:t>
      </w:r>
    </w:p>
  </w:footnote>
  <w:footnote w:id="486">
    <w:p>
      <w:pPr>
        <w:pStyle w:val="FootnoteText"/>
      </w:pPr>
      <w:r>
        <w:rPr>
          <w:rStyle w:val="FootnoteReference"/>
        </w:rPr>
        <w:footnoteRef/>
      </w:r>
      <w:r>
        <w:t xml:space="preserve"> </w:t>
      </w:r>
      <w:r>
        <w:t xml:space="preserve">林前 3:9；帖前 3:2；西 4:11。</w:t>
      </w:r>
    </w:p>
  </w:footnote>
  <w:footnote w:id="487">
    <w:p>
      <w:pPr>
        <w:pStyle w:val="FootnoteText"/>
      </w:pPr>
      <w:r>
        <w:rPr>
          <w:rStyle w:val="FootnoteReference"/>
        </w:rPr>
        <w:footnoteRef/>
      </w:r>
      <w:r>
        <w:t xml:space="preserve"> </w:t>
      </w:r>
      <w:r>
        <w:t xml:space="preserve">腓 2:13；参 林前 12:6。</w:t>
      </w:r>
    </w:p>
  </w:footnote>
  <w:footnote w:id="488">
    <w:p>
      <w:pPr>
        <w:pStyle w:val="FootnoteText"/>
      </w:pPr>
      <w:r>
        <w:rPr>
          <w:rStyle w:val="FootnoteReference"/>
        </w:rPr>
        <w:footnoteRef/>
      </w:r>
      <w:r>
        <w:t xml:space="preserve"> </w:t>
      </w:r>
      <w:r>
        <w:t xml:space="preserve">GS 36 § 3。</w:t>
      </w:r>
    </w:p>
  </w:footnote>
  <w:footnote w:id="489">
    <w:p>
      <w:pPr>
        <w:pStyle w:val="FootnoteText"/>
      </w:pPr>
      <w:r>
        <w:rPr>
          <w:rStyle w:val="FootnoteReference"/>
        </w:rPr>
        <w:footnoteRef/>
      </w:r>
      <w:r>
        <w:t xml:space="preserve"> </w:t>
      </w:r>
      <w:r>
        <w:t xml:space="preserve">参 太 19:26；约 15:5；14:13。</w:t>
      </w:r>
    </w:p>
  </w:footnote>
  <w:footnote w:id="490">
    <w:p>
      <w:pPr>
        <w:pStyle w:val="FootnoteText"/>
      </w:pPr>
      <w:r>
        <w:rPr>
          <w:rStyle w:val="FootnoteReference"/>
        </w:rPr>
        <w:footnoteRef/>
      </w:r>
      <w:r>
        <w:t xml:space="preserve"> </w:t>
      </w:r>
      <w:r>
        <w:t xml:space="preserve">参 圣托马斯·阿奎那，</w:t>
      </w:r>
      <w:r>
        <w:rPr>
          <w:i/>
          <w:iCs/>
        </w:rPr>
        <w:t xml:space="preserve">STh</w:t>
      </w:r>
      <w:r>
        <w:t xml:space="preserve"> </w:t>
      </w:r>
      <w:r>
        <w:t xml:space="preserve">I,25,6。</w:t>
      </w:r>
    </w:p>
  </w:footnote>
  <w:footnote w:id="491">
    <w:p>
      <w:pPr>
        <w:pStyle w:val="FootnoteText"/>
      </w:pPr>
      <w:r>
        <w:rPr>
          <w:rStyle w:val="FootnoteReference"/>
        </w:rPr>
        <w:footnoteRef/>
      </w:r>
      <w:r>
        <w:t xml:space="preserve"> </w:t>
      </w:r>
      <w:r>
        <w:t xml:space="preserve">参 圣托马斯·阿奎那，</w:t>
      </w:r>
      <w:r>
        <w:rPr>
          <w:i/>
          <w:iCs/>
        </w:rPr>
        <w:t xml:space="preserve">SCG</w:t>
      </w:r>
      <w:r>
        <w:t xml:space="preserve"> </w:t>
      </w:r>
      <w:r>
        <w:t xml:space="preserve">III,71。</w:t>
      </w:r>
    </w:p>
  </w:footnote>
  <w:footnote w:id="492">
    <w:p>
      <w:pPr>
        <w:pStyle w:val="FootnoteText"/>
      </w:pPr>
      <w:r>
        <w:rPr>
          <w:rStyle w:val="FootnoteReference"/>
        </w:rPr>
        <w:footnoteRef/>
      </w:r>
      <w:r>
        <w:t xml:space="preserve"> </w:t>
      </w:r>
      <w:r>
        <w:t xml:space="preserve">圣奥古斯丁，</w:t>
      </w:r>
      <w:r>
        <w:rPr>
          <w:i/>
          <w:iCs/>
        </w:rPr>
        <w:t xml:space="preserve">Enchiridion</w:t>
      </w:r>
      <w:r>
        <w:t xml:space="preserve"> </w:t>
      </w:r>
      <w:r>
        <w:t xml:space="preserve">3,11：PL 40,236。</w:t>
      </w:r>
    </w:p>
  </w:footnote>
  <w:footnote w:id="493">
    <w:p>
      <w:pPr>
        <w:pStyle w:val="FootnoteText"/>
      </w:pPr>
      <w:r>
        <w:rPr>
          <w:rStyle w:val="FootnoteReference"/>
        </w:rPr>
        <w:footnoteRef/>
      </w:r>
      <w:r>
        <w:t xml:space="preserve"> </w:t>
      </w:r>
      <w:r>
        <w:t xml:space="preserve">圣奥古斯丁，</w:t>
      </w:r>
      <w:r>
        <w:rPr>
          <w:i/>
          <w:iCs/>
        </w:rPr>
        <w:t xml:space="preserve">Enchiridion</w:t>
      </w:r>
      <w:r>
        <w:t xml:space="preserve"> </w:t>
      </w:r>
      <w:r>
        <w:t xml:space="preserve">3,11：PL 40,236。</w:t>
      </w:r>
    </w:p>
  </w:footnote>
  <w:footnote w:id="494">
    <w:p>
      <w:pPr>
        <w:pStyle w:val="FootnoteText"/>
      </w:pPr>
      <w:r>
        <w:rPr>
          <w:rStyle w:val="FootnoteReference"/>
        </w:rPr>
        <w:footnoteRef/>
      </w:r>
      <w:r>
        <w:t xml:space="preserve"> </w:t>
      </w:r>
      <w:r>
        <w:t xml:space="preserve">创 45:8；50:20；参 多 2:12（武加大）。</w:t>
      </w:r>
    </w:p>
  </w:footnote>
  <w:footnote w:id="495">
    <w:p>
      <w:pPr>
        <w:pStyle w:val="FootnoteText"/>
      </w:pPr>
      <w:r>
        <w:rPr>
          <w:rStyle w:val="FootnoteReference"/>
        </w:rPr>
        <w:footnoteRef/>
      </w:r>
      <w:r>
        <w:t xml:space="preserve"> </w:t>
      </w:r>
      <w:r>
        <w:t xml:space="preserve">参 罗 5:20。</w:t>
      </w:r>
    </w:p>
  </w:footnote>
  <w:footnote w:id="496">
    <w:p>
      <w:pPr>
        <w:pStyle w:val="FootnoteText"/>
      </w:pPr>
      <w:r>
        <w:rPr>
          <w:rStyle w:val="FootnoteReference"/>
        </w:rPr>
        <w:footnoteRef/>
      </w:r>
      <w:r>
        <w:t xml:space="preserve"> </w:t>
      </w:r>
      <w:r>
        <w:t xml:space="preserve">诺里奇的朱利安，</w:t>
      </w:r>
      <w:r>
        <w:rPr>
          <w:i/>
          <w:iCs/>
        </w:rPr>
        <w:t xml:space="preserve">The Revelations of Divine Love</w:t>
      </w:r>
      <w:r>
        <w:t xml:space="preserve">，James Walshe SJ 译（伦敦：1961），第 32 章，99-100。</w:t>
      </w:r>
    </w:p>
  </w:footnote>
  <w:footnote w:id="497">
    <w:p>
      <w:pPr>
        <w:pStyle w:val="FootnoteText"/>
      </w:pPr>
      <w:r>
        <w:rPr>
          <w:rStyle w:val="FootnoteReference"/>
        </w:rPr>
        <w:footnoteRef/>
      </w:r>
      <w:r>
        <w:t xml:space="preserve"> </w:t>
      </w:r>
      <w:r>
        <w:t xml:space="preserve">锡耶纳的圣加大利纳，</w:t>
      </w:r>
      <w:r>
        <w:rPr>
          <w:i/>
          <w:iCs/>
        </w:rPr>
        <w:t xml:space="preserve">Dialogue On Providence</w:t>
      </w:r>
      <w:r>
        <w:t xml:space="preserve">，第四章，138。</w:t>
      </w:r>
    </w:p>
  </w:footnote>
  <w:footnote w:id="498">
    <w:p>
      <w:pPr>
        <w:pStyle w:val="FootnoteText"/>
      </w:pPr>
      <w:r>
        <w:rPr>
          <w:rStyle w:val="FootnoteReference"/>
        </w:rPr>
        <w:footnoteRef/>
      </w:r>
      <w:r>
        <w:t xml:space="preserve"> </w:t>
      </w:r>
      <w:r>
        <w:rPr>
          <w:i/>
          <w:iCs/>
        </w:rPr>
        <w:t xml:space="preserve">The Correspondence of Sir Thomas More</w:t>
      </w:r>
      <w:r>
        <w:t xml:space="preserve">，Elizabeth F. Rogers 编（普林斯顿：普林斯顿大学出版社，1947），书信 206，661-663 行。</w:t>
      </w:r>
    </w:p>
  </w:footnote>
  <w:footnote w:id="499">
    <w:p>
      <w:pPr>
        <w:pStyle w:val="FootnoteText"/>
      </w:pPr>
      <w:r>
        <w:rPr>
          <w:rStyle w:val="FootnoteReference"/>
        </w:rPr>
        <w:footnoteRef/>
      </w:r>
      <w:r>
        <w:t xml:space="preserve"> </w:t>
      </w:r>
      <w:r>
        <w:t xml:space="preserve">诺里奇的朱利安，</w:t>
      </w:r>
      <w:r>
        <w:rPr>
          <w:i/>
          <w:iCs/>
        </w:rPr>
        <w:t xml:space="preserve">The Revelations of Divine Love</w:t>
      </w:r>
      <w:r>
        <w:t xml:space="preserve">，James Walshe SJ 译（伦敦：1961），第 32 章，99-100。</w:t>
      </w:r>
    </w:p>
  </w:footnote>
  <w:footnote w:id="500">
    <w:p>
      <w:pPr>
        <w:pStyle w:val="FootnoteText"/>
      </w:pPr>
      <w:r>
        <w:rPr>
          <w:rStyle w:val="FootnoteReference"/>
        </w:rPr>
        <w:footnoteRef/>
      </w:r>
      <w:r>
        <w:t xml:space="preserve"> </w:t>
      </w:r>
      <w:r>
        <w:t xml:space="preserve">林前 13:12。</w:t>
      </w:r>
    </w:p>
  </w:footnote>
  <w:footnote w:id="501">
    <w:p>
      <w:pPr>
        <w:pStyle w:val="FootnoteText"/>
      </w:pPr>
      <w:r>
        <w:rPr>
          <w:rStyle w:val="FootnoteReference"/>
        </w:rPr>
        <w:footnoteRef/>
      </w:r>
      <w:r>
        <w:t xml:space="preserve"> </w:t>
      </w:r>
      <w:r>
        <w:t xml:space="preserve">参 创 2:2。</w:t>
      </w:r>
    </w:p>
  </w:footnote>
  <w:footnote w:id="505">
    <w:p>
      <w:pPr>
        <w:pStyle w:val="FootnoteText"/>
      </w:pPr>
      <w:r>
        <w:rPr>
          <w:rStyle w:val="FootnoteReference"/>
        </w:rPr>
        <w:footnoteRef/>
      </w:r>
      <w:r>
        <w:t xml:space="preserve"> </w:t>
      </w:r>
      <w:r>
        <w:t xml:space="preserve">诗 115:16；19:2；太 5:16。</w:t>
      </w:r>
    </w:p>
  </w:footnote>
  <w:footnote w:id="506">
    <w:p>
      <w:pPr>
        <w:pStyle w:val="FootnoteText"/>
      </w:pPr>
      <w:r>
        <w:rPr>
          <w:rStyle w:val="FootnoteReference"/>
        </w:rPr>
        <w:footnoteRef/>
      </w:r>
      <w:r>
        <w:t xml:space="preserve"> </w:t>
      </w:r>
      <w:r>
        <w:t xml:space="preserve">拉特朗第四届大公会议（1215）：DS 800；参 DS 3002 及保禄六世，CPG § 8。</w:t>
      </w:r>
    </w:p>
  </w:footnote>
  <w:footnote w:id="507">
    <w:p>
      <w:pPr>
        <w:pStyle w:val="FootnoteText"/>
      </w:pPr>
      <w:r>
        <w:rPr>
          <w:rStyle w:val="FootnoteReference"/>
        </w:rPr>
        <w:footnoteRef/>
      </w:r>
      <w:r>
        <w:t xml:space="preserve"> </w:t>
      </w:r>
      <w:r>
        <w:t xml:space="preserve">圣奥古斯丁，《诗篇注释》103,1,15：PL 37,1348。</w:t>
      </w:r>
    </w:p>
  </w:footnote>
  <w:footnote w:id="508">
    <w:p>
      <w:pPr>
        <w:pStyle w:val="FootnoteText"/>
      </w:pPr>
      <w:r>
        <w:rPr>
          <w:rStyle w:val="FootnoteReference"/>
        </w:rPr>
        <w:footnoteRef/>
      </w:r>
      <w:r>
        <w:t xml:space="preserve"> </w:t>
      </w:r>
      <w:r>
        <w:t xml:space="preserve">太 18:10；诗 103:20。</w:t>
      </w:r>
    </w:p>
  </w:footnote>
  <w:footnote w:id="509">
    <w:p>
      <w:pPr>
        <w:pStyle w:val="FootnoteText"/>
      </w:pPr>
      <w:r>
        <w:rPr>
          <w:rStyle w:val="FootnoteReference"/>
        </w:rPr>
        <w:footnoteRef/>
      </w:r>
      <w:r>
        <w:t xml:space="preserve"> </w:t>
      </w:r>
      <w:r>
        <w:t xml:space="preserve">参 庇护十二世，《Humani generis》：DS 3891；路 20:36；但 10:9-12。</w:t>
      </w:r>
    </w:p>
  </w:footnote>
  <w:footnote w:id="510">
    <w:p>
      <w:pPr>
        <w:pStyle w:val="FootnoteText"/>
      </w:pPr>
      <w:r>
        <w:rPr>
          <w:rStyle w:val="FootnoteReference"/>
        </w:rPr>
        <w:footnoteRef/>
      </w:r>
      <w:r>
        <w:t xml:space="preserve"> </w:t>
      </w:r>
      <w:r>
        <w:t xml:space="preserve">太 25:31。</w:t>
      </w:r>
    </w:p>
  </w:footnote>
  <w:footnote w:id="511">
    <w:p>
      <w:pPr>
        <w:pStyle w:val="FootnoteText"/>
      </w:pPr>
      <w:r>
        <w:rPr>
          <w:rStyle w:val="FootnoteReference"/>
        </w:rPr>
        <w:footnoteRef/>
      </w:r>
      <w:r>
        <w:t xml:space="preserve"> </w:t>
      </w:r>
      <w:r>
        <w:t xml:space="preserve">西 1:16。</w:t>
      </w:r>
    </w:p>
  </w:footnote>
  <w:footnote w:id="512">
    <w:p>
      <w:pPr>
        <w:pStyle w:val="FootnoteText"/>
      </w:pPr>
      <w:r>
        <w:rPr>
          <w:rStyle w:val="FootnoteReference"/>
        </w:rPr>
        <w:footnoteRef/>
      </w:r>
      <w:r>
        <w:t xml:space="preserve"> </w:t>
      </w:r>
      <w:r>
        <w:t xml:space="preserve">来 1:14。</w:t>
      </w:r>
    </w:p>
  </w:footnote>
  <w:footnote w:id="513">
    <w:p>
      <w:pPr>
        <w:pStyle w:val="FootnoteText"/>
      </w:pPr>
      <w:r>
        <w:rPr>
          <w:rStyle w:val="FootnoteReference"/>
        </w:rPr>
        <w:footnoteRef/>
      </w:r>
      <w:r>
        <w:t xml:space="preserve"> </w:t>
      </w:r>
      <w:r>
        <w:t xml:space="preserve">参 伯 38:7（天使被称为「神的众子」）；创 3:24；19；21:17；22:11；徒 7:53；出 23:20-23；士 13；6:11-24；赛 6:6；王上 19:5。</w:t>
      </w:r>
    </w:p>
  </w:footnote>
  <w:footnote w:id="514">
    <w:p>
      <w:pPr>
        <w:pStyle w:val="FootnoteText"/>
      </w:pPr>
      <w:r>
        <w:rPr>
          <w:rStyle w:val="FootnoteReference"/>
        </w:rPr>
        <w:footnoteRef/>
      </w:r>
      <w:r>
        <w:t xml:space="preserve"> </w:t>
      </w:r>
      <w:r>
        <w:t xml:space="preserve">参 路 1:11，26。</w:t>
      </w:r>
    </w:p>
  </w:footnote>
  <w:footnote w:id="515">
    <w:p>
      <w:pPr>
        <w:pStyle w:val="FootnoteText"/>
      </w:pPr>
      <w:r>
        <w:rPr>
          <w:rStyle w:val="FootnoteReference"/>
        </w:rPr>
        <w:footnoteRef/>
      </w:r>
      <w:r>
        <w:t xml:space="preserve"> </w:t>
      </w:r>
      <w:r>
        <w:t xml:space="preserve">来 1:6。</w:t>
      </w:r>
    </w:p>
  </w:footnote>
  <w:footnote w:id="516">
    <w:p>
      <w:pPr>
        <w:pStyle w:val="FootnoteText"/>
      </w:pPr>
      <w:r>
        <w:rPr>
          <w:rStyle w:val="FootnoteReference"/>
        </w:rPr>
        <w:footnoteRef/>
      </w:r>
      <w:r>
        <w:t xml:space="preserve"> </w:t>
      </w:r>
      <w:r>
        <w:t xml:space="preserve">路 2:14。</w:t>
      </w:r>
    </w:p>
  </w:footnote>
  <w:footnote w:id="517">
    <w:p>
      <w:pPr>
        <w:pStyle w:val="FootnoteText"/>
      </w:pPr>
      <w:r>
        <w:rPr>
          <w:rStyle w:val="FootnoteReference"/>
        </w:rPr>
        <w:footnoteRef/>
      </w:r>
      <w:r>
        <w:t xml:space="preserve"> </w:t>
      </w:r>
      <w:r>
        <w:t xml:space="preserve">参 太 1:20；2:13，19；4:11；26:53；可 1:13；路 22:43；玛下 10:29-30；11:8。</w:t>
      </w:r>
    </w:p>
  </w:footnote>
  <w:footnote w:id="518">
    <w:p>
      <w:pPr>
        <w:pStyle w:val="FootnoteText"/>
      </w:pPr>
      <w:r>
        <w:rPr>
          <w:rStyle w:val="FootnoteReference"/>
        </w:rPr>
        <w:footnoteRef/>
      </w:r>
      <w:r>
        <w:t xml:space="preserve"> </w:t>
      </w:r>
      <w:r>
        <w:t xml:space="preserve">参 路 2:8-14；可 16:5-7。</w:t>
      </w:r>
    </w:p>
  </w:footnote>
  <w:footnote w:id="519">
    <w:p>
      <w:pPr>
        <w:pStyle w:val="FootnoteText"/>
      </w:pPr>
      <w:r>
        <w:rPr>
          <w:rStyle w:val="FootnoteReference"/>
        </w:rPr>
        <w:footnoteRef/>
      </w:r>
      <w:r>
        <w:t xml:space="preserve"> </w:t>
      </w:r>
      <w:r>
        <w:t xml:space="preserve">参 徒 1:10-11；太 13:41；24:31；路 12:8-9。</w:t>
      </w:r>
    </w:p>
  </w:footnote>
  <w:footnote w:id="520">
    <w:p>
      <w:pPr>
        <w:pStyle w:val="FootnoteText"/>
      </w:pPr>
      <w:r>
        <w:rPr>
          <w:rStyle w:val="FootnoteReference"/>
        </w:rPr>
        <w:footnoteRef/>
      </w:r>
      <w:r>
        <w:t xml:space="preserve"> </w:t>
      </w:r>
      <w:r>
        <w:t xml:space="preserve">参 徒 5:18-20；8:26-29；10:3-8；12:6-11；27:23-25。</w:t>
      </w:r>
    </w:p>
  </w:footnote>
  <w:footnote w:id="521">
    <w:p>
      <w:pPr>
        <w:pStyle w:val="FootnoteText"/>
      </w:pPr>
      <w:r>
        <w:rPr>
          <w:rStyle w:val="FootnoteReference"/>
        </w:rPr>
        <w:footnoteRef/>
      </w:r>
      <w:r>
        <w:t xml:space="preserve"> </w:t>
      </w:r>
      <w:r>
        <w:t xml:space="preserve">参 太 18:10；路 16:22；诗 34:7；91:10-13；伯 33:23-24；亚 1:12；多 12:12。</w:t>
      </w:r>
    </w:p>
  </w:footnote>
  <w:footnote w:id="522">
    <w:p>
      <w:pPr>
        <w:pStyle w:val="FootnoteText"/>
      </w:pPr>
      <w:r>
        <w:rPr>
          <w:rStyle w:val="FootnoteReference"/>
        </w:rPr>
        <w:footnoteRef/>
      </w:r>
      <w:r>
        <w:t xml:space="preserve"> </w:t>
      </w:r>
      <w:r>
        <w:t xml:space="preserve">圣巴西略，《驳优诺米乌斯》III,1：PG 29,656B。</w:t>
      </w:r>
    </w:p>
  </w:footnote>
  <w:footnote w:id="524">
    <w:p>
      <w:pPr>
        <w:pStyle w:val="FootnoteText"/>
      </w:pPr>
      <w:r>
        <w:rPr>
          <w:rStyle w:val="FootnoteReference"/>
        </w:rPr>
        <w:footnoteRef/>
      </w:r>
      <w:r>
        <w:t xml:space="preserve"> </w:t>
      </w:r>
      <w:r>
        <w:t xml:space="preserve">创 1:1-2:4。</w:t>
      </w:r>
    </w:p>
  </w:footnote>
  <w:footnote w:id="525">
    <w:p>
      <w:pPr>
        <w:pStyle w:val="FootnoteText"/>
      </w:pPr>
      <w:r>
        <w:rPr>
          <w:rStyle w:val="FootnoteReference"/>
        </w:rPr>
        <w:footnoteRef/>
      </w:r>
      <w:r>
        <w:t xml:space="preserve"> </w:t>
      </w:r>
      <w:r>
        <w:t xml:space="preserve">参 DV 11。</w:t>
      </w:r>
    </w:p>
  </w:footnote>
  <w:footnote w:id="526">
    <w:p>
      <w:pPr>
        <w:pStyle w:val="FootnoteText"/>
      </w:pPr>
      <w:r>
        <w:rPr>
          <w:rStyle w:val="FootnoteReference"/>
        </w:rPr>
        <w:footnoteRef/>
      </w:r>
      <w:r>
        <w:t xml:space="preserve"> </w:t>
      </w:r>
      <w:r>
        <w:t xml:space="preserve">LG 36 § 2。</w:t>
      </w:r>
    </w:p>
  </w:footnote>
  <w:footnote w:id="527">
    <w:p>
      <w:pPr>
        <w:pStyle w:val="FootnoteText"/>
      </w:pPr>
      <w:r>
        <w:rPr>
          <w:rStyle w:val="FootnoteReference"/>
        </w:rPr>
        <w:footnoteRef/>
      </w:r>
      <w:r>
        <w:t xml:space="preserve"> </w:t>
      </w:r>
      <w:r>
        <w:t xml:space="preserve">参 圣奥古斯丁，《创世记驳摩尼教》1,2,4：PL 34,175。</w:t>
      </w:r>
    </w:p>
  </w:footnote>
  <w:footnote w:id="528">
    <w:p>
      <w:pPr>
        <w:pStyle w:val="FootnoteText"/>
      </w:pPr>
      <w:r>
        <w:rPr>
          <w:rStyle w:val="FootnoteReference"/>
        </w:rPr>
        <w:footnoteRef/>
      </w:r>
      <w:r>
        <w:t xml:space="preserve"> </w:t>
      </w:r>
      <w:r>
        <w:t xml:space="preserve">GS 36 § 1。</w:t>
      </w:r>
    </w:p>
  </w:footnote>
  <w:footnote w:id="529">
    <w:p>
      <w:pPr>
        <w:pStyle w:val="FootnoteText"/>
      </w:pPr>
      <w:r>
        <w:rPr>
          <w:rStyle w:val="FootnoteReference"/>
        </w:rPr>
        <w:footnoteRef/>
      </w:r>
      <w:r>
        <w:t xml:space="preserve"> </w:t>
      </w:r>
      <w:r>
        <w:t xml:space="preserve">参 诗 145:9。</w:t>
      </w:r>
    </w:p>
  </w:footnote>
  <w:footnote w:id="530">
    <w:p>
      <w:pPr>
        <w:pStyle w:val="FootnoteText"/>
      </w:pPr>
      <w:r>
        <w:rPr>
          <w:rStyle w:val="FootnoteReference"/>
        </w:rPr>
        <w:footnoteRef/>
      </w:r>
      <w:r>
        <w:t xml:space="preserve"> </w:t>
      </w:r>
      <w:r>
        <w:t xml:space="preserve">路 12:6-7；太 12:12。</w:t>
      </w:r>
    </w:p>
  </w:footnote>
  <w:footnote w:id="531">
    <w:p>
      <w:pPr>
        <w:pStyle w:val="FootnoteText"/>
      </w:pPr>
      <w:r>
        <w:rPr>
          <w:rStyle w:val="FootnoteReference"/>
        </w:rPr>
        <w:footnoteRef/>
      </w:r>
      <w:r>
        <w:t xml:space="preserve"> </w:t>
      </w:r>
      <w:r>
        <w:t xml:space="preserve">参 创 1:26。</w:t>
      </w:r>
    </w:p>
  </w:footnote>
  <w:footnote w:id="532">
    <w:p>
      <w:pPr>
        <w:pStyle w:val="FootnoteText"/>
      </w:pPr>
      <w:r>
        <w:rPr>
          <w:rStyle w:val="FootnoteReference"/>
        </w:rPr>
        <w:footnoteRef/>
      </w:r>
      <w:r>
        <w:t xml:space="preserve"> </w:t>
      </w:r>
      <w:r>
        <w:t xml:space="preserve">亚西西的圣方济，各受造物颂。</w:t>
      </w:r>
    </w:p>
  </w:footnote>
  <w:footnote w:id="533">
    <w:p>
      <w:pPr>
        <w:pStyle w:val="FootnoteText"/>
      </w:pPr>
      <w:r>
        <w:rPr>
          <w:rStyle w:val="FootnoteReference"/>
        </w:rPr>
        <w:footnoteRef/>
      </w:r>
      <w:r>
        <w:t xml:space="preserve"> </w:t>
      </w:r>
      <w:r>
        <w:t xml:space="preserve">创 2:1-3。</w:t>
      </w:r>
    </w:p>
  </w:footnote>
  <w:footnote w:id="534">
    <w:p>
      <w:pPr>
        <w:pStyle w:val="FootnoteText"/>
      </w:pPr>
      <w:r>
        <w:rPr>
          <w:rStyle w:val="FootnoteReference"/>
        </w:rPr>
        <w:footnoteRef/>
      </w:r>
      <w:r>
        <w:t xml:space="preserve"> </w:t>
      </w:r>
      <w:r>
        <w:t xml:space="preserve">参 来 4:3-4；耶 31:35-37；33:19-26。</w:t>
      </w:r>
    </w:p>
  </w:footnote>
  <w:footnote w:id="535">
    <w:p>
      <w:pPr>
        <w:pStyle w:val="FootnoteText"/>
      </w:pPr>
      <w:r>
        <w:rPr>
          <w:rStyle w:val="FootnoteReference"/>
        </w:rPr>
        <w:footnoteRef/>
      </w:r>
      <w:r>
        <w:t xml:space="preserve"> </w:t>
      </w:r>
      <w:r>
        <w:t xml:space="preserve">参 创 1:14。</w:t>
      </w:r>
    </w:p>
  </w:footnote>
  <w:footnote w:id="536">
    <w:p>
      <w:pPr>
        <w:pStyle w:val="FootnoteText"/>
      </w:pPr>
      <w:r>
        <w:rPr>
          <w:rStyle w:val="FootnoteReference"/>
        </w:rPr>
        <w:footnoteRef/>
      </w:r>
      <w:r>
        <w:t xml:space="preserve"> </w:t>
      </w:r>
      <w:r>
        <w:t xml:space="preserve">圣本笃，《会规》43,3：PL 66,675-676。</w:t>
      </w:r>
    </w:p>
  </w:footnote>
  <w:footnote w:id="537">
    <w:p>
      <w:pPr>
        <w:pStyle w:val="FootnoteText"/>
      </w:pPr>
      <w:r>
        <w:rPr>
          <w:rStyle w:val="FootnoteReference"/>
        </w:rPr>
        <w:footnoteRef/>
      </w:r>
      <w:r>
        <w:t xml:space="preserve"> </w:t>
      </w:r>
      <w:r>
        <w:t xml:space="preserve">217 参《罗马弥撒经书》，复活节守夜礼 24，第一读经后的祷词。</w:t>
      </w:r>
    </w:p>
  </w:footnote>
  <w:footnote w:id="541">
    <w:p>
      <w:pPr>
        <w:pStyle w:val="FootnoteText"/>
      </w:pPr>
      <w:r>
        <w:rPr>
          <w:rStyle w:val="FootnoteReference"/>
        </w:rPr>
        <w:footnoteRef/>
      </w:r>
      <w:r>
        <w:t xml:space="preserve"> </w:t>
      </w:r>
      <w:r>
        <w:t xml:space="preserve">创世记 1:27。</w:t>
      </w:r>
    </w:p>
  </w:footnote>
  <w:footnote w:id="542">
    <w:p>
      <w:pPr>
        <w:pStyle w:val="FootnoteText"/>
      </w:pPr>
      <w:r>
        <w:rPr>
          <w:rStyle w:val="FootnoteReference"/>
        </w:rPr>
        <w:footnoteRef/>
      </w:r>
      <w:r>
        <w:t xml:space="preserve"> </w:t>
      </w:r>
      <w:r>
        <w:t xml:space="preserve">GS 12 § 3。</w:t>
      </w:r>
    </w:p>
  </w:footnote>
  <w:footnote w:id="543">
    <w:p>
      <w:pPr>
        <w:pStyle w:val="FootnoteText"/>
      </w:pPr>
      <w:r>
        <w:rPr>
          <w:rStyle w:val="FootnoteReference"/>
        </w:rPr>
        <w:footnoteRef/>
      </w:r>
      <w:r>
        <w:t xml:space="preserve"> </w:t>
      </w:r>
      <w:r>
        <w:t xml:space="preserve">GS 24 § 3。</w:t>
      </w:r>
    </w:p>
  </w:footnote>
  <w:footnote w:id="544">
    <w:p>
      <w:pPr>
        <w:pStyle w:val="FootnoteText"/>
      </w:pPr>
      <w:r>
        <w:rPr>
          <w:rStyle w:val="FootnoteReference"/>
        </w:rPr>
        <w:footnoteRef/>
      </w:r>
      <w:r>
        <w:t xml:space="preserve"> </w:t>
      </w:r>
      <w:r>
        <w:t xml:space="preserve">锡耶纳的圣加大利纳，《论神的眷顾》4,13：LH，常年期第十九主日，晨祷选读。</w:t>
      </w:r>
    </w:p>
  </w:footnote>
  <w:footnote w:id="545">
    <w:p>
      <w:pPr>
        <w:pStyle w:val="FootnoteText"/>
      </w:pPr>
      <w:r>
        <w:rPr>
          <w:rStyle w:val="FootnoteReference"/>
        </w:rPr>
        <w:footnoteRef/>
      </w:r>
      <w:r>
        <w:t xml:space="preserve"> </w:t>
      </w:r>
      <w:r>
        <w:t xml:space="preserve">GS 12 § 1；24 § 3；39 § 1。</w:t>
      </w:r>
    </w:p>
  </w:footnote>
  <w:footnote w:id="546">
    <w:p>
      <w:pPr>
        <w:pStyle w:val="FootnoteText"/>
      </w:pPr>
      <w:r>
        <w:rPr>
          <w:rStyle w:val="FootnoteReference"/>
        </w:rPr>
        <w:footnoteRef/>
      </w:r>
      <w:r>
        <w:t xml:space="preserve"> </w:t>
      </w:r>
      <w:r>
        <w:t xml:space="preserve">圣约翰・屈梭多模，《创世记讲道集》2,1：PG 54,587D-588A。</w:t>
      </w:r>
    </w:p>
  </w:footnote>
  <w:footnote w:id="547">
    <w:p>
      <w:pPr>
        <w:pStyle w:val="FootnoteText"/>
      </w:pPr>
      <w:r>
        <w:rPr>
          <w:rStyle w:val="FootnoteReference"/>
        </w:rPr>
        <w:footnoteRef/>
      </w:r>
      <w:r>
        <w:t xml:space="preserve"> </w:t>
      </w:r>
      <w:r>
        <w:t xml:space="preserve">GS 22 § 1。</w:t>
      </w:r>
    </w:p>
  </w:footnote>
  <w:footnote w:id="548">
    <w:p>
      <w:pPr>
        <w:pStyle w:val="FootnoteText"/>
      </w:pPr>
      <w:r>
        <w:rPr>
          <w:rStyle w:val="FootnoteReference"/>
        </w:rPr>
        <w:footnoteRef/>
      </w:r>
      <w:r>
        <w:t xml:space="preserve"> </w:t>
      </w:r>
      <w:r>
        <w:t xml:space="preserve">圣彼得・屈梭罗古，《讲道集》117：PL 52,520-521。</w:t>
      </w:r>
    </w:p>
  </w:footnote>
  <w:footnote w:id="549">
    <w:p>
      <w:pPr>
        <w:pStyle w:val="FootnoteText"/>
      </w:pPr>
      <w:r>
        <w:rPr>
          <w:rStyle w:val="FootnoteReference"/>
        </w:rPr>
        <w:footnoteRef/>
      </w:r>
      <w:r>
        <w:t xml:space="preserve"> </w:t>
      </w:r>
      <w:r>
        <w:t xml:space="preserve">徒 17:26；参多 8:6。</w:t>
      </w:r>
    </w:p>
  </w:footnote>
  <w:footnote w:id="550">
    <w:p>
      <w:pPr>
        <w:pStyle w:val="FootnoteText"/>
      </w:pPr>
      <w:r>
        <w:rPr>
          <w:rStyle w:val="FootnoteReference"/>
        </w:rPr>
        <w:footnoteRef/>
      </w:r>
      <w:r>
        <w:t xml:space="preserve"> </w:t>
      </w:r>
      <w:r>
        <w:t xml:space="preserve">庇护十二世，《至高祭职通谕》3；参 NA 1。</w:t>
      </w:r>
    </w:p>
  </w:footnote>
  <w:footnote w:id="551">
    <w:p>
      <w:pPr>
        <w:pStyle w:val="FootnoteText"/>
      </w:pPr>
      <w:r>
        <w:rPr>
          <w:rStyle w:val="FootnoteReference"/>
        </w:rPr>
        <w:footnoteRef/>
      </w:r>
      <w:r>
        <w:t xml:space="preserve"> </w:t>
      </w:r>
      <w:r>
        <w:t xml:space="preserve">庇护十二世，《至高祭职通谕》3。</w:t>
      </w:r>
    </w:p>
  </w:footnote>
  <w:footnote w:id="553">
    <w:p>
      <w:pPr>
        <w:pStyle w:val="FootnoteText"/>
      </w:pPr>
      <w:r>
        <w:rPr>
          <w:rStyle w:val="FootnoteReference"/>
        </w:rPr>
        <w:footnoteRef/>
      </w:r>
      <w:r>
        <w:t xml:space="preserve"> </w:t>
      </w:r>
      <w:r>
        <w:t xml:space="preserve">创 2:7。</w:t>
      </w:r>
    </w:p>
  </w:footnote>
  <w:footnote w:id="554">
    <w:p>
      <w:pPr>
        <w:pStyle w:val="FootnoteText"/>
      </w:pPr>
      <w:r>
        <w:rPr>
          <w:rStyle w:val="FootnoteReference"/>
        </w:rPr>
        <w:footnoteRef/>
      </w:r>
      <w:r>
        <w:t xml:space="preserve"> </w:t>
      </w:r>
      <w:r>
        <w:t xml:space="preserve">参太 16:25-26；约 15:13；徒 2:41。</w:t>
      </w:r>
    </w:p>
  </w:footnote>
  <w:footnote w:id="555">
    <w:p>
      <w:pPr>
        <w:pStyle w:val="FootnoteText"/>
      </w:pPr>
      <w:r>
        <w:rPr>
          <w:rStyle w:val="FootnoteReference"/>
        </w:rPr>
        <w:footnoteRef/>
      </w:r>
      <w:r>
        <w:t xml:space="preserve"> </w:t>
      </w:r>
      <w:r>
        <w:t xml:space="preserve">参太 10:28；26:38；约 12:27；玛加比下 6:30。</w:t>
      </w:r>
    </w:p>
  </w:footnote>
  <w:footnote w:id="556">
    <w:p>
      <w:pPr>
        <w:pStyle w:val="FootnoteText"/>
      </w:pPr>
      <w:r>
        <w:rPr>
          <w:rStyle w:val="FootnoteReference"/>
        </w:rPr>
        <w:footnoteRef/>
      </w:r>
      <w:r>
        <w:t xml:space="preserve"> </w:t>
      </w:r>
      <w:r>
        <w:t xml:space="preserve">参林前 6:19-20；15:44-45。</w:t>
      </w:r>
    </w:p>
  </w:footnote>
  <w:footnote w:id="557">
    <w:p>
      <w:pPr>
        <w:pStyle w:val="FootnoteText"/>
      </w:pPr>
      <w:r>
        <w:rPr>
          <w:rStyle w:val="FootnoteReference"/>
        </w:rPr>
        <w:footnoteRef/>
      </w:r>
      <w:r>
        <w:t xml:space="preserve"> </w:t>
      </w:r>
      <w:r>
        <w:t xml:space="preserve">GS 14 § 1；参但 3:57-80。</w:t>
      </w:r>
    </w:p>
  </w:footnote>
  <w:footnote w:id="558">
    <w:p>
      <w:pPr>
        <w:pStyle w:val="FootnoteText"/>
      </w:pPr>
      <w:r>
        <w:rPr>
          <w:rStyle w:val="FootnoteReference"/>
        </w:rPr>
        <w:footnoteRef/>
      </w:r>
      <w:r>
        <w:t xml:space="preserve"> </w:t>
      </w:r>
      <w:r>
        <w:t xml:space="preserve">参维也纳会议（1312 年）：DS 902。</w:t>
      </w:r>
    </w:p>
  </w:footnote>
  <w:footnote w:id="559">
    <w:p>
      <w:pPr>
        <w:pStyle w:val="FootnoteText"/>
      </w:pPr>
      <w:r>
        <w:rPr>
          <w:rStyle w:val="FootnoteReference"/>
        </w:rPr>
        <w:footnoteRef/>
      </w:r>
      <w:r>
        <w:t xml:space="preserve"> </w:t>
      </w:r>
      <w:r>
        <w:t xml:space="preserve">参庇护十二世，《人类》通谕：DS 3896；保禄六世，《神子民的信仰宣认》§ 8；第五次拉特兰会议（1513 年）：DS 1440。</w:t>
      </w:r>
    </w:p>
  </w:footnote>
  <w:footnote w:id="560">
    <w:p>
      <w:pPr>
        <w:pStyle w:val="FootnoteText"/>
      </w:pPr>
      <w:r>
        <w:rPr>
          <w:rStyle w:val="FootnoteReference"/>
        </w:rPr>
        <w:footnoteRef/>
      </w:r>
      <w:r>
        <w:t xml:space="preserve"> </w:t>
      </w:r>
      <w:r>
        <w:t xml:space="preserve">帖前 5:23。</w:t>
      </w:r>
    </w:p>
  </w:footnote>
  <w:footnote w:id="561">
    <w:p>
      <w:pPr>
        <w:pStyle w:val="FootnoteText"/>
      </w:pPr>
      <w:r>
        <w:rPr>
          <w:rStyle w:val="FootnoteReference"/>
        </w:rPr>
        <w:footnoteRef/>
      </w:r>
      <w:r>
        <w:t xml:space="preserve"> </w:t>
      </w:r>
      <w:r>
        <w:t xml:space="preserve">参君士坦丁堡第四次会议（870 年）：DS 657。</w:t>
      </w:r>
    </w:p>
  </w:footnote>
  <w:footnote w:id="562">
    <w:p>
      <w:pPr>
        <w:pStyle w:val="FootnoteText"/>
      </w:pPr>
      <w:r>
        <w:rPr>
          <w:rStyle w:val="FootnoteReference"/>
        </w:rPr>
        <w:footnoteRef/>
      </w:r>
      <w:r>
        <w:t xml:space="preserve"> </w:t>
      </w:r>
      <w:r>
        <w:t xml:space="preserve">参第一次梵蒂冈大公会议，《天主之子》：DS 3005；GS 22 § 5；《人类》通谕：DS 3891。</w:t>
      </w:r>
    </w:p>
  </w:footnote>
  <w:footnote w:id="563">
    <w:p>
      <w:pPr>
        <w:pStyle w:val="FootnoteText"/>
      </w:pPr>
      <w:r>
        <w:rPr>
          <w:rStyle w:val="FootnoteReference"/>
        </w:rPr>
        <w:footnoteRef/>
      </w:r>
      <w:r>
        <w:t xml:space="preserve"> </w:t>
      </w:r>
      <w:r>
        <w:t xml:space="preserve">参耶 31:33；申 6:5；29:3；赛 29:13；结 36:26；太 6:21；路 8:15；罗 5:5。</w:t>
      </w:r>
    </w:p>
  </w:footnote>
  <w:footnote w:id="565">
    <w:p>
      <w:pPr>
        <w:pStyle w:val="FootnoteText"/>
      </w:pPr>
      <w:r>
        <w:rPr>
          <w:rStyle w:val="FootnoteReference"/>
        </w:rPr>
        <w:footnoteRef/>
      </w:r>
      <w:r>
        <w:t xml:space="preserve"> </w:t>
      </w:r>
      <w:r>
        <w:t xml:space="preserve">参创 2:7,22。</w:t>
      </w:r>
    </w:p>
  </w:footnote>
  <w:footnote w:id="566">
    <w:p>
      <w:pPr>
        <w:pStyle w:val="FootnoteText"/>
      </w:pPr>
      <w:r>
        <w:rPr>
          <w:rStyle w:val="FootnoteReference"/>
        </w:rPr>
        <w:footnoteRef/>
      </w:r>
      <w:r>
        <w:t xml:space="preserve"> </w:t>
      </w:r>
      <w:r>
        <w:t xml:space="preserve">参赛 49:14-15；66:13；诗 131:2-3；何 11:1-4；耶 3:4-19。</w:t>
      </w:r>
    </w:p>
  </w:footnote>
  <w:footnote w:id="567">
    <w:p>
      <w:pPr>
        <w:pStyle w:val="FootnoteText"/>
      </w:pPr>
      <w:r>
        <w:rPr>
          <w:rStyle w:val="FootnoteReference"/>
        </w:rPr>
        <w:footnoteRef/>
      </w:r>
      <w:r>
        <w:t xml:space="preserve"> </w:t>
      </w:r>
      <w:r>
        <w:t xml:space="preserve">创 2:18。</w:t>
      </w:r>
    </w:p>
  </w:footnote>
  <w:footnote w:id="568">
    <w:p>
      <w:pPr>
        <w:pStyle w:val="FootnoteText"/>
      </w:pPr>
      <w:r>
        <w:rPr>
          <w:rStyle w:val="FootnoteReference"/>
        </w:rPr>
        <w:footnoteRef/>
      </w:r>
      <w:r>
        <w:t xml:space="preserve"> </w:t>
      </w:r>
      <w:r>
        <w:t xml:space="preserve">创 2:19-20。</w:t>
      </w:r>
    </w:p>
  </w:footnote>
  <w:footnote w:id="569">
    <w:p>
      <w:pPr>
        <w:pStyle w:val="FootnoteText"/>
      </w:pPr>
      <w:r>
        <w:rPr>
          <w:rStyle w:val="FootnoteReference"/>
        </w:rPr>
        <w:footnoteRef/>
      </w:r>
      <w:r>
        <w:t xml:space="preserve"> </w:t>
      </w:r>
      <w:r>
        <w:t xml:space="preserve">创 2:23。</w:t>
      </w:r>
    </w:p>
  </w:footnote>
  <w:footnote w:id="570">
    <w:p>
      <w:pPr>
        <w:pStyle w:val="FootnoteText"/>
      </w:pPr>
      <w:r>
        <w:rPr>
          <w:rStyle w:val="FootnoteReference"/>
        </w:rPr>
        <w:footnoteRef/>
      </w:r>
      <w:r>
        <w:t xml:space="preserve"> </w:t>
      </w:r>
      <w:r>
        <w:t xml:space="preserve">创 2:24。</w:t>
      </w:r>
    </w:p>
  </w:footnote>
  <w:footnote w:id="571">
    <w:p>
      <w:pPr>
        <w:pStyle w:val="FootnoteText"/>
      </w:pPr>
      <w:r>
        <w:rPr>
          <w:rStyle w:val="FootnoteReference"/>
        </w:rPr>
        <w:footnoteRef/>
      </w:r>
      <w:r>
        <w:t xml:space="preserve"> </w:t>
      </w:r>
      <w:r>
        <w:t xml:space="preserve">创 1:28。</w:t>
      </w:r>
    </w:p>
  </w:footnote>
  <w:footnote w:id="572">
    <w:p>
      <w:pPr>
        <w:pStyle w:val="FootnoteText"/>
      </w:pPr>
      <w:r>
        <w:rPr>
          <w:rStyle w:val="FootnoteReference"/>
        </w:rPr>
        <w:footnoteRef/>
      </w:r>
      <w:r>
        <w:t xml:space="preserve"> </w:t>
      </w:r>
      <w:r>
        <w:t xml:space="preserve">参 GS 50 § 1。</w:t>
      </w:r>
    </w:p>
  </w:footnote>
  <w:footnote w:id="573">
    <w:p>
      <w:pPr>
        <w:pStyle w:val="FootnoteText"/>
      </w:pPr>
      <w:r>
        <w:rPr>
          <w:rStyle w:val="FootnoteReference"/>
        </w:rPr>
        <w:footnoteRef/>
      </w:r>
      <w:r>
        <w:t xml:space="preserve"> </w:t>
      </w:r>
      <w:r>
        <w:t xml:space="preserve">创 1:28。</w:t>
      </w:r>
    </w:p>
  </w:footnote>
  <w:footnote w:id="574">
    <w:p>
      <w:pPr>
        <w:pStyle w:val="FootnoteText"/>
      </w:pPr>
      <w:r>
        <w:rPr>
          <w:rStyle w:val="FootnoteReference"/>
        </w:rPr>
        <w:footnoteRef/>
      </w:r>
      <w:r>
        <w:t xml:space="preserve"> </w:t>
      </w:r>
      <w:r>
        <w:t xml:space="preserve">智 11:24。</w:t>
      </w:r>
    </w:p>
  </w:footnote>
  <w:footnote w:id="576">
    <w:p>
      <w:pPr>
        <w:pStyle w:val="FootnoteText"/>
      </w:pPr>
      <w:r>
        <w:rPr>
          <w:rStyle w:val="FootnoteReference"/>
        </w:rPr>
        <w:footnoteRef/>
      </w:r>
      <w:r>
        <w:t xml:space="preserve"> </w:t>
      </w:r>
      <w:r>
        <w:t xml:space="preserve">参特利腾会议（1546 年）：DS 1511。</w:t>
      </w:r>
    </w:p>
  </w:footnote>
  <w:footnote w:id="577">
    <w:p>
      <w:pPr>
        <w:pStyle w:val="FootnoteText"/>
      </w:pPr>
      <w:r>
        <w:rPr>
          <w:rStyle w:val="FootnoteReference"/>
        </w:rPr>
        <w:footnoteRef/>
      </w:r>
      <w:r>
        <w:t xml:space="preserve"> </w:t>
      </w:r>
      <w:r>
        <w:t xml:space="preserve">参 LG 2。</w:t>
      </w:r>
    </w:p>
  </w:footnote>
  <w:footnote w:id="578">
    <w:p>
      <w:pPr>
        <w:pStyle w:val="FootnoteText"/>
      </w:pPr>
      <w:r>
        <w:rPr>
          <w:rStyle w:val="FootnoteReference"/>
        </w:rPr>
        <w:footnoteRef/>
      </w:r>
      <w:r>
        <w:t xml:space="preserve"> </w:t>
      </w:r>
      <w:r>
        <w:t xml:space="preserve">参创 2:17；3:16,19。</w:t>
      </w:r>
    </w:p>
  </w:footnote>
  <w:footnote w:id="579">
    <w:p>
      <w:pPr>
        <w:pStyle w:val="FootnoteText"/>
      </w:pPr>
      <w:r>
        <w:rPr>
          <w:rStyle w:val="FootnoteReference"/>
        </w:rPr>
        <w:footnoteRef/>
      </w:r>
      <w:r>
        <w:t xml:space="preserve"> </w:t>
      </w:r>
      <w:r>
        <w:t xml:space="preserve">参创 2:25。</w:t>
      </w:r>
    </w:p>
  </w:footnote>
  <w:footnote w:id="580">
    <w:p>
      <w:pPr>
        <w:pStyle w:val="FootnoteText"/>
      </w:pPr>
      <w:r>
        <w:rPr>
          <w:rStyle w:val="FootnoteReference"/>
        </w:rPr>
        <w:footnoteRef/>
      </w:r>
      <w:r>
        <w:t xml:space="preserve"> </w:t>
      </w:r>
      <w:r>
        <w:t xml:space="preserve">参约一 2:16。</w:t>
      </w:r>
    </w:p>
  </w:footnote>
  <w:footnote w:id="581">
    <w:p>
      <w:pPr>
        <w:pStyle w:val="FootnoteText"/>
      </w:pPr>
      <w:r>
        <w:rPr>
          <w:rStyle w:val="FootnoteReference"/>
        </w:rPr>
        <w:footnoteRef/>
      </w:r>
      <w:r>
        <w:t xml:space="preserve"> </w:t>
      </w:r>
      <w:r>
        <w:t xml:space="preserve">参创 2:8。</w:t>
      </w:r>
    </w:p>
  </w:footnote>
  <w:footnote w:id="582">
    <w:p>
      <w:pPr>
        <w:pStyle w:val="FootnoteText"/>
      </w:pPr>
      <w:r>
        <w:rPr>
          <w:rStyle w:val="FootnoteReference"/>
        </w:rPr>
        <w:footnoteRef/>
      </w:r>
      <w:r>
        <w:t xml:space="preserve"> </w:t>
      </w:r>
      <w:r>
        <w:t xml:space="preserve">创 2:15；参 3:17-19</w:t>
      </w:r>
    </w:p>
  </w:footnote>
  <w:footnote w:id="586">
    <w:p>
      <w:pPr>
        <w:pStyle w:val="FootnoteText"/>
      </w:pPr>
      <w:r>
        <w:rPr>
          <w:rStyle w:val="FootnoteReference"/>
        </w:rPr>
        <w:footnoteRef/>
      </w:r>
      <w:r>
        <w:t xml:space="preserve"> </w:t>
      </w:r>
      <w:r>
        <w:t xml:space="preserve">圣奥古斯丁，《忏悔录》7,7,11：PL 32,739。</w:t>
      </w:r>
    </w:p>
  </w:footnote>
  <w:footnote w:id="587">
    <w:p>
      <w:pPr>
        <w:pStyle w:val="FootnoteText"/>
      </w:pPr>
      <w:r>
        <w:rPr>
          <w:rStyle w:val="FootnoteReference"/>
        </w:rPr>
        <w:footnoteRef/>
      </w:r>
      <w:r>
        <w:t xml:space="preserve"> </w:t>
      </w:r>
      <w:r>
        <w:t xml:space="preserve">帖后 2:7；提前 3:16。</w:t>
      </w:r>
    </w:p>
  </w:footnote>
  <w:footnote w:id="588">
    <w:p>
      <w:pPr>
        <w:pStyle w:val="FootnoteText"/>
      </w:pPr>
      <w:r>
        <w:rPr>
          <w:rStyle w:val="FootnoteReference"/>
        </w:rPr>
        <w:footnoteRef/>
      </w:r>
      <w:r>
        <w:t xml:space="preserve"> </w:t>
      </w:r>
      <w:r>
        <w:t xml:space="preserve">罗 5:20。</w:t>
      </w:r>
    </w:p>
  </w:footnote>
  <w:footnote w:id="589">
    <w:p>
      <w:pPr>
        <w:pStyle w:val="FootnoteText"/>
      </w:pPr>
      <w:r>
        <w:rPr>
          <w:rStyle w:val="FootnoteReference"/>
        </w:rPr>
        <w:footnoteRef/>
      </w:r>
      <w:r>
        <w:t xml:space="preserve"> </w:t>
      </w:r>
      <w:r>
        <w:t xml:space="preserve">路 11:21-22；约 16:11；约一 3:8。</w:t>
      </w:r>
    </w:p>
  </w:footnote>
  <w:footnote w:id="590">
    <w:p>
      <w:pPr>
        <w:pStyle w:val="FootnoteText"/>
      </w:pPr>
      <w:r>
        <w:rPr>
          <w:rStyle w:val="FootnoteReference"/>
        </w:rPr>
        <w:footnoteRef/>
      </w:r>
      <w:r>
        <w:t xml:space="preserve"> </w:t>
      </w:r>
      <w:r>
        <w:t xml:space="preserve">罗马书 5:12-21。</w:t>
      </w:r>
    </w:p>
  </w:footnote>
  <w:footnote w:id="591">
    <w:p>
      <w:pPr>
        <w:pStyle w:val="FootnoteText"/>
      </w:pPr>
      <w:r>
        <w:rPr>
          <w:rStyle w:val="FootnoteReference"/>
        </w:rPr>
        <w:footnoteRef/>
      </w:r>
      <w:r>
        <w:t xml:space="preserve"> </w:t>
      </w:r>
      <w:r>
        <w:t xml:space="preserve">约翰福音 16:8。</w:t>
      </w:r>
    </w:p>
  </w:footnote>
  <w:footnote w:id="592">
    <w:p>
      <w:pPr>
        <w:pStyle w:val="FootnoteText"/>
      </w:pPr>
      <w:r>
        <w:rPr>
          <w:rStyle w:val="FootnoteReference"/>
        </w:rPr>
        <w:footnoteRef/>
      </w:r>
      <w:r>
        <w:t xml:space="preserve"> </w:t>
      </w:r>
      <w:r>
        <w:t xml:space="preserve">哥林多前书 2:16。</w:t>
      </w:r>
    </w:p>
  </w:footnote>
  <w:footnote w:id="593">
    <w:p>
      <w:pPr>
        <w:pStyle w:val="FootnoteText"/>
      </w:pPr>
      <w:r>
        <w:rPr>
          <w:rStyle w:val="FootnoteReference"/>
        </w:rPr>
        <w:footnoteRef/>
      </w:r>
      <w:r>
        <w:t xml:space="preserve"> </w:t>
      </w:r>
      <w:r>
        <w:t xml:space="preserve">GS 13 § 1。</w:t>
      </w:r>
    </w:p>
  </w:footnote>
  <w:footnote w:id="594">
    <w:p>
      <w:pPr>
        <w:pStyle w:val="FootnoteText"/>
      </w:pPr>
      <w:r>
        <w:rPr>
          <w:rStyle w:val="FootnoteReference"/>
        </w:rPr>
        <w:footnoteRef/>
      </w:r>
      <w:r>
        <w:t xml:space="preserve"> </w:t>
      </w:r>
      <w:r>
        <w:t xml:space="preserve">特利腾会议：DS 1513；庇护十二世：DS 3897；保禄六世：AAS 58 (1966)，654。</w:t>
      </w:r>
    </w:p>
  </w:footnote>
  <w:footnote w:id="596">
    <w:p>
      <w:pPr>
        <w:pStyle w:val="FootnoteText"/>
      </w:pPr>
      <w:r>
        <w:rPr>
          <w:rStyle w:val="FootnoteReference"/>
        </w:rPr>
        <w:footnoteRef/>
      </w:r>
      <w:r>
        <w:t xml:space="preserve"> </w:t>
      </w:r>
      <w:r>
        <w:t xml:space="preserve">创 3:1-5；智 2:24。</w:t>
      </w:r>
    </w:p>
  </w:footnote>
  <w:footnote w:id="597">
    <w:p>
      <w:pPr>
        <w:pStyle w:val="FootnoteText"/>
      </w:pPr>
      <w:r>
        <w:rPr>
          <w:rStyle w:val="FootnoteReference"/>
        </w:rPr>
        <w:footnoteRef/>
      </w:r>
      <w:r>
        <w:t xml:space="preserve"> </w:t>
      </w:r>
      <w:r>
        <w:t xml:space="preserve">约 8:44；启 12:9。</w:t>
      </w:r>
    </w:p>
  </w:footnote>
  <w:footnote w:id="598">
    <w:p>
      <w:pPr>
        <w:pStyle w:val="FootnoteText"/>
      </w:pPr>
      <w:r>
        <w:rPr>
          <w:rStyle w:val="FootnoteReference"/>
        </w:rPr>
        <w:footnoteRef/>
      </w:r>
      <w:r>
        <w:t xml:space="preserve"> </w:t>
      </w:r>
      <w:r>
        <w:t xml:space="preserve">第四次拉特兰大公会议（1215 年）：DS 800。</w:t>
      </w:r>
    </w:p>
  </w:footnote>
  <w:footnote w:id="599">
    <w:p>
      <w:pPr>
        <w:pStyle w:val="FootnoteText"/>
      </w:pPr>
      <w:r>
        <w:rPr>
          <w:rStyle w:val="FootnoteReference"/>
        </w:rPr>
        <w:footnoteRef/>
      </w:r>
      <w:r>
        <w:t xml:space="preserve"> </w:t>
      </w:r>
      <w:r>
        <w:t xml:space="preserve">彼后 2:4。</w:t>
      </w:r>
    </w:p>
  </w:footnote>
  <w:footnote w:id="600">
    <w:p>
      <w:pPr>
        <w:pStyle w:val="FootnoteText"/>
      </w:pPr>
      <w:r>
        <w:rPr>
          <w:rStyle w:val="FootnoteReference"/>
        </w:rPr>
        <w:footnoteRef/>
      </w:r>
      <w:r>
        <w:t xml:space="preserve"> </w:t>
      </w:r>
      <w:r>
        <w:t xml:space="preserve">创 3:5。</w:t>
      </w:r>
    </w:p>
  </w:footnote>
  <w:footnote w:id="601">
    <w:p>
      <w:pPr>
        <w:pStyle w:val="FootnoteText"/>
      </w:pPr>
      <w:r>
        <w:rPr>
          <w:rStyle w:val="FootnoteReference"/>
        </w:rPr>
        <w:footnoteRef/>
      </w:r>
      <w:r>
        <w:t xml:space="preserve"> </w:t>
      </w:r>
      <w:r>
        <w:t xml:space="preserve">约一 3:8；约 8:44。</w:t>
      </w:r>
    </w:p>
  </w:footnote>
  <w:footnote w:id="602">
    <w:p>
      <w:pPr>
        <w:pStyle w:val="FootnoteText"/>
      </w:pPr>
      <w:r>
        <w:rPr>
          <w:rStyle w:val="FootnoteReference"/>
        </w:rPr>
        <w:footnoteRef/>
      </w:r>
      <w:r>
        <w:t xml:space="preserve"> </w:t>
      </w:r>
      <w:r>
        <w:t xml:space="preserve">圣约翰・达马森，《正统信仰》2,4：PG 94,877。</w:t>
      </w:r>
    </w:p>
  </w:footnote>
  <w:footnote w:id="603">
    <w:p>
      <w:pPr>
        <w:pStyle w:val="FootnoteText"/>
      </w:pPr>
      <w:r>
        <w:rPr>
          <w:rStyle w:val="FootnoteReference"/>
        </w:rPr>
        <w:footnoteRef/>
      </w:r>
      <w:r>
        <w:t xml:space="preserve"> </w:t>
      </w:r>
      <w:r>
        <w:t xml:space="preserve">约 8:44；参太 4:1-11。</w:t>
      </w:r>
    </w:p>
  </w:footnote>
  <w:footnote w:id="604">
    <w:p>
      <w:pPr>
        <w:pStyle w:val="FootnoteText"/>
      </w:pPr>
      <w:r>
        <w:rPr>
          <w:rStyle w:val="FootnoteReference"/>
        </w:rPr>
        <w:footnoteRef/>
      </w:r>
      <w:r>
        <w:t xml:space="preserve"> </w:t>
      </w:r>
      <w:r>
        <w:t xml:space="preserve">约一 3:8。</w:t>
      </w:r>
    </w:p>
  </w:footnote>
  <w:footnote w:id="605">
    <w:p>
      <w:pPr>
        <w:pStyle w:val="FootnoteText"/>
      </w:pPr>
      <w:r>
        <w:rPr>
          <w:rStyle w:val="FootnoteReference"/>
        </w:rPr>
        <w:footnoteRef/>
      </w:r>
      <w:r>
        <w:t xml:space="preserve"> </w:t>
      </w:r>
      <w:r>
        <w:t xml:space="preserve">罗 8:28。</w:t>
      </w:r>
    </w:p>
  </w:footnote>
  <w:footnote w:id="607">
    <w:p>
      <w:pPr>
        <w:pStyle w:val="FootnoteText"/>
      </w:pPr>
      <w:r>
        <w:rPr>
          <w:rStyle w:val="FootnoteReference"/>
        </w:rPr>
        <w:footnoteRef/>
      </w:r>
      <w:r>
        <w:t xml:space="preserve"> </w:t>
      </w:r>
      <w:r>
        <w:t xml:space="preserve">创世记 2:17。</w:t>
      </w:r>
    </w:p>
  </w:footnote>
  <w:footnote w:id="608">
    <w:p>
      <w:pPr>
        <w:pStyle w:val="FootnoteText"/>
      </w:pPr>
      <w:r>
        <w:rPr>
          <w:rStyle w:val="FootnoteReference"/>
        </w:rPr>
        <w:footnoteRef/>
      </w:r>
      <w:r>
        <w:t xml:space="preserve"> </w:t>
      </w:r>
      <w:r>
        <w:t xml:space="preserve">创 3:1-11；罗 5:19。</w:t>
      </w:r>
    </w:p>
  </w:footnote>
  <w:footnote w:id="609">
    <w:p>
      <w:pPr>
        <w:pStyle w:val="FootnoteText"/>
      </w:pPr>
      <w:r>
        <w:rPr>
          <w:rStyle w:val="FootnoteReference"/>
        </w:rPr>
        <w:footnoteRef/>
      </w:r>
      <w:r>
        <w:t xml:space="preserve"> </w:t>
      </w:r>
      <w:r>
        <w:t xml:space="preserve">圣认信者马克西姆，《疑难篇》：PG 91,1156C；参创 3:5。</w:t>
      </w:r>
    </w:p>
  </w:footnote>
  <w:footnote w:id="610">
    <w:p>
      <w:pPr>
        <w:pStyle w:val="FootnoteText"/>
      </w:pPr>
      <w:r>
        <w:rPr>
          <w:rStyle w:val="FootnoteReference"/>
        </w:rPr>
        <w:footnoteRef/>
      </w:r>
      <w:r>
        <w:t xml:space="preserve"> </w:t>
      </w:r>
      <w:r>
        <w:t xml:space="preserve">罗 3:23。</w:t>
      </w:r>
    </w:p>
  </w:footnote>
  <w:footnote w:id="611">
    <w:p>
      <w:pPr>
        <w:pStyle w:val="FootnoteText"/>
      </w:pPr>
      <w:r>
        <w:rPr>
          <w:rStyle w:val="FootnoteReference"/>
        </w:rPr>
        <w:footnoteRef/>
      </w:r>
      <w:r>
        <w:t xml:space="preserve"> </w:t>
      </w:r>
      <w:r>
        <w:t xml:space="preserve">创 3:5-10。</w:t>
      </w:r>
    </w:p>
  </w:footnote>
  <w:footnote w:id="612">
    <w:p>
      <w:pPr>
        <w:pStyle w:val="FootnoteText"/>
      </w:pPr>
      <w:r>
        <w:rPr>
          <w:rStyle w:val="FootnoteReference"/>
        </w:rPr>
        <w:footnoteRef/>
      </w:r>
      <w:r>
        <w:t xml:space="preserve"> </w:t>
      </w:r>
      <w:r>
        <w:t xml:space="preserve">创 3:7-16。</w:t>
      </w:r>
    </w:p>
  </w:footnote>
  <w:footnote w:id="613">
    <w:p>
      <w:pPr>
        <w:pStyle w:val="FootnoteText"/>
      </w:pPr>
      <w:r>
        <w:rPr>
          <w:rStyle w:val="FootnoteReference"/>
        </w:rPr>
        <w:footnoteRef/>
      </w:r>
      <w:r>
        <w:t xml:space="preserve"> </w:t>
      </w:r>
      <w:r>
        <w:t xml:space="preserve">创 3:17,19。</w:t>
      </w:r>
    </w:p>
  </w:footnote>
  <w:footnote w:id="614">
    <w:p>
      <w:pPr>
        <w:pStyle w:val="FootnoteText"/>
      </w:pPr>
      <w:r>
        <w:rPr>
          <w:rStyle w:val="FootnoteReference"/>
        </w:rPr>
        <w:footnoteRef/>
      </w:r>
      <w:r>
        <w:t xml:space="preserve"> </w:t>
      </w:r>
      <w:r>
        <w:t xml:space="preserve">罗 8:21。</w:t>
      </w:r>
    </w:p>
  </w:footnote>
  <w:footnote w:id="615">
    <w:p>
      <w:pPr>
        <w:pStyle w:val="FootnoteText"/>
      </w:pPr>
      <w:r>
        <w:rPr>
          <w:rStyle w:val="FootnoteReference"/>
        </w:rPr>
        <w:footnoteRef/>
      </w:r>
      <w:r>
        <w:t xml:space="preserve"> </w:t>
      </w:r>
      <w:r>
        <w:t xml:space="preserve">创 3:19；参创 2:17。</w:t>
      </w:r>
    </w:p>
  </w:footnote>
  <w:footnote w:id="616">
    <w:p>
      <w:pPr>
        <w:pStyle w:val="FootnoteText"/>
      </w:pPr>
      <w:r>
        <w:rPr>
          <w:rStyle w:val="FootnoteReference"/>
        </w:rPr>
        <w:footnoteRef/>
      </w:r>
      <w:r>
        <w:t xml:space="preserve"> </w:t>
      </w:r>
      <w:r>
        <w:t xml:space="preserve">罗 5:12。</w:t>
      </w:r>
    </w:p>
  </w:footnote>
  <w:footnote w:id="617">
    <w:p>
      <w:pPr>
        <w:pStyle w:val="FootnoteText"/>
      </w:pPr>
      <w:r>
        <w:rPr>
          <w:rStyle w:val="FootnoteReference"/>
        </w:rPr>
        <w:footnoteRef/>
      </w:r>
      <w:r>
        <w:t xml:space="preserve"> </w:t>
      </w:r>
      <w:r>
        <w:t xml:space="preserve">创 4:3-15；6:5,12；罗 1:18-32；林前 1-6；启 2-3。</w:t>
      </w:r>
    </w:p>
  </w:footnote>
  <w:footnote w:id="618">
    <w:p>
      <w:pPr>
        <w:pStyle w:val="FootnoteText"/>
      </w:pPr>
      <w:r>
        <w:rPr>
          <w:rStyle w:val="FootnoteReference"/>
        </w:rPr>
        <w:footnoteRef/>
      </w:r>
      <w:r>
        <w:t xml:space="preserve"> </w:t>
      </w:r>
      <w:r>
        <w:t xml:space="preserve">GS 13 § 1。</w:t>
      </w:r>
    </w:p>
  </w:footnote>
  <w:footnote w:id="619">
    <w:p>
      <w:pPr>
        <w:pStyle w:val="FootnoteText"/>
      </w:pPr>
      <w:r>
        <w:rPr>
          <w:rStyle w:val="FootnoteReference"/>
        </w:rPr>
        <w:footnoteRef/>
      </w:r>
      <w:r>
        <w:t xml:space="preserve"> </w:t>
      </w:r>
      <w:r>
        <w:t xml:space="preserve">罗 5:12,19。</w:t>
      </w:r>
    </w:p>
  </w:footnote>
  <w:footnote w:id="620">
    <w:p>
      <w:pPr>
        <w:pStyle w:val="FootnoteText"/>
      </w:pPr>
      <w:r>
        <w:rPr>
          <w:rStyle w:val="FootnoteReference"/>
        </w:rPr>
        <w:footnoteRef/>
      </w:r>
      <w:r>
        <w:t xml:space="preserve"> </w:t>
      </w:r>
      <w:r>
        <w:t xml:space="preserve">罗 5:18。</w:t>
      </w:r>
    </w:p>
  </w:footnote>
  <w:footnote w:id="621">
    <w:p>
      <w:pPr>
        <w:pStyle w:val="FootnoteText"/>
      </w:pPr>
      <w:r>
        <w:rPr>
          <w:rStyle w:val="FootnoteReference"/>
        </w:rPr>
        <w:footnoteRef/>
      </w:r>
      <w:r>
        <w:t xml:space="preserve"> </w:t>
      </w:r>
      <w:r>
        <w:t xml:space="preserve">特利腾大公会议：DS 1512。</w:t>
      </w:r>
    </w:p>
  </w:footnote>
  <w:footnote w:id="622">
    <w:p>
      <w:pPr>
        <w:pStyle w:val="FootnoteText"/>
      </w:pPr>
      <w:r>
        <w:rPr>
          <w:rStyle w:val="FootnoteReference"/>
        </w:rPr>
        <w:footnoteRef/>
      </w:r>
      <w:r>
        <w:t xml:space="preserve"> </w:t>
      </w:r>
      <w:r>
        <w:t xml:space="preserve">特利腾大公会议：DS 1514。</w:t>
      </w:r>
    </w:p>
  </w:footnote>
  <w:footnote w:id="623">
    <w:p>
      <w:pPr>
        <w:pStyle w:val="FootnoteText"/>
      </w:pPr>
      <w:r>
        <w:rPr>
          <w:rStyle w:val="FootnoteReference"/>
        </w:rPr>
        <w:footnoteRef/>
      </w:r>
      <w:r>
        <w:t xml:space="preserve"> </w:t>
      </w:r>
      <w:r>
        <w:t xml:space="preserve">圣托马斯·阿奎那，《论恶》4,1。</w:t>
      </w:r>
    </w:p>
  </w:footnote>
  <w:footnote w:id="624">
    <w:p>
      <w:pPr>
        <w:pStyle w:val="FootnoteText"/>
      </w:pPr>
      <w:r>
        <w:rPr>
          <w:rStyle w:val="FootnoteReference"/>
        </w:rPr>
        <w:footnoteRef/>
      </w:r>
      <w:r>
        <w:t xml:space="preserve"> </w:t>
      </w:r>
      <w:r>
        <w:t xml:space="preserve">特利腾大公会议：DS 1511-1512。</w:t>
      </w:r>
    </w:p>
  </w:footnote>
  <w:footnote w:id="625">
    <w:p>
      <w:pPr>
        <w:pStyle w:val="FootnoteText"/>
      </w:pPr>
      <w:r>
        <w:rPr>
          <w:rStyle w:val="FootnoteReference"/>
        </w:rPr>
        <w:footnoteRef/>
      </w:r>
      <w:r>
        <w:t xml:space="preserve"> </w:t>
      </w:r>
      <w:r>
        <w:t xml:space="preserve">特利腾大公会议：DS 1513。</w:t>
      </w:r>
    </w:p>
  </w:footnote>
  <w:footnote w:id="626">
    <w:p>
      <w:pPr>
        <w:pStyle w:val="FootnoteText"/>
      </w:pPr>
      <w:r>
        <w:rPr>
          <w:rStyle w:val="FootnoteReference"/>
        </w:rPr>
        <w:footnoteRef/>
      </w:r>
      <w:r>
        <w:t xml:space="preserve"> </w:t>
      </w:r>
      <w:r>
        <w:t xml:space="preserve">DS 371-372。</w:t>
      </w:r>
    </w:p>
  </w:footnote>
  <w:footnote w:id="627">
    <w:p>
      <w:pPr>
        <w:pStyle w:val="FootnoteText"/>
      </w:pPr>
      <w:r>
        <w:rPr>
          <w:rStyle w:val="FootnoteReference"/>
        </w:rPr>
        <w:footnoteRef/>
      </w:r>
      <w:r>
        <w:t xml:space="preserve"> </w:t>
      </w:r>
      <w:r>
        <w:t xml:space="preserve">DS 1510-1516。</w:t>
      </w:r>
    </w:p>
  </w:footnote>
  <w:footnote w:id="628">
    <w:p>
      <w:pPr>
        <w:pStyle w:val="FootnoteText"/>
      </w:pPr>
      <w:r>
        <w:rPr>
          <w:rStyle w:val="FootnoteReference"/>
        </w:rPr>
        <w:footnoteRef/>
      </w:r>
      <w:r>
        <w:t xml:space="preserve"> </w:t>
      </w:r>
      <w:r>
        <w:t xml:space="preserve">特利腾大公会议（1546 年）：DS 1511；参希伯来书 2:14。</w:t>
      </w:r>
    </w:p>
  </w:footnote>
  <w:footnote w:id="629">
    <w:p>
      <w:pPr>
        <w:pStyle w:val="FootnoteText"/>
      </w:pPr>
      <w:r>
        <w:rPr>
          <w:rStyle w:val="FootnoteReference"/>
        </w:rPr>
        <w:footnoteRef/>
      </w:r>
      <w:r>
        <w:t xml:space="preserve"> </w:t>
      </w:r>
      <w:r>
        <w:t xml:space="preserve">若望保禄二世，《百年》通谕 25。</w:t>
      </w:r>
    </w:p>
  </w:footnote>
  <w:footnote w:id="630">
    <w:p>
      <w:pPr>
        <w:pStyle w:val="FootnoteText"/>
      </w:pPr>
      <w:r>
        <w:rPr>
          <w:rStyle w:val="FootnoteReference"/>
        </w:rPr>
        <w:footnoteRef/>
      </w:r>
      <w:r>
        <w:t xml:space="preserve"> </w:t>
      </w:r>
      <w:r>
        <w:t xml:space="preserve">约 1:29。</w:t>
      </w:r>
    </w:p>
  </w:footnote>
  <w:footnote w:id="631">
    <w:p>
      <w:pPr>
        <w:pStyle w:val="FootnoteText"/>
      </w:pPr>
      <w:r>
        <w:rPr>
          <w:rStyle w:val="FootnoteReference"/>
        </w:rPr>
        <w:footnoteRef/>
      </w:r>
      <w:r>
        <w:t xml:space="preserve"> </w:t>
      </w:r>
      <w:r>
        <w:t xml:space="preserve">若望保禄二世，《论和好与忏悔》16。</w:t>
      </w:r>
    </w:p>
  </w:footnote>
  <w:footnote w:id="632">
    <w:p>
      <w:pPr>
        <w:pStyle w:val="FootnoteText"/>
      </w:pPr>
      <w:r>
        <w:rPr>
          <w:rStyle w:val="FootnoteReference"/>
        </w:rPr>
        <w:footnoteRef/>
      </w:r>
      <w:r>
        <w:t xml:space="preserve"> </w:t>
      </w:r>
      <w:r>
        <w:t xml:space="preserve">约一 5:19；参见彼前 5:8。</w:t>
      </w:r>
    </w:p>
  </w:footnote>
  <w:footnote w:id="633">
    <w:p>
      <w:pPr>
        <w:pStyle w:val="FootnoteText"/>
      </w:pPr>
      <w:r>
        <w:rPr>
          <w:rStyle w:val="FootnoteReference"/>
        </w:rPr>
        <w:footnoteRef/>
      </w:r>
      <w:r>
        <w:t xml:space="preserve"> </w:t>
      </w:r>
      <w:r>
        <w:t xml:space="preserve">GS 37 § 2。</w:t>
      </w:r>
    </w:p>
  </w:footnote>
  <w:footnote w:id="635">
    <w:p>
      <w:pPr>
        <w:pStyle w:val="FootnoteText"/>
      </w:pPr>
      <w:r>
        <w:rPr>
          <w:rStyle w:val="FootnoteReference"/>
        </w:rPr>
        <w:footnoteRef/>
      </w:r>
      <w:r>
        <w:t xml:space="preserve"> </w:t>
      </w:r>
      <w:r>
        <w:t xml:space="preserve">创 3:9,15。</w:t>
      </w:r>
    </w:p>
  </w:footnote>
  <w:footnote w:id="636">
    <w:p>
      <w:pPr>
        <w:pStyle w:val="FootnoteText"/>
      </w:pPr>
      <w:r>
        <w:rPr>
          <w:rStyle w:val="FootnoteReference"/>
        </w:rPr>
        <w:footnoteRef/>
      </w:r>
      <w:r>
        <w:t xml:space="preserve"> </w:t>
      </w:r>
      <w:r>
        <w:t xml:space="preserve">歌 15:21-22,45；腓 2:8；罗 5:19-20。</w:t>
      </w:r>
    </w:p>
  </w:footnote>
  <w:footnote w:id="637">
    <w:p>
      <w:pPr>
        <w:pStyle w:val="FootnoteText"/>
      </w:pPr>
      <w:r>
        <w:rPr>
          <w:rStyle w:val="FootnoteReference"/>
        </w:rPr>
        <w:footnoteRef/>
      </w:r>
      <w:r>
        <w:t xml:space="preserve"> </w:t>
      </w:r>
      <w:r>
        <w:t xml:space="preserve">庇护九世，Ineffabilis Deus：DS 2803；特利腾大公会议：DS 1573。</w:t>
      </w:r>
    </w:p>
  </w:footnote>
  <w:footnote w:id="638">
    <w:p>
      <w:pPr>
        <w:pStyle w:val="FootnoteText"/>
      </w:pPr>
      <w:r>
        <w:rPr>
          <w:rStyle w:val="FootnoteReference"/>
        </w:rPr>
        <w:footnoteRef/>
      </w:r>
      <w:r>
        <w:t xml:space="preserve"> </w:t>
      </w:r>
      <w:r>
        <w:t xml:space="preserve">圣良，讲道 73,4：PL 54,396。</w:t>
      </w:r>
    </w:p>
  </w:footnote>
  <w:footnote w:id="639">
    <w:p>
      <w:pPr>
        <w:pStyle w:val="FootnoteText"/>
      </w:pPr>
      <w:r>
        <w:rPr>
          <w:rStyle w:val="FootnoteReference"/>
        </w:rPr>
        <w:footnoteRef/>
      </w:r>
      <w:r>
        <w:t xml:space="preserve"> </w:t>
      </w:r>
      <w:r>
        <w:t xml:space="preserve">圣托马斯·阿奎那，《神学大全》III,1,3,答 3；参罗 5:20。</w:t>
      </w:r>
    </w:p>
  </w:footnote>
  <w:footnote w:id="645">
    <w:p>
      <w:pPr>
        <w:pStyle w:val="FootnoteText"/>
      </w:pPr>
      <w:r>
        <w:rPr>
          <w:rStyle w:val="FootnoteReference"/>
        </w:rPr>
        <w:footnoteRef/>
      </w:r>
      <w:r>
        <w:t xml:space="preserve"> </w:t>
      </w:r>
      <w:r>
        <w:t xml:space="preserve">加 4:4-5。</w:t>
      </w:r>
    </w:p>
  </w:footnote>
  <w:footnote w:id="646">
    <w:p>
      <w:pPr>
        <w:pStyle w:val="FootnoteText"/>
      </w:pPr>
      <w:r>
        <w:rPr>
          <w:rStyle w:val="FootnoteReference"/>
        </w:rPr>
        <w:footnoteRef/>
      </w:r>
      <w:r>
        <w:t xml:space="preserve"> </w:t>
      </w:r>
      <w:r>
        <w:t xml:space="preserve">可 1:1。</w:t>
      </w:r>
    </w:p>
  </w:footnote>
  <w:footnote w:id="647">
    <w:p>
      <w:pPr>
        <w:pStyle w:val="FootnoteText"/>
      </w:pPr>
      <w:r>
        <w:rPr>
          <w:rStyle w:val="FootnoteReference"/>
        </w:rPr>
        <w:footnoteRef/>
      </w:r>
      <w:r>
        <w:t xml:space="preserve"> </w:t>
      </w:r>
      <w:r>
        <w:t xml:space="preserve">可 1:11；参路 1:5,68。</w:t>
      </w:r>
    </w:p>
  </w:footnote>
  <w:footnote w:id="648">
    <w:p>
      <w:pPr>
        <w:pStyle w:val="FootnoteText"/>
      </w:pPr>
      <w:r>
        <w:rPr>
          <w:rStyle w:val="FootnoteReference"/>
        </w:rPr>
        <w:footnoteRef/>
      </w:r>
      <w:r>
        <w:t xml:space="preserve"> </w:t>
      </w:r>
      <w:r>
        <w:t xml:space="preserve">约 13:3。</w:t>
      </w:r>
    </w:p>
  </w:footnote>
  <w:footnote w:id="649">
    <w:p>
      <w:pPr>
        <w:pStyle w:val="FootnoteText"/>
      </w:pPr>
      <w:r>
        <w:rPr>
          <w:rStyle w:val="FootnoteReference"/>
        </w:rPr>
        <w:footnoteRef/>
      </w:r>
      <w:r>
        <w:t xml:space="preserve"> </w:t>
      </w:r>
      <w:r>
        <w:t xml:space="preserve">约 3:13；6:33。</w:t>
      </w:r>
    </w:p>
  </w:footnote>
  <w:footnote w:id="650">
    <w:p>
      <w:pPr>
        <w:pStyle w:val="FootnoteText"/>
      </w:pPr>
      <w:r>
        <w:rPr>
          <w:rStyle w:val="FootnoteReference"/>
        </w:rPr>
        <w:footnoteRef/>
      </w:r>
      <w:r>
        <w:t xml:space="preserve"> </w:t>
      </w:r>
      <w:r>
        <w:t xml:space="preserve">约一 4:2。</w:t>
      </w:r>
    </w:p>
  </w:footnote>
  <w:footnote w:id="651">
    <w:p>
      <w:pPr>
        <w:pStyle w:val="FootnoteText"/>
      </w:pPr>
      <w:r>
        <w:rPr>
          <w:rStyle w:val="FootnoteReference"/>
        </w:rPr>
        <w:footnoteRef/>
      </w:r>
      <w:r>
        <w:t xml:space="preserve"> </w:t>
      </w:r>
      <w:r>
        <w:t xml:space="preserve">约 1:14,16。</w:t>
      </w:r>
    </w:p>
  </w:footnote>
  <w:footnote w:id="652">
    <w:p>
      <w:pPr>
        <w:pStyle w:val="FootnoteText"/>
      </w:pPr>
      <w:r>
        <w:rPr>
          <w:rStyle w:val="FootnoteReference"/>
        </w:rPr>
        <w:footnoteRef/>
      </w:r>
      <w:r>
        <w:t xml:space="preserve"> </w:t>
      </w:r>
      <w:r>
        <w:t xml:space="preserve">太 16:16。</w:t>
      </w:r>
    </w:p>
  </w:footnote>
  <w:footnote w:id="653">
    <w:p>
      <w:pPr>
        <w:pStyle w:val="FootnoteText"/>
      </w:pPr>
      <w:r>
        <w:rPr>
          <w:rStyle w:val="FootnoteReference"/>
        </w:rPr>
        <w:footnoteRef/>
      </w:r>
      <w:r>
        <w:t xml:space="preserve"> </w:t>
      </w:r>
      <w:r>
        <w:t xml:space="preserve">参太 16:18；圣良大帝，讲道 4,3：PL 54,150-152；51,1：PL 54,309B；62,2：PL 54,350-351；83,3：PL 54,431-432。</w:t>
      </w:r>
    </w:p>
  </w:footnote>
  <w:footnote w:id="655">
    <w:p>
      <w:pPr>
        <w:pStyle w:val="FootnoteText"/>
      </w:pPr>
      <w:r>
        <w:rPr>
          <w:rStyle w:val="FootnoteReference"/>
        </w:rPr>
        <w:footnoteRef/>
      </w:r>
      <w:r>
        <w:t xml:space="preserve"> </w:t>
      </w:r>
      <w:r>
        <w:t xml:space="preserve">徒 4:20。</w:t>
      </w:r>
    </w:p>
  </w:footnote>
  <w:footnote w:id="656">
    <w:p>
      <w:pPr>
        <w:pStyle w:val="FootnoteText"/>
      </w:pPr>
      <w:r>
        <w:rPr>
          <w:rStyle w:val="FootnoteReference"/>
        </w:rPr>
        <w:footnoteRef/>
      </w:r>
      <w:r>
        <w:t xml:space="preserve"> </w:t>
      </w:r>
      <w:r>
        <w:t xml:space="preserve">约一 1:1-4。</w:t>
      </w:r>
    </w:p>
  </w:footnote>
  <w:footnote w:id="658">
    <w:p>
      <w:pPr>
        <w:pStyle w:val="FootnoteText"/>
      </w:pPr>
      <w:r>
        <w:rPr>
          <w:rStyle w:val="FootnoteReference"/>
        </w:rPr>
        <w:footnoteRef/>
      </w:r>
      <w:r>
        <w:t xml:space="preserve"> </w:t>
      </w:r>
      <w:r>
        <w:t xml:space="preserve">CT 5。</w:t>
      </w:r>
    </w:p>
  </w:footnote>
  <w:footnote w:id="659">
    <w:p>
      <w:pPr>
        <w:pStyle w:val="FootnoteText"/>
      </w:pPr>
      <w:r>
        <w:rPr>
          <w:rStyle w:val="FootnoteReference"/>
        </w:rPr>
        <w:footnoteRef/>
      </w:r>
      <w:r>
        <w:t xml:space="preserve"> </w:t>
      </w:r>
      <w:r>
        <w:t xml:space="preserve">CT 5。</w:t>
      </w:r>
    </w:p>
  </w:footnote>
  <w:footnote w:id="660">
    <w:p>
      <w:pPr>
        <w:pStyle w:val="FootnoteText"/>
      </w:pPr>
      <w:r>
        <w:rPr>
          <w:rStyle w:val="FootnoteReference"/>
        </w:rPr>
        <w:footnoteRef/>
      </w:r>
      <w:r>
        <w:t xml:space="preserve"> </w:t>
      </w:r>
      <w:r>
        <w:t xml:space="preserve">CT 5。</w:t>
      </w:r>
    </w:p>
  </w:footnote>
  <w:footnote w:id="661">
    <w:p>
      <w:pPr>
        <w:pStyle w:val="FootnoteText"/>
      </w:pPr>
      <w:r>
        <w:rPr>
          <w:rStyle w:val="FootnoteReference"/>
        </w:rPr>
        <w:footnoteRef/>
      </w:r>
      <w:r>
        <w:t xml:space="preserve"> </w:t>
      </w:r>
      <w:r>
        <w:t xml:space="preserve">CT 6；参约 7:16。</w:t>
      </w:r>
    </w:p>
  </w:footnote>
  <w:footnote w:id="662">
    <w:p>
      <w:pPr>
        <w:pStyle w:val="FootnoteText"/>
      </w:pPr>
      <w:r>
        <w:rPr>
          <w:rStyle w:val="FootnoteReference"/>
        </w:rPr>
        <w:footnoteRef/>
      </w:r>
      <w:r>
        <w:t xml:space="preserve"> </w:t>
      </w:r>
      <w:r>
        <w:t xml:space="preserve">腓 3:8-11。</w:t>
      </w:r>
    </w:p>
  </w:footnote>
  <w:footnote w:id="664">
    <w:p>
      <w:pPr>
        <w:pStyle w:val="FootnoteText"/>
      </w:pPr>
      <w:r>
        <w:rPr>
          <w:rStyle w:val="FootnoteReference"/>
        </w:rPr>
        <w:footnoteRef/>
      </w:r>
      <w:r>
        <w:t xml:space="preserve"> </w:t>
      </w:r>
      <w:r>
        <w:t xml:space="preserve">参路 1:31。</w:t>
      </w:r>
    </w:p>
  </w:footnote>
  <w:footnote w:id="665">
    <w:p>
      <w:pPr>
        <w:pStyle w:val="FootnoteText"/>
      </w:pPr>
      <w:r>
        <w:rPr>
          <w:rStyle w:val="FootnoteReference"/>
        </w:rPr>
        <w:footnoteRef/>
      </w:r>
      <w:r>
        <w:t xml:space="preserve"> </w:t>
      </w:r>
      <w:r>
        <w:t xml:space="preserve">太 1:21；参 2:7。</w:t>
      </w:r>
    </w:p>
  </w:footnote>
  <w:footnote w:id="666">
    <w:p>
      <w:pPr>
        <w:pStyle w:val="FootnoteText"/>
      </w:pPr>
      <w:r>
        <w:rPr>
          <w:rStyle w:val="FootnoteReference"/>
        </w:rPr>
        <w:footnoteRef/>
      </w:r>
      <w:r>
        <w:t xml:space="preserve"> </w:t>
      </w:r>
      <w:r>
        <w:t xml:space="preserve">申 5:6。</w:t>
      </w:r>
    </w:p>
  </w:footnote>
  <w:footnote w:id="667">
    <w:p>
      <w:pPr>
        <w:pStyle w:val="FootnoteText"/>
      </w:pPr>
      <w:r>
        <w:rPr>
          <w:rStyle w:val="FootnoteReference"/>
        </w:rPr>
        <w:footnoteRef/>
      </w:r>
      <w:r>
        <w:t xml:space="preserve"> </w:t>
      </w:r>
      <w:r>
        <w:t xml:space="preserve">参诗 51:4,12。</w:t>
      </w:r>
    </w:p>
  </w:footnote>
  <w:footnote w:id="668">
    <w:p>
      <w:pPr>
        <w:pStyle w:val="FootnoteText"/>
      </w:pPr>
      <w:r>
        <w:rPr>
          <w:rStyle w:val="FootnoteReference"/>
        </w:rPr>
        <w:footnoteRef/>
      </w:r>
      <w:r>
        <w:t xml:space="preserve"> </w:t>
      </w:r>
      <w:r>
        <w:t xml:space="preserve">参诗 79:9。</w:t>
      </w:r>
    </w:p>
  </w:footnote>
  <w:footnote w:id="669">
    <w:p>
      <w:pPr>
        <w:pStyle w:val="FootnoteText"/>
      </w:pPr>
      <w:r>
        <w:rPr>
          <w:rStyle w:val="FootnoteReference"/>
        </w:rPr>
        <w:footnoteRef/>
      </w:r>
      <w:r>
        <w:t xml:space="preserve"> </w:t>
      </w:r>
      <w:r>
        <w:t xml:space="preserve">参约 3:18；徒 2:21；5:41；约三 7；罗 10:6-13。</w:t>
      </w:r>
    </w:p>
  </w:footnote>
  <w:footnote w:id="670">
    <w:p>
      <w:pPr>
        <w:pStyle w:val="FootnoteText"/>
      </w:pPr>
      <w:r>
        <w:rPr>
          <w:rStyle w:val="FootnoteReference"/>
        </w:rPr>
        <w:footnoteRef/>
      </w:r>
      <w:r>
        <w:t xml:space="preserve"> </w:t>
      </w:r>
      <w:r>
        <w:t xml:space="preserve">徒 4:12；参 9:14；雅 2:7。</w:t>
      </w:r>
    </w:p>
  </w:footnote>
  <w:footnote w:id="671">
    <w:p>
      <w:pPr>
        <w:pStyle w:val="FootnoteText"/>
      </w:pPr>
      <w:r>
        <w:rPr>
          <w:rStyle w:val="FootnoteReference"/>
        </w:rPr>
        <w:footnoteRef/>
      </w:r>
      <w:r>
        <w:t xml:space="preserve"> </w:t>
      </w:r>
      <w:r>
        <w:t xml:space="preserve">参见 出 25:22；利 16:2,15-16；民 7:89；德 50:20；来 9:5,7。</w:t>
      </w:r>
    </w:p>
  </w:footnote>
  <w:footnote w:id="672">
    <w:p>
      <w:pPr>
        <w:pStyle w:val="FootnoteText"/>
      </w:pPr>
      <w:r>
        <w:rPr>
          <w:rStyle w:val="FootnoteReference"/>
        </w:rPr>
        <w:footnoteRef/>
      </w:r>
      <w:r>
        <w:t xml:space="preserve"> </w:t>
      </w:r>
      <w:r>
        <w:t xml:space="preserve">罗 3:25；林后 5:19。</w:t>
      </w:r>
    </w:p>
  </w:footnote>
  <w:footnote w:id="673">
    <w:p>
      <w:pPr>
        <w:pStyle w:val="FootnoteText"/>
      </w:pPr>
      <w:r>
        <w:rPr>
          <w:rStyle w:val="FootnoteReference"/>
        </w:rPr>
        <w:footnoteRef/>
      </w:r>
      <w:r>
        <w:t xml:space="preserve"> </w:t>
      </w:r>
      <w:r>
        <w:t xml:space="preserve">腓 2:9-10；参约 12:28。</w:t>
      </w:r>
    </w:p>
  </w:footnote>
  <w:footnote w:id="674">
    <w:p>
      <w:pPr>
        <w:pStyle w:val="FootnoteText"/>
      </w:pPr>
      <w:r>
        <w:rPr>
          <w:rStyle w:val="FootnoteReference"/>
        </w:rPr>
        <w:footnoteRef/>
      </w:r>
      <w:r>
        <w:t xml:space="preserve"> </w:t>
      </w:r>
      <w:r>
        <w:t xml:space="preserve">参徒 16:16-18；19:13-16；可 16:17；约 15:16。</w:t>
      </w:r>
    </w:p>
  </w:footnote>
  <w:footnote w:id="676">
    <w:p>
      <w:pPr>
        <w:pStyle w:val="FootnoteText"/>
      </w:pPr>
      <w:r>
        <w:rPr>
          <w:rStyle w:val="FootnoteReference"/>
        </w:rPr>
        <w:footnoteRef/>
      </w:r>
      <w:r>
        <w:t xml:space="preserve"> </w:t>
      </w:r>
      <w:r>
        <w:t xml:space="preserve">参见 出 29:7；利 8:12；撒上 9:16；10:1；16:1,12-13；王上 1:39；19:16。</w:t>
      </w:r>
    </w:p>
  </w:footnote>
  <w:footnote w:id="677">
    <w:p>
      <w:pPr>
        <w:pStyle w:val="FootnoteText"/>
      </w:pPr>
      <w:r>
        <w:rPr>
          <w:rStyle w:val="FootnoteReference"/>
        </w:rPr>
        <w:footnoteRef/>
      </w:r>
      <w:r>
        <w:t xml:space="preserve"> </w:t>
      </w:r>
      <w:r>
        <w:t xml:space="preserve">参见 诗 2:2；徒 4:26-27。</w:t>
      </w:r>
    </w:p>
  </w:footnote>
  <w:footnote w:id="678">
    <w:p>
      <w:pPr>
        <w:pStyle w:val="FootnoteText"/>
      </w:pPr>
      <w:r>
        <w:rPr>
          <w:rStyle w:val="FootnoteReference"/>
        </w:rPr>
        <w:footnoteRef/>
      </w:r>
      <w:r>
        <w:t xml:space="preserve"> </w:t>
      </w:r>
      <w:r>
        <w:t xml:space="preserve">参见 赛 11:2；61:1；亚 4:14；6:13；路 4:16-21。</w:t>
      </w:r>
    </w:p>
  </w:footnote>
  <w:footnote w:id="679">
    <w:p>
      <w:pPr>
        <w:pStyle w:val="FootnoteText"/>
      </w:pPr>
      <w:r>
        <w:rPr>
          <w:rStyle w:val="FootnoteReference"/>
        </w:rPr>
        <w:footnoteRef/>
      </w:r>
      <w:r>
        <w:t xml:space="preserve"> </w:t>
      </w:r>
      <w:r>
        <w:t xml:space="preserve">路 2:11。</w:t>
      </w:r>
    </w:p>
  </w:footnote>
  <w:footnote w:id="680">
    <w:p>
      <w:pPr>
        <w:pStyle w:val="FootnoteText"/>
      </w:pPr>
      <w:r>
        <w:rPr>
          <w:rStyle w:val="FootnoteReference"/>
        </w:rPr>
        <w:footnoteRef/>
      </w:r>
      <w:r>
        <w:t xml:space="preserve"> </w:t>
      </w:r>
      <w:r>
        <w:t xml:space="preserve">约 10:36；参路 1:35。</w:t>
      </w:r>
    </w:p>
  </w:footnote>
  <w:footnote w:id="681">
    <w:p>
      <w:pPr>
        <w:pStyle w:val="FootnoteText"/>
      </w:pPr>
      <w:r>
        <w:rPr>
          <w:rStyle w:val="FootnoteReference"/>
        </w:rPr>
        <w:footnoteRef/>
      </w:r>
      <w:r>
        <w:t xml:space="preserve"> </w:t>
      </w:r>
      <w:r>
        <w:t xml:space="preserve">太 1:20；参 1:16；罗 1:1；提后 2:8；启 22:16。</w:t>
      </w:r>
    </w:p>
  </w:footnote>
  <w:footnote w:id="682">
    <w:p>
      <w:pPr>
        <w:pStyle w:val="FootnoteText"/>
      </w:pPr>
      <w:r>
        <w:rPr>
          <w:rStyle w:val="FootnoteReference"/>
        </w:rPr>
        <w:footnoteRef/>
      </w:r>
      <w:r>
        <w:t xml:space="preserve"> </w:t>
      </w:r>
      <w:r>
        <w:t xml:space="preserve">圣爱任纽，《驳异端》3 卷 18 章 3 节：PG 7/1,934。</w:t>
      </w:r>
    </w:p>
  </w:footnote>
  <w:footnote w:id="683">
    <w:p>
      <w:pPr>
        <w:pStyle w:val="FootnoteText"/>
      </w:pPr>
      <w:r>
        <w:rPr>
          <w:rStyle w:val="FootnoteReference"/>
        </w:rPr>
        <w:footnoteRef/>
      </w:r>
      <w:r>
        <w:t xml:space="preserve"> </w:t>
      </w:r>
      <w:r>
        <w:t xml:space="preserve">徒 10:38；约 1:31。</w:t>
      </w:r>
    </w:p>
  </w:footnote>
  <w:footnote w:id="684">
    <w:p>
      <w:pPr>
        <w:pStyle w:val="FootnoteText"/>
      </w:pPr>
      <w:r>
        <w:rPr>
          <w:rStyle w:val="FootnoteReference"/>
        </w:rPr>
        <w:footnoteRef/>
      </w:r>
      <w:r>
        <w:t xml:space="preserve"> </w:t>
      </w:r>
      <w:r>
        <w:t xml:space="preserve">可 1:24；约 6:69；徒 3:14。</w:t>
      </w:r>
    </w:p>
  </w:footnote>
  <w:footnote w:id="685">
    <w:p>
      <w:pPr>
        <w:pStyle w:val="FootnoteText"/>
      </w:pPr>
      <w:r>
        <w:rPr>
          <w:rStyle w:val="FootnoteReference"/>
        </w:rPr>
        <w:footnoteRef/>
      </w:r>
      <w:r>
        <w:t xml:space="preserve"> </w:t>
      </w:r>
      <w:r>
        <w:t xml:space="preserve">参太 2:2；9:27；12:23；15:22；20:30；21:9,15。</w:t>
      </w:r>
    </w:p>
  </w:footnote>
  <w:footnote w:id="686">
    <w:p>
      <w:pPr>
        <w:pStyle w:val="FootnoteText"/>
      </w:pPr>
      <w:r>
        <w:rPr>
          <w:rStyle w:val="FootnoteReference"/>
        </w:rPr>
        <w:footnoteRef/>
      </w:r>
      <w:r>
        <w:t xml:space="preserve"> </w:t>
      </w:r>
      <w:r>
        <w:t xml:space="preserve">参约 4:25-26；6:15；11:27；太 22:41-46；路 24:21。</w:t>
      </w:r>
    </w:p>
  </w:footnote>
  <w:footnote w:id="687">
    <w:p>
      <w:pPr>
        <w:pStyle w:val="FootnoteText"/>
      </w:pPr>
      <w:r>
        <w:rPr>
          <w:rStyle w:val="FootnoteReference"/>
        </w:rPr>
        <w:footnoteRef/>
      </w:r>
      <w:r>
        <w:t xml:space="preserve"> </w:t>
      </w:r>
      <w:r>
        <w:t xml:space="preserve">参太 16:16-23。</w:t>
      </w:r>
    </w:p>
  </w:footnote>
  <w:footnote w:id="688">
    <w:p>
      <w:pPr>
        <w:pStyle w:val="FootnoteText"/>
      </w:pPr>
      <w:r>
        <w:rPr>
          <w:rStyle w:val="FootnoteReference"/>
        </w:rPr>
        <w:footnoteRef/>
      </w:r>
      <w:r>
        <w:t xml:space="preserve"> </w:t>
      </w:r>
      <w:r>
        <w:t xml:space="preserve">约 3:13；太 20:28；参约 6:62；但 7:13；赛 53:10-12。</w:t>
      </w:r>
    </w:p>
  </w:footnote>
  <w:footnote w:id="689">
    <w:p>
      <w:pPr>
        <w:pStyle w:val="FootnoteText"/>
      </w:pPr>
      <w:r>
        <w:rPr>
          <w:rStyle w:val="FootnoteReference"/>
        </w:rPr>
        <w:footnoteRef/>
      </w:r>
      <w:r>
        <w:t xml:space="preserve"> </w:t>
      </w:r>
      <w:r>
        <w:t xml:space="preserve">参约 19:19-22；路 23:39-43。</w:t>
      </w:r>
    </w:p>
  </w:footnote>
  <w:footnote w:id="690">
    <w:p>
      <w:pPr>
        <w:pStyle w:val="FootnoteText"/>
      </w:pPr>
      <w:r>
        <w:rPr>
          <w:rStyle w:val="FootnoteReference"/>
        </w:rPr>
        <w:footnoteRef/>
      </w:r>
      <w:r>
        <w:t xml:space="preserve"> </w:t>
      </w:r>
      <w:r>
        <w:t xml:space="preserve">徒 2:36。</w:t>
      </w:r>
    </w:p>
  </w:footnote>
  <w:footnote w:id="692">
    <w:p>
      <w:pPr>
        <w:pStyle w:val="FootnoteText"/>
      </w:pPr>
      <w:r>
        <w:rPr>
          <w:rStyle w:val="FootnoteReference"/>
        </w:rPr>
        <w:footnoteRef/>
      </w:r>
      <w:r>
        <w:t xml:space="preserve"> </w:t>
      </w:r>
      <w:r>
        <w:t xml:space="preserve">参申 14:1；（七十士译本）32:8；伯 1:6；出 4:22；何 2:1；11:1；耶 3:19；德 36:11；智 18:13；撒下 7:14；诗 82:6。</w:t>
      </w:r>
    </w:p>
  </w:footnote>
  <w:footnote w:id="693">
    <w:p>
      <w:pPr>
        <w:pStyle w:val="FootnoteText"/>
      </w:pPr>
      <w:r>
        <w:rPr>
          <w:rStyle w:val="FootnoteReference"/>
        </w:rPr>
        <w:footnoteRef/>
      </w:r>
      <w:r>
        <w:t xml:space="preserve"> </w:t>
      </w:r>
      <w:r>
        <w:t xml:space="preserve">参代上 17:13；诗 2:7；太 27:54；路 23:47。</w:t>
      </w:r>
    </w:p>
  </w:footnote>
  <w:footnote w:id="694">
    <w:p>
      <w:pPr>
        <w:pStyle w:val="FootnoteText"/>
      </w:pPr>
      <w:r>
        <w:rPr>
          <w:rStyle w:val="FootnoteReference"/>
        </w:rPr>
        <w:footnoteRef/>
      </w:r>
      <w:r>
        <w:t xml:space="preserve"> </w:t>
      </w:r>
      <w:r>
        <w:t xml:space="preserve">太 16:16-17。</w:t>
      </w:r>
    </w:p>
  </w:footnote>
  <w:footnote w:id="695">
    <w:p>
      <w:pPr>
        <w:pStyle w:val="FootnoteText"/>
      </w:pPr>
      <w:r>
        <w:rPr>
          <w:rStyle w:val="FootnoteReference"/>
        </w:rPr>
        <w:footnoteRef/>
      </w:r>
      <w:r>
        <w:t xml:space="preserve"> </w:t>
      </w:r>
      <w:r>
        <w:t xml:space="preserve">加 1:15-16。</w:t>
      </w:r>
    </w:p>
  </w:footnote>
  <w:footnote w:id="696">
    <w:p>
      <w:pPr>
        <w:pStyle w:val="FootnoteText"/>
      </w:pPr>
      <w:r>
        <w:rPr>
          <w:rStyle w:val="FootnoteReference"/>
        </w:rPr>
        <w:footnoteRef/>
      </w:r>
      <w:r>
        <w:t xml:space="preserve"> </w:t>
      </w:r>
      <w:r>
        <w:t xml:space="preserve">徒 9:20。</w:t>
      </w:r>
    </w:p>
  </w:footnote>
  <w:footnote w:id="697">
    <w:p>
      <w:pPr>
        <w:pStyle w:val="FootnoteText"/>
      </w:pPr>
      <w:r>
        <w:rPr>
          <w:rStyle w:val="FootnoteReference"/>
        </w:rPr>
        <w:footnoteRef/>
      </w:r>
      <w:r>
        <w:t xml:space="preserve"> </w:t>
      </w:r>
      <w:r>
        <w:t xml:space="preserve">参见帖前 1:10；约 20:31；太 16:18。</w:t>
      </w:r>
    </w:p>
  </w:footnote>
  <w:footnote w:id="698">
    <w:p>
      <w:pPr>
        <w:pStyle w:val="FootnoteText"/>
      </w:pPr>
      <w:r>
        <w:rPr>
          <w:rStyle w:val="FootnoteReference"/>
        </w:rPr>
        <w:footnoteRef/>
      </w:r>
      <w:r>
        <w:t xml:space="preserve"> </w:t>
      </w:r>
      <w:r>
        <w:t xml:space="preserve">路 22:70；参太 26:64；可 14:61-62。</w:t>
      </w:r>
    </w:p>
  </w:footnote>
  <w:footnote w:id="699">
    <w:p>
      <w:pPr>
        <w:pStyle w:val="FootnoteText"/>
      </w:pPr>
      <w:r>
        <w:rPr>
          <w:rStyle w:val="FootnoteReference"/>
        </w:rPr>
        <w:footnoteRef/>
      </w:r>
      <w:r>
        <w:t xml:space="preserve"> </w:t>
      </w:r>
      <w:r>
        <w:t xml:space="preserve">参太 11:27；21:34-38；24:36。</w:t>
      </w:r>
    </w:p>
  </w:footnote>
  <w:footnote w:id="700">
    <w:p>
      <w:pPr>
        <w:pStyle w:val="FootnoteText"/>
      </w:pPr>
      <w:r>
        <w:rPr>
          <w:rStyle w:val="FootnoteReference"/>
        </w:rPr>
        <w:footnoteRef/>
      </w:r>
      <w:r>
        <w:t xml:space="preserve"> </w:t>
      </w:r>
      <w:r>
        <w:t xml:space="preserve">太 5:48；6:8-9；7:21；路 11:13；约 20:17。</w:t>
      </w:r>
    </w:p>
  </w:footnote>
  <w:footnote w:id="701">
    <w:p>
      <w:pPr>
        <w:pStyle w:val="FootnoteText"/>
      </w:pPr>
      <w:r>
        <w:rPr>
          <w:rStyle w:val="FootnoteReference"/>
        </w:rPr>
        <w:footnoteRef/>
      </w:r>
      <w:r>
        <w:t xml:space="preserve"> </w:t>
      </w:r>
      <w:r>
        <w:t xml:space="preserve">参太 3:17；17:5。</w:t>
      </w:r>
    </w:p>
  </w:footnote>
  <w:footnote w:id="702">
    <w:p>
      <w:pPr>
        <w:pStyle w:val="FootnoteText"/>
      </w:pPr>
      <w:r>
        <w:rPr>
          <w:rStyle w:val="FootnoteReference"/>
        </w:rPr>
        <w:footnoteRef/>
      </w:r>
      <w:r>
        <w:t xml:space="preserve"> </w:t>
      </w:r>
      <w:r>
        <w:t xml:space="preserve">约 3:16；参 10:36。</w:t>
      </w:r>
    </w:p>
  </w:footnote>
  <w:footnote w:id="703">
    <w:p>
      <w:pPr>
        <w:pStyle w:val="FootnoteText"/>
      </w:pPr>
      <w:r>
        <w:rPr>
          <w:rStyle w:val="FootnoteReference"/>
        </w:rPr>
        <w:footnoteRef/>
      </w:r>
      <w:r>
        <w:t xml:space="preserve"> </w:t>
      </w:r>
      <w:r>
        <w:t xml:space="preserve">约 3:18。</w:t>
      </w:r>
    </w:p>
  </w:footnote>
  <w:footnote w:id="704">
    <w:p>
      <w:pPr>
        <w:pStyle w:val="FootnoteText"/>
      </w:pPr>
      <w:r>
        <w:rPr>
          <w:rStyle w:val="FootnoteReference"/>
        </w:rPr>
        <w:footnoteRef/>
      </w:r>
      <w:r>
        <w:t xml:space="preserve"> </w:t>
      </w:r>
      <w:r>
        <w:t xml:space="preserve">可 15:39。</w:t>
      </w:r>
    </w:p>
  </w:footnote>
  <w:footnote w:id="705">
    <w:p>
      <w:pPr>
        <w:pStyle w:val="FootnoteText"/>
      </w:pPr>
      <w:r>
        <w:rPr>
          <w:rStyle w:val="FootnoteReference"/>
        </w:rPr>
        <w:footnoteRef/>
      </w:r>
      <w:r>
        <w:t xml:space="preserve"> </w:t>
      </w:r>
      <w:r>
        <w:t xml:space="preserve">罗 1:3；参徒 13:33。</w:t>
      </w:r>
    </w:p>
  </w:footnote>
  <w:footnote w:id="706">
    <w:p>
      <w:pPr>
        <w:pStyle w:val="FootnoteText"/>
      </w:pPr>
      <w:r>
        <w:rPr>
          <w:rStyle w:val="FootnoteReference"/>
        </w:rPr>
        <w:footnoteRef/>
      </w:r>
      <w:r>
        <w:t xml:space="preserve"> </w:t>
      </w:r>
      <w:r>
        <w:t xml:space="preserve">约 1:14。</w:t>
      </w:r>
    </w:p>
  </w:footnote>
  <w:footnote w:id="708">
    <w:p>
      <w:pPr>
        <w:pStyle w:val="FootnoteText"/>
      </w:pPr>
      <w:r>
        <w:rPr>
          <w:rStyle w:val="FootnoteReference"/>
        </w:rPr>
        <w:footnoteRef/>
      </w:r>
      <w:r>
        <w:t xml:space="preserve"> </w:t>
      </w:r>
      <w:r>
        <w:t xml:space="preserve">参出 3:14。</w:t>
      </w:r>
    </w:p>
  </w:footnote>
  <w:footnote w:id="709">
    <w:p>
      <w:pPr>
        <w:pStyle w:val="FootnoteText"/>
      </w:pPr>
      <w:r>
        <w:rPr>
          <w:rStyle w:val="FootnoteReference"/>
        </w:rPr>
        <w:footnoteRef/>
      </w:r>
      <w:r>
        <w:t xml:space="preserve"> </w:t>
      </w:r>
      <w:r>
        <w:t xml:space="preserve">参林前 2:8。</w:t>
      </w:r>
    </w:p>
  </w:footnote>
  <w:footnote w:id="710">
    <w:p>
      <w:pPr>
        <w:pStyle w:val="FootnoteText"/>
      </w:pPr>
      <w:r>
        <w:rPr>
          <w:rStyle w:val="FootnoteReference"/>
        </w:rPr>
        <w:footnoteRef/>
      </w:r>
      <w:r>
        <w:t xml:space="preserve"> </w:t>
      </w:r>
      <w:r>
        <w:t xml:space="preserve">参太 22:41-46；徒 2:34-36；来 1:13；约 13:13。</w:t>
      </w:r>
    </w:p>
  </w:footnote>
  <w:footnote w:id="711">
    <w:p>
      <w:pPr>
        <w:pStyle w:val="FootnoteText"/>
      </w:pPr>
      <w:r>
        <w:rPr>
          <w:rStyle w:val="FootnoteReference"/>
        </w:rPr>
        <w:footnoteRef/>
      </w:r>
      <w:r>
        <w:t xml:space="preserve"> </w:t>
      </w:r>
      <w:r>
        <w:t xml:space="preserve">参见太 8:2；14:30；15:22 等。</w:t>
      </w:r>
    </w:p>
  </w:footnote>
  <w:footnote w:id="712">
    <w:p>
      <w:pPr>
        <w:pStyle w:val="FootnoteText"/>
      </w:pPr>
      <w:r>
        <w:rPr>
          <w:rStyle w:val="FootnoteReference"/>
        </w:rPr>
        <w:footnoteRef/>
      </w:r>
      <w:r>
        <w:t xml:space="preserve"> </w:t>
      </w:r>
      <w:r>
        <w:t xml:space="preserve">参见路 1:43；2:11。</w:t>
      </w:r>
    </w:p>
  </w:footnote>
  <w:footnote w:id="713">
    <w:p>
      <w:pPr>
        <w:pStyle w:val="FootnoteText"/>
      </w:pPr>
      <w:r>
        <w:rPr>
          <w:rStyle w:val="FootnoteReference"/>
        </w:rPr>
        <w:footnoteRef/>
      </w:r>
      <w:r>
        <w:t xml:space="preserve"> </w:t>
      </w:r>
      <w:r>
        <w:t xml:space="preserve">约 20:28；21:7。</w:t>
      </w:r>
    </w:p>
  </w:footnote>
  <w:footnote w:id="714">
    <w:p>
      <w:pPr>
        <w:pStyle w:val="FootnoteText"/>
      </w:pPr>
      <w:r>
        <w:rPr>
          <w:rStyle w:val="FootnoteReference"/>
        </w:rPr>
        <w:footnoteRef/>
      </w:r>
      <w:r>
        <w:t xml:space="preserve"> </w:t>
      </w:r>
      <w:r>
        <w:t xml:space="preserve">参徒 2:34-36；罗 9:5；多 2:13；启 5:13；腓 2:6。</w:t>
      </w:r>
    </w:p>
  </w:footnote>
  <w:footnote w:id="715">
    <w:p>
      <w:pPr>
        <w:pStyle w:val="FootnoteText"/>
      </w:pPr>
      <w:r>
        <w:rPr>
          <w:rStyle w:val="FootnoteReference"/>
        </w:rPr>
        <w:footnoteRef/>
      </w:r>
      <w:r>
        <w:t xml:space="preserve"> </w:t>
      </w:r>
      <w:r>
        <w:t xml:space="preserve">参罗 10:9；林前 12:3；腓 2:9-11。</w:t>
      </w:r>
    </w:p>
  </w:footnote>
  <w:footnote w:id="716">
    <w:p>
      <w:pPr>
        <w:pStyle w:val="FootnoteText"/>
      </w:pPr>
      <w:r>
        <w:rPr>
          <w:rStyle w:val="FootnoteReference"/>
        </w:rPr>
        <w:footnoteRef/>
      </w:r>
      <w:r>
        <w:t xml:space="preserve"> </w:t>
      </w:r>
      <w:r>
        <w:t xml:space="preserve">参启 11:15；可 12:17；徒 5:29。</w:t>
      </w:r>
    </w:p>
  </w:footnote>
  <w:footnote w:id="717">
    <w:p>
      <w:pPr>
        <w:pStyle w:val="FootnoteText"/>
      </w:pPr>
      <w:r>
        <w:rPr>
          <w:rStyle w:val="FootnoteReference"/>
        </w:rPr>
        <w:footnoteRef/>
      </w:r>
      <w:r>
        <w:t xml:space="preserve"> </w:t>
      </w:r>
      <w:r>
        <w:t xml:space="preserve">GS 10 § 3；参 45 § 2。</w:t>
      </w:r>
    </w:p>
  </w:footnote>
  <w:footnote w:id="718">
    <w:p>
      <w:pPr>
        <w:pStyle w:val="FootnoteText"/>
      </w:pPr>
      <w:r>
        <w:rPr>
          <w:rStyle w:val="FootnoteReference"/>
        </w:rPr>
        <w:footnoteRef/>
      </w:r>
      <w:r>
        <w:t xml:space="preserve"> </w:t>
      </w:r>
      <w:r>
        <w:t xml:space="preserve">林前 16:22；启 22:20。</w:t>
      </w:r>
    </w:p>
  </w:footnote>
  <w:footnote w:id="722">
    <w:p>
      <w:pPr>
        <w:pStyle w:val="FootnoteText"/>
      </w:pPr>
      <w:r>
        <w:rPr>
          <w:rStyle w:val="FootnoteReference"/>
        </w:rPr>
        <w:footnoteRef/>
      </w:r>
      <w:r>
        <w:t xml:space="preserve"> </w:t>
      </w:r>
      <w:r>
        <w:t xml:space="preserve">约壹 4:10；4:14；3:5。</w:t>
      </w:r>
    </w:p>
  </w:footnote>
  <w:footnote w:id="723">
    <w:p>
      <w:pPr>
        <w:pStyle w:val="FootnoteText"/>
      </w:pPr>
      <w:r>
        <w:rPr>
          <w:rStyle w:val="FootnoteReference"/>
        </w:rPr>
        <w:footnoteRef/>
      </w:r>
      <w:r>
        <w:t xml:space="preserve"> </w:t>
      </w:r>
      <w:r>
        <w:t xml:space="preserve">尼撒的额我略，《教理讲论》15：PG 45，48B。</w:t>
      </w:r>
    </w:p>
  </w:footnote>
  <w:footnote w:id="724">
    <w:p>
      <w:pPr>
        <w:pStyle w:val="FootnoteText"/>
      </w:pPr>
      <w:r>
        <w:rPr>
          <w:rStyle w:val="FootnoteReference"/>
        </w:rPr>
        <w:footnoteRef/>
      </w:r>
      <w:r>
        <w:t xml:space="preserve"> </w:t>
      </w:r>
      <w:r>
        <w:t xml:space="preserve">约壹 4:9。</w:t>
      </w:r>
    </w:p>
  </w:footnote>
  <w:footnote w:id="725">
    <w:p>
      <w:pPr>
        <w:pStyle w:val="FootnoteText"/>
      </w:pPr>
      <w:r>
        <w:rPr>
          <w:rStyle w:val="FootnoteReference"/>
        </w:rPr>
        <w:footnoteRef/>
      </w:r>
      <w:r>
        <w:t xml:space="preserve"> </w:t>
      </w:r>
      <w:r>
        <w:t xml:space="preserve">约 3:16。</w:t>
      </w:r>
    </w:p>
  </w:footnote>
  <w:footnote w:id="726">
    <w:p>
      <w:pPr>
        <w:pStyle w:val="FootnoteText"/>
      </w:pPr>
      <w:r>
        <w:rPr>
          <w:rStyle w:val="FootnoteReference"/>
        </w:rPr>
        <w:footnoteRef/>
      </w:r>
      <w:r>
        <w:t xml:space="preserve"> </w:t>
      </w:r>
      <w:r>
        <w:t xml:space="preserve">太 11:29；约 14:6。</w:t>
      </w:r>
    </w:p>
  </w:footnote>
  <w:footnote w:id="727">
    <w:p>
      <w:pPr>
        <w:pStyle w:val="FootnoteText"/>
      </w:pPr>
      <w:r>
        <w:rPr>
          <w:rStyle w:val="FootnoteReference"/>
        </w:rPr>
        <w:footnoteRef/>
      </w:r>
      <w:r>
        <w:t xml:space="preserve"> </w:t>
      </w:r>
      <w:r>
        <w:t xml:space="preserve">可 9:7；参申 6:4-5。</w:t>
      </w:r>
    </w:p>
  </w:footnote>
  <w:footnote w:id="728">
    <w:p>
      <w:pPr>
        <w:pStyle w:val="FootnoteText"/>
      </w:pPr>
      <w:r>
        <w:rPr>
          <w:rStyle w:val="FootnoteReference"/>
        </w:rPr>
        <w:footnoteRef/>
      </w:r>
      <w:r>
        <w:t xml:space="preserve"> </w:t>
      </w:r>
      <w:r>
        <w:t xml:space="preserve">约 15:12。</w:t>
      </w:r>
    </w:p>
  </w:footnote>
  <w:footnote w:id="729">
    <w:p>
      <w:pPr>
        <w:pStyle w:val="FootnoteText"/>
      </w:pPr>
      <w:r>
        <w:rPr>
          <w:rStyle w:val="FootnoteReference"/>
        </w:rPr>
        <w:footnoteRef/>
      </w:r>
      <w:r>
        <w:t xml:space="preserve"> </w:t>
      </w:r>
      <w:r>
        <w:t xml:space="preserve">参可 8:34。</w:t>
      </w:r>
    </w:p>
  </w:footnote>
  <w:footnote w:id="730">
    <w:p>
      <w:pPr>
        <w:pStyle w:val="FootnoteText"/>
      </w:pPr>
      <w:r>
        <w:rPr>
          <w:rStyle w:val="FootnoteReference"/>
        </w:rPr>
        <w:footnoteRef/>
      </w:r>
      <w:r>
        <w:t xml:space="preserve"> </w:t>
      </w:r>
      <w:r>
        <w:t xml:space="preserve">彼后 1:4。</w:t>
      </w:r>
    </w:p>
  </w:footnote>
  <w:footnote w:id="731">
    <w:p>
      <w:pPr>
        <w:pStyle w:val="FootnoteText"/>
      </w:pPr>
      <w:r>
        <w:rPr>
          <w:rStyle w:val="FootnoteReference"/>
        </w:rPr>
        <w:footnoteRef/>
      </w:r>
      <w:r>
        <w:t xml:space="preserve"> </w:t>
      </w:r>
      <w:r>
        <w:t xml:space="preserve">圣爱任纽，《驳异端》3，19，1：PG 7/1，939。</w:t>
      </w:r>
    </w:p>
  </w:footnote>
  <w:footnote w:id="732">
    <w:p>
      <w:pPr>
        <w:pStyle w:val="FootnoteText"/>
      </w:pPr>
      <w:r>
        <w:rPr>
          <w:rStyle w:val="FootnoteReference"/>
        </w:rPr>
        <w:footnoteRef/>
      </w:r>
      <w:r>
        <w:t xml:space="preserve"> </w:t>
      </w:r>
      <w:r>
        <w:t xml:space="preserve">圣亚他拿修，《论道成肉身》54，3：PG 25，192B。</w:t>
      </w:r>
    </w:p>
  </w:footnote>
  <w:footnote w:id="733">
    <w:p>
      <w:pPr>
        <w:pStyle w:val="FootnoteText"/>
      </w:pPr>
      <w:r>
        <w:rPr>
          <w:rStyle w:val="FootnoteReference"/>
        </w:rPr>
        <w:footnoteRef/>
      </w:r>
      <w:r>
        <w:t xml:space="preserve"> </w:t>
      </w:r>
      <w:r>
        <w:t xml:space="preserve">圣托马斯·阿奎那，《小品》57，1-4。</w:t>
      </w:r>
    </w:p>
  </w:footnote>
  <w:footnote w:id="735">
    <w:p>
      <w:pPr>
        <w:pStyle w:val="FootnoteText"/>
      </w:pPr>
      <w:r>
        <w:rPr>
          <w:rStyle w:val="FootnoteReference"/>
        </w:rPr>
        <w:footnoteRef/>
      </w:r>
      <w:r>
        <w:t xml:space="preserve"> </w:t>
      </w:r>
      <w:r>
        <w:t xml:space="preserve">约 1:14。</w:t>
      </w:r>
    </w:p>
  </w:footnote>
  <w:footnote w:id="736">
    <w:p>
      <w:pPr>
        <w:pStyle w:val="FootnoteText"/>
      </w:pPr>
      <w:r>
        <w:rPr>
          <w:rStyle w:val="FootnoteReference"/>
        </w:rPr>
        <w:footnoteRef/>
      </w:r>
      <w:r>
        <w:t xml:space="preserve"> </w:t>
      </w:r>
      <w:r>
        <w:t xml:space="preserve">腓 2:5-8；参《日课》，星期六晚祷圣歌。</w:t>
      </w:r>
    </w:p>
  </w:footnote>
  <w:footnote w:id="737">
    <w:p>
      <w:pPr>
        <w:pStyle w:val="FootnoteText"/>
      </w:pPr>
      <w:r>
        <w:rPr>
          <w:rStyle w:val="FootnoteReference"/>
        </w:rPr>
        <w:footnoteRef/>
      </w:r>
      <w:r>
        <w:t xml:space="preserve"> </w:t>
      </w:r>
      <w:r>
        <w:t xml:space="preserve">来 10:5-7，引用诗 40:6-8（七十士译本 40:7-9）。</w:t>
      </w:r>
    </w:p>
  </w:footnote>
  <w:footnote w:id="738">
    <w:p>
      <w:pPr>
        <w:pStyle w:val="FootnoteText"/>
      </w:pPr>
      <w:r>
        <w:rPr>
          <w:rStyle w:val="FootnoteReference"/>
        </w:rPr>
        <w:footnoteRef/>
      </w:r>
      <w:r>
        <w:t xml:space="preserve"> </w:t>
      </w:r>
      <w:r>
        <w:t xml:space="preserve">约壹 4:2。</w:t>
      </w:r>
    </w:p>
  </w:footnote>
  <w:footnote w:id="739">
    <w:p>
      <w:pPr>
        <w:pStyle w:val="FootnoteText"/>
      </w:pPr>
      <w:r>
        <w:rPr>
          <w:rStyle w:val="FootnoteReference"/>
        </w:rPr>
        <w:footnoteRef/>
      </w:r>
      <w:r>
        <w:t xml:space="preserve"> </w:t>
      </w:r>
      <w:r>
        <w:t xml:space="preserve">提前 3:16。</w:t>
      </w:r>
    </w:p>
  </w:footnote>
  <w:footnote w:id="741">
    <w:p>
      <w:pPr>
        <w:pStyle w:val="FootnoteText"/>
      </w:pPr>
      <w:r>
        <w:rPr>
          <w:rStyle w:val="FootnoteReference"/>
        </w:rPr>
        <w:footnoteRef/>
      </w:r>
      <w:r>
        <w:t xml:space="preserve"> </w:t>
      </w:r>
      <w:r>
        <w:t xml:space="preserve">参约壹 4:2-3；约二 7。</w:t>
      </w:r>
    </w:p>
  </w:footnote>
  <w:footnote w:id="742">
    <w:p>
      <w:pPr>
        <w:pStyle w:val="FootnoteText"/>
      </w:pPr>
      <w:r>
        <w:rPr>
          <w:rStyle w:val="FootnoteReference"/>
        </w:rPr>
        <w:footnoteRef/>
      </w:r>
      <w:r>
        <w:t xml:space="preserve"> </w:t>
      </w:r>
      <w:r>
        <w:t xml:space="preserve">尼西亚第一次会议（325 年）：DS 130，126。</w:t>
      </w:r>
    </w:p>
  </w:footnote>
  <w:footnote w:id="743">
    <w:p>
      <w:pPr>
        <w:pStyle w:val="FootnoteText"/>
      </w:pPr>
      <w:r>
        <w:rPr>
          <w:rStyle w:val="FootnoteReference"/>
        </w:rPr>
        <w:footnoteRef/>
      </w:r>
      <w:r>
        <w:t xml:space="preserve"> </w:t>
      </w:r>
      <w:r>
        <w:t xml:space="preserve">以弗所会议（431 年）：DS 250。</w:t>
      </w:r>
    </w:p>
  </w:footnote>
  <w:footnote w:id="744">
    <w:p>
      <w:pPr>
        <w:pStyle w:val="FootnoteText"/>
      </w:pPr>
      <w:r>
        <w:rPr>
          <w:rStyle w:val="FootnoteReference"/>
        </w:rPr>
        <w:footnoteRef/>
      </w:r>
      <w:r>
        <w:t xml:space="preserve"> </w:t>
      </w:r>
      <w:r>
        <w:t xml:space="preserve">以弗所会议：DS 251。</w:t>
      </w:r>
    </w:p>
  </w:footnote>
  <w:footnote w:id="745">
    <w:p>
      <w:pPr>
        <w:pStyle w:val="FootnoteText"/>
      </w:pPr>
      <w:r>
        <w:rPr>
          <w:rStyle w:val="FootnoteReference"/>
        </w:rPr>
        <w:footnoteRef/>
      </w:r>
      <w:r>
        <w:t xml:space="preserve"> </w:t>
      </w:r>
      <w:r>
        <w:t xml:space="preserve">迦克墩会议（451 年）：DS 301；参来 4:15。</w:t>
      </w:r>
    </w:p>
  </w:footnote>
  <w:footnote w:id="746">
    <w:p>
      <w:pPr>
        <w:pStyle w:val="FootnoteText"/>
      </w:pPr>
      <w:r>
        <w:rPr>
          <w:rStyle w:val="FootnoteReference"/>
        </w:rPr>
        <w:footnoteRef/>
      </w:r>
      <w:r>
        <w:t xml:space="preserve"> </w:t>
      </w:r>
      <w:r>
        <w:t xml:space="preserve">迦克墩会议：DS 302。</w:t>
      </w:r>
    </w:p>
  </w:footnote>
  <w:footnote w:id="747">
    <w:p>
      <w:pPr>
        <w:pStyle w:val="FootnoteText"/>
      </w:pPr>
      <w:r>
        <w:rPr>
          <w:rStyle w:val="FootnoteReference"/>
        </w:rPr>
        <w:footnoteRef/>
      </w:r>
      <w:r>
        <w:t xml:space="preserve"> </w:t>
      </w:r>
      <w:r>
        <w:t xml:space="preserve">君士坦丁堡第二次会议（553 年）：DS 424。</w:t>
      </w:r>
    </w:p>
  </w:footnote>
  <w:footnote w:id="748">
    <w:p>
      <w:pPr>
        <w:pStyle w:val="FootnoteText"/>
      </w:pPr>
      <w:r>
        <w:rPr>
          <w:rStyle w:val="FootnoteReference"/>
        </w:rPr>
        <w:footnoteRef/>
      </w:r>
      <w:r>
        <w:t xml:space="preserve"> </w:t>
      </w:r>
      <w:r>
        <w:t xml:space="preserve">君士坦丁堡第二次会议（553 年）：DS 432；参 DS 424；以弗所会议，DS 255。</w:t>
      </w:r>
    </w:p>
  </w:footnote>
  <w:footnote w:id="749">
    <w:p>
      <w:pPr>
        <w:pStyle w:val="FootnoteText"/>
      </w:pPr>
      <w:r>
        <w:rPr>
          <w:rStyle w:val="FootnoteReference"/>
        </w:rPr>
        <w:footnoteRef/>
      </w:r>
      <w:r>
        <w:t xml:space="preserve"> </w:t>
      </w:r>
      <w:r>
        <w:t xml:space="preserve">《日课》，1 月 1 日晨祷对经；参大利奥，《主降生节讲道》1，2；PL 54，191-192。</w:t>
      </w:r>
    </w:p>
  </w:footnote>
  <w:footnote w:id="750">
    <w:p>
      <w:pPr>
        <w:pStyle w:val="FootnoteText"/>
      </w:pPr>
      <w:r>
        <w:rPr>
          <w:rStyle w:val="FootnoteReference"/>
        </w:rPr>
        <w:footnoteRef/>
      </w:r>
      <w:r>
        <w:t xml:space="preserve"> </w:t>
      </w:r>
      <w:r>
        <w:t xml:space="preserve">圣约翰·屈梭多模礼仪，「独生子」赞词。</w:t>
      </w:r>
    </w:p>
  </w:footnote>
  <w:footnote w:id="752">
    <w:p>
      <w:pPr>
        <w:pStyle w:val="FootnoteText"/>
      </w:pPr>
      <w:r>
        <w:rPr>
          <w:rStyle w:val="FootnoteReference"/>
        </w:rPr>
        <w:footnoteRef/>
      </w:r>
      <w:r>
        <w:t xml:space="preserve"> </w:t>
      </w:r>
      <w:r>
        <w:t xml:space="preserve">GS 22 § 2。</w:t>
      </w:r>
    </w:p>
  </w:footnote>
  <w:footnote w:id="753">
    <w:p>
      <w:pPr>
        <w:pStyle w:val="FootnoteText"/>
      </w:pPr>
      <w:r>
        <w:rPr>
          <w:rStyle w:val="FootnoteReference"/>
        </w:rPr>
        <w:footnoteRef/>
      </w:r>
      <w:r>
        <w:t xml:space="preserve"> </w:t>
      </w:r>
      <w:r>
        <w:t xml:space="preserve">参 约 14:9-10。</w:t>
      </w:r>
    </w:p>
  </w:footnote>
  <w:footnote w:id="754">
    <w:p>
      <w:pPr>
        <w:pStyle w:val="FootnoteText"/>
      </w:pPr>
      <w:r>
        <w:rPr>
          <w:rStyle w:val="FootnoteReference"/>
        </w:rPr>
        <w:footnoteRef/>
      </w:r>
      <w:r>
        <w:t xml:space="preserve"> </w:t>
      </w:r>
      <w:r>
        <w:t xml:space="preserve">GS 22 § 2。</w:t>
      </w:r>
    </w:p>
  </w:footnote>
  <w:footnote w:id="755">
    <w:p>
      <w:pPr>
        <w:pStyle w:val="FootnoteText"/>
      </w:pPr>
      <w:r>
        <w:rPr>
          <w:rStyle w:val="FootnoteReference"/>
        </w:rPr>
        <w:footnoteRef/>
      </w:r>
      <w:r>
        <w:t xml:space="preserve"> </w:t>
      </w:r>
      <w:r>
        <w:t xml:space="preserve">参达玛苏一世：DS 149。</w:t>
      </w:r>
    </w:p>
  </w:footnote>
  <w:footnote w:id="756">
    <w:p>
      <w:pPr>
        <w:pStyle w:val="FootnoteText"/>
      </w:pPr>
      <w:r>
        <w:rPr>
          <w:rStyle w:val="FootnoteReference"/>
        </w:rPr>
        <w:footnoteRef/>
      </w:r>
      <w:r>
        <w:t xml:space="preserve"> </w:t>
      </w:r>
      <w:r>
        <w:t xml:space="preserve">路 2:52。</w:t>
      </w:r>
    </w:p>
  </w:footnote>
  <w:footnote w:id="757">
    <w:p>
      <w:pPr>
        <w:pStyle w:val="FootnoteText"/>
      </w:pPr>
      <w:r>
        <w:rPr>
          <w:rStyle w:val="FootnoteReference"/>
        </w:rPr>
        <w:footnoteRef/>
      </w:r>
      <w:r>
        <w:t xml:space="preserve"> </w:t>
      </w:r>
      <w:r>
        <w:t xml:space="preserve">参可 6:38；8:27；约 11:34 等。</w:t>
      </w:r>
    </w:p>
  </w:footnote>
  <w:footnote w:id="758">
    <w:p>
      <w:pPr>
        <w:pStyle w:val="FootnoteText"/>
      </w:pPr>
      <w:r>
        <w:rPr>
          <w:rStyle w:val="FootnoteReference"/>
        </w:rPr>
        <w:footnoteRef/>
      </w:r>
      <w:r>
        <w:t xml:space="preserve"> </w:t>
      </w:r>
      <w:r>
        <w:t xml:space="preserve">腓 2:7。</w:t>
      </w:r>
    </w:p>
  </w:footnote>
  <w:footnote w:id="759">
    <w:p>
      <w:pPr>
        <w:pStyle w:val="FootnoteText"/>
      </w:pPr>
      <w:r>
        <w:rPr>
          <w:rStyle w:val="FootnoteReference"/>
        </w:rPr>
        <w:footnoteRef/>
      </w:r>
      <w:r>
        <w:t xml:space="preserve"> </w:t>
      </w:r>
      <w:r>
        <w:t xml:space="preserve">参见圣大额我略，《致尤洛吉乌斯的书信》第十卷 39，《拉丁教父集》77 卷 1097A 及以下；DS 475。</w:t>
      </w:r>
    </w:p>
  </w:footnote>
  <w:footnote w:id="760">
    <w:p>
      <w:pPr>
        <w:pStyle w:val="FootnoteText"/>
      </w:pPr>
      <w:r>
        <w:rPr>
          <w:rStyle w:val="FootnoteReference"/>
        </w:rPr>
        <w:footnoteRef/>
      </w:r>
      <w:r>
        <w:t xml:space="preserve"> </w:t>
      </w:r>
      <w:r>
        <w:t xml:space="preserve">圣马克西姆宣信者，《问题与疑惑》第 66 问：PG 90, 840A。</w:t>
      </w:r>
    </w:p>
  </w:footnote>
  <w:footnote w:id="761">
    <w:p>
      <w:pPr>
        <w:pStyle w:val="FootnoteText"/>
      </w:pPr>
      <w:r>
        <w:rPr>
          <w:rStyle w:val="FootnoteReference"/>
        </w:rPr>
        <w:footnoteRef/>
      </w:r>
      <w:r>
        <w:t xml:space="preserve"> </w:t>
      </w:r>
      <w:r>
        <w:t xml:space="preserve">参见可 14:36；太 11:27；约 1:18；8:55 等。</w:t>
      </w:r>
    </w:p>
  </w:footnote>
  <w:footnote w:id="762">
    <w:p>
      <w:pPr>
        <w:pStyle w:val="FootnoteText"/>
      </w:pPr>
      <w:r>
        <w:rPr>
          <w:rStyle w:val="FootnoteReference"/>
        </w:rPr>
        <w:footnoteRef/>
      </w:r>
      <w:r>
        <w:t xml:space="preserve"> </w:t>
      </w:r>
      <w:r>
        <w:t xml:space="preserve">参见可 2:8；约 2:25；6:61 等。</w:t>
      </w:r>
    </w:p>
  </w:footnote>
  <w:footnote w:id="763">
    <w:p>
      <w:pPr>
        <w:pStyle w:val="FootnoteText"/>
      </w:pPr>
      <w:r>
        <w:rPr>
          <w:rStyle w:val="FootnoteReference"/>
        </w:rPr>
        <w:footnoteRef/>
      </w:r>
      <w:r>
        <w:t xml:space="preserve"> </w:t>
      </w:r>
      <w:r>
        <w:t xml:space="preserve">参见 可 8:31；9:31；10:33-34；14:18-20，26-30。</w:t>
      </w:r>
    </w:p>
  </w:footnote>
  <w:footnote w:id="764">
    <w:p>
      <w:pPr>
        <w:pStyle w:val="FootnoteText"/>
      </w:pPr>
      <w:r>
        <w:rPr>
          <w:rStyle w:val="FootnoteReference"/>
        </w:rPr>
        <w:footnoteRef/>
      </w:r>
      <w:r>
        <w:t xml:space="preserve"> </w:t>
      </w:r>
      <w:r>
        <w:t xml:space="preserve">参见 可 13:32；徒 1:7。</w:t>
      </w:r>
    </w:p>
  </w:footnote>
  <w:footnote w:id="765">
    <w:p>
      <w:pPr>
        <w:pStyle w:val="FootnoteText"/>
      </w:pPr>
      <w:r>
        <w:rPr>
          <w:rStyle w:val="FootnoteReference"/>
        </w:rPr>
        <w:footnoteRef/>
      </w:r>
      <w:r>
        <w:t xml:space="preserve"> </w:t>
      </w:r>
      <w:r>
        <w:t xml:space="preserve">参君士坦丁堡第三次会议（681 年）：DS 556-559。</w:t>
      </w:r>
    </w:p>
  </w:footnote>
  <w:footnote w:id="766">
    <w:p>
      <w:pPr>
        <w:pStyle w:val="FootnoteText"/>
      </w:pPr>
      <w:r>
        <w:rPr>
          <w:rStyle w:val="FootnoteReference"/>
        </w:rPr>
        <w:footnoteRef/>
      </w:r>
      <w:r>
        <w:t xml:space="preserve"> </w:t>
      </w:r>
      <w:r>
        <w:t xml:space="preserve">君士坦丁堡第三次会议：DS 556。</w:t>
      </w:r>
    </w:p>
  </w:footnote>
  <w:footnote w:id="767">
    <w:p>
      <w:pPr>
        <w:pStyle w:val="FootnoteText"/>
      </w:pPr>
      <w:r>
        <w:rPr>
          <w:rStyle w:val="FootnoteReference"/>
        </w:rPr>
        <w:footnoteRef/>
      </w:r>
      <w:r>
        <w:t xml:space="preserve"> </w:t>
      </w:r>
      <w:r>
        <w:t xml:space="preserve">参拉特朗会议（649 年）：DS 504。</w:t>
      </w:r>
    </w:p>
  </w:footnote>
  <w:footnote w:id="768">
    <w:p>
      <w:pPr>
        <w:pStyle w:val="FootnoteText"/>
      </w:pPr>
      <w:r>
        <w:rPr>
          <w:rStyle w:val="FootnoteReference"/>
        </w:rPr>
        <w:footnoteRef/>
      </w:r>
      <w:r>
        <w:t xml:space="preserve"> </w:t>
      </w:r>
      <w:r>
        <w:t xml:space="preserve">参加 3:1；尼西亚第二次会议（787 年）：DS 600-603。</w:t>
      </w:r>
    </w:p>
  </w:footnote>
  <w:footnote w:id="769">
    <w:p>
      <w:pPr>
        <w:pStyle w:val="FootnoteText"/>
      </w:pPr>
      <w:r>
        <w:rPr>
          <w:rStyle w:val="FootnoteReference"/>
        </w:rPr>
        <w:footnoteRef/>
      </w:r>
      <w:r>
        <w:t xml:space="preserve"> </w:t>
      </w:r>
      <w:r>
        <w:t xml:space="preserve">罗马弥撒经书，圣诞节头祷一。</w:t>
      </w:r>
    </w:p>
  </w:footnote>
  <w:footnote w:id="770">
    <w:p>
      <w:pPr>
        <w:pStyle w:val="FootnoteText"/>
      </w:pPr>
      <w:r>
        <w:rPr>
          <w:rStyle w:val="FootnoteReference"/>
        </w:rPr>
        <w:footnoteRef/>
      </w:r>
      <w:r>
        <w:t xml:space="preserve"> </w:t>
      </w:r>
      <w:r>
        <w:t xml:space="preserve">尼西亚第二次会议：DS 601。</w:t>
      </w:r>
    </w:p>
  </w:footnote>
  <w:footnote w:id="771">
    <w:p>
      <w:pPr>
        <w:pStyle w:val="FootnoteText"/>
      </w:pPr>
      <w:r>
        <w:rPr>
          <w:rStyle w:val="FootnoteReference"/>
        </w:rPr>
        <w:footnoteRef/>
      </w:r>
      <w:r>
        <w:t xml:space="preserve"> </w:t>
      </w:r>
      <w:r>
        <w:t xml:space="preserve">加 2:20。</w:t>
      </w:r>
    </w:p>
  </w:footnote>
  <w:footnote w:id="772">
    <w:p>
      <w:pPr>
        <w:pStyle w:val="FootnoteText"/>
      </w:pPr>
      <w:r>
        <w:rPr>
          <w:rStyle w:val="FootnoteReference"/>
        </w:rPr>
        <w:footnoteRef/>
      </w:r>
      <w:r>
        <w:t xml:space="preserve"> </w:t>
      </w:r>
      <w:r>
        <w:t xml:space="preserve">参见约 19:34。</w:t>
      </w:r>
    </w:p>
  </w:footnote>
  <w:footnote w:id="773">
    <w:p>
      <w:pPr>
        <w:pStyle w:val="FootnoteText"/>
      </w:pPr>
      <w:r>
        <w:rPr>
          <w:rStyle w:val="FootnoteReference"/>
        </w:rPr>
        <w:footnoteRef/>
      </w:r>
      <w:r>
        <w:t xml:space="preserve"> </w:t>
      </w:r>
      <w:r>
        <w:t xml:space="preserve">庇护十二世，《汲取救恩之泉》通谕（1956 年）：DS 3924；参见 DS 3812。</w:t>
      </w:r>
    </w:p>
  </w:footnote>
  <w:footnote w:id="777">
    <w:p>
      <w:pPr>
        <w:pStyle w:val="FootnoteText"/>
      </w:pPr>
      <w:r>
        <w:rPr>
          <w:rStyle w:val="FootnoteReference"/>
        </w:rPr>
        <w:footnoteRef/>
      </w:r>
      <w:r>
        <w:t xml:space="preserve"> </w:t>
      </w:r>
      <w:r>
        <w:t xml:space="preserve">加 4:4。</w:t>
      </w:r>
    </w:p>
  </w:footnote>
  <w:footnote w:id="778">
    <w:p>
      <w:pPr>
        <w:pStyle w:val="FootnoteText"/>
      </w:pPr>
      <w:r>
        <w:rPr>
          <w:rStyle w:val="FootnoteReference"/>
        </w:rPr>
        <w:footnoteRef/>
      </w:r>
      <w:r>
        <w:t xml:space="preserve"> </w:t>
      </w:r>
      <w:r>
        <w:t xml:space="preserve">西 2:9。</w:t>
      </w:r>
    </w:p>
  </w:footnote>
  <w:footnote w:id="779">
    <w:p>
      <w:pPr>
        <w:pStyle w:val="FootnoteText"/>
      </w:pPr>
      <w:r>
        <w:rPr>
          <w:rStyle w:val="FootnoteReference"/>
        </w:rPr>
        <w:footnoteRef/>
      </w:r>
      <w:r>
        <w:t xml:space="preserve"> </w:t>
      </w:r>
      <w:r>
        <w:t xml:space="preserve">路 1:34-35。</w:t>
      </w:r>
    </w:p>
  </w:footnote>
  <w:footnote w:id="780">
    <w:p>
      <w:pPr>
        <w:pStyle w:val="FootnoteText"/>
      </w:pPr>
      <w:r>
        <w:rPr>
          <w:rStyle w:val="FootnoteReference"/>
        </w:rPr>
        <w:footnoteRef/>
      </w:r>
      <w:r>
        <w:t xml:space="preserve"> </w:t>
      </w:r>
      <w:r>
        <w:t xml:space="preserve">参见约 16:14-15。</w:t>
      </w:r>
    </w:p>
  </w:footnote>
  <w:footnote w:id="781">
    <w:p>
      <w:pPr>
        <w:pStyle w:val="FootnoteText"/>
      </w:pPr>
      <w:r>
        <w:rPr>
          <w:rStyle w:val="FootnoteReference"/>
        </w:rPr>
        <w:footnoteRef/>
      </w:r>
      <w:r>
        <w:t xml:space="preserve"> </w:t>
      </w:r>
      <w:r>
        <w:t xml:space="preserve">参太 1:20；2:1-12；路 1:35；2:8-20；约 1:31-34；2:11。</w:t>
      </w:r>
    </w:p>
  </w:footnote>
  <w:footnote w:id="782">
    <w:p>
      <w:pPr>
        <w:pStyle w:val="FootnoteText"/>
      </w:pPr>
      <w:r>
        <w:rPr>
          <w:rStyle w:val="FootnoteReference"/>
        </w:rPr>
        <w:footnoteRef/>
      </w:r>
      <w:r>
        <w:t xml:space="preserve"> </w:t>
      </w:r>
      <w:r>
        <w:t xml:space="preserve">徒 10:38。</w:t>
      </w:r>
    </w:p>
  </w:footnote>
  <w:footnote w:id="784">
    <w:p>
      <w:pPr>
        <w:pStyle w:val="FootnoteText"/>
      </w:pPr>
      <w:r>
        <w:rPr>
          <w:rStyle w:val="FootnoteReference"/>
        </w:rPr>
        <w:footnoteRef/>
      </w:r>
      <w:r>
        <w:t xml:space="preserve"> </w:t>
      </w:r>
      <w:r>
        <w:t xml:space="preserve">加 4:4；来 10:5。</w:t>
      </w:r>
    </w:p>
  </w:footnote>
  <w:footnote w:id="785">
    <w:p>
      <w:pPr>
        <w:pStyle w:val="FootnoteText"/>
      </w:pPr>
      <w:r>
        <w:rPr>
          <w:rStyle w:val="FootnoteReference"/>
        </w:rPr>
        <w:footnoteRef/>
      </w:r>
      <w:r>
        <w:t xml:space="preserve"> </w:t>
      </w:r>
      <w:r>
        <w:t xml:space="preserve">路 1:26-27。</w:t>
      </w:r>
    </w:p>
  </w:footnote>
  <w:footnote w:id="786">
    <w:p>
      <w:pPr>
        <w:pStyle w:val="FootnoteText"/>
      </w:pPr>
      <w:r>
        <w:rPr>
          <w:rStyle w:val="FootnoteReference"/>
        </w:rPr>
        <w:footnoteRef/>
      </w:r>
      <w:r>
        <w:t xml:space="preserve"> </w:t>
      </w:r>
      <w:r>
        <w:t xml:space="preserve">LG 56；参 LG 61。</w:t>
      </w:r>
    </w:p>
  </w:footnote>
  <w:footnote w:id="787">
    <w:p>
      <w:pPr>
        <w:pStyle w:val="FootnoteText"/>
      </w:pPr>
      <w:r>
        <w:rPr>
          <w:rStyle w:val="FootnoteReference"/>
        </w:rPr>
        <w:footnoteRef/>
      </w:r>
      <w:r>
        <w:t xml:space="preserve"> </w:t>
      </w:r>
      <w:r>
        <w:t xml:space="preserve">参创 3:15,20。</w:t>
      </w:r>
    </w:p>
  </w:footnote>
  <w:footnote w:id="788">
    <w:p>
      <w:pPr>
        <w:pStyle w:val="FootnoteText"/>
      </w:pPr>
      <w:r>
        <w:rPr>
          <w:rStyle w:val="FootnoteReference"/>
        </w:rPr>
        <w:footnoteRef/>
      </w:r>
      <w:r>
        <w:t xml:space="preserve"> </w:t>
      </w:r>
      <w:r>
        <w:t xml:space="preserve">参创 18:10-14；21:1-2。</w:t>
      </w:r>
    </w:p>
  </w:footnote>
  <w:footnote w:id="789">
    <w:p>
      <w:pPr>
        <w:pStyle w:val="FootnoteText"/>
      </w:pPr>
      <w:r>
        <w:rPr>
          <w:rStyle w:val="FootnoteReference"/>
        </w:rPr>
        <w:footnoteRef/>
      </w:r>
      <w:r>
        <w:t xml:space="preserve"> </w:t>
      </w:r>
      <w:r>
        <w:t xml:space="preserve">参林前 1:17；撒上 1。</w:t>
      </w:r>
    </w:p>
  </w:footnote>
  <w:footnote w:id="790">
    <w:p>
      <w:pPr>
        <w:pStyle w:val="FootnoteText"/>
      </w:pPr>
      <w:r>
        <w:rPr>
          <w:rStyle w:val="FootnoteReference"/>
        </w:rPr>
        <w:footnoteRef/>
      </w:r>
      <w:r>
        <w:t xml:space="preserve"> </w:t>
      </w:r>
      <w:r>
        <w:t xml:space="preserve">LG 55。</w:t>
      </w:r>
    </w:p>
  </w:footnote>
  <w:footnote w:id="791">
    <w:p>
      <w:pPr>
        <w:pStyle w:val="FootnoteText"/>
      </w:pPr>
      <w:r>
        <w:rPr>
          <w:rStyle w:val="FootnoteReference"/>
        </w:rPr>
        <w:footnoteRef/>
      </w:r>
      <w:r>
        <w:t xml:space="preserve"> </w:t>
      </w:r>
      <w:r>
        <w:t xml:space="preserve">LG 56。</w:t>
      </w:r>
    </w:p>
  </w:footnote>
  <w:footnote w:id="792">
    <w:p>
      <w:pPr>
        <w:pStyle w:val="FootnoteText"/>
      </w:pPr>
      <w:r>
        <w:rPr>
          <w:rStyle w:val="FootnoteReference"/>
        </w:rPr>
        <w:footnoteRef/>
      </w:r>
      <w:r>
        <w:t xml:space="preserve"> </w:t>
      </w:r>
      <w:r>
        <w:t xml:space="preserve">路 1:28。</w:t>
      </w:r>
    </w:p>
  </w:footnote>
  <w:footnote w:id="793">
    <w:p>
      <w:pPr>
        <w:pStyle w:val="FootnoteText"/>
      </w:pPr>
      <w:r>
        <w:rPr>
          <w:rStyle w:val="FootnoteReference"/>
        </w:rPr>
        <w:footnoteRef/>
      </w:r>
      <w:r>
        <w:t xml:space="preserve"> </w:t>
      </w:r>
      <w:r>
        <w:t xml:space="preserve">路 1:28。</w:t>
      </w:r>
    </w:p>
  </w:footnote>
  <w:footnote w:id="794">
    <w:p>
      <w:pPr>
        <w:pStyle w:val="FootnoteText"/>
      </w:pPr>
      <w:r>
        <w:rPr>
          <w:rStyle w:val="FootnoteReference"/>
        </w:rPr>
        <w:footnoteRef/>
      </w:r>
      <w:r>
        <w:t xml:space="preserve"> </w:t>
      </w:r>
      <w:r>
        <w:t xml:space="preserve">庇护九世，《Ineffabilis Deus》（1854 年）：DS 2803。</w:t>
      </w:r>
    </w:p>
  </w:footnote>
  <w:footnote w:id="795">
    <w:p>
      <w:pPr>
        <w:pStyle w:val="FootnoteText"/>
      </w:pPr>
      <w:r>
        <w:rPr>
          <w:rStyle w:val="FootnoteReference"/>
        </w:rPr>
        <w:footnoteRef/>
      </w:r>
      <w:r>
        <w:t xml:space="preserve"> </w:t>
      </w:r>
      <w:r>
        <w:t xml:space="preserve">LG 53, 56。</w:t>
      </w:r>
    </w:p>
  </w:footnote>
  <w:footnote w:id="796">
    <w:p>
      <w:pPr>
        <w:pStyle w:val="FootnoteText"/>
      </w:pPr>
      <w:r>
        <w:rPr>
          <w:rStyle w:val="FootnoteReference"/>
        </w:rPr>
        <w:footnoteRef/>
      </w:r>
      <w:r>
        <w:t xml:space="preserve"> </w:t>
      </w:r>
      <w:r>
        <w:t xml:space="preserve">参弗 1:3-4。</w:t>
      </w:r>
    </w:p>
  </w:footnote>
  <w:footnote w:id="797">
    <w:p>
      <w:pPr>
        <w:pStyle w:val="FootnoteText"/>
      </w:pPr>
      <w:r>
        <w:rPr>
          <w:rStyle w:val="FootnoteReference"/>
        </w:rPr>
        <w:footnoteRef/>
      </w:r>
      <w:r>
        <w:t xml:space="preserve"> </w:t>
      </w:r>
      <w:r>
        <w:t xml:space="preserve">LG 56。</w:t>
      </w:r>
    </w:p>
  </w:footnote>
  <w:footnote w:id="798">
    <w:p>
      <w:pPr>
        <w:pStyle w:val="FootnoteText"/>
      </w:pPr>
      <w:r>
        <w:rPr>
          <w:rStyle w:val="FootnoteReference"/>
        </w:rPr>
        <w:footnoteRef/>
      </w:r>
      <w:r>
        <w:t xml:space="preserve"> </w:t>
      </w:r>
      <w:r>
        <w:t xml:space="preserve">路 1:28-38；参罗 1:5。</w:t>
      </w:r>
    </w:p>
  </w:footnote>
  <w:footnote w:id="799">
    <w:p>
      <w:pPr>
        <w:pStyle w:val="FootnoteText"/>
      </w:pPr>
      <w:r>
        <w:rPr>
          <w:rStyle w:val="FootnoteReference"/>
        </w:rPr>
        <w:footnoteRef/>
      </w:r>
      <w:r>
        <w:t xml:space="preserve"> </w:t>
      </w:r>
      <w:r>
        <w:t xml:space="preserve">参 LG 56。</w:t>
      </w:r>
    </w:p>
  </w:footnote>
  <w:footnote w:id="800">
    <w:p>
      <w:pPr>
        <w:pStyle w:val="FootnoteText"/>
      </w:pPr>
      <w:r>
        <w:rPr>
          <w:rStyle w:val="FootnoteReference"/>
        </w:rPr>
        <w:footnoteRef/>
      </w:r>
      <w:r>
        <w:t xml:space="preserve"> </w:t>
      </w:r>
      <w:r>
        <w:t xml:space="preserve">圣爱任纽，《驳异端》3 卷 22 章 4 节：PG 7/1, 959A。</w:t>
      </w:r>
    </w:p>
  </w:footnote>
  <w:footnote w:id="801">
    <w:p>
      <w:pPr>
        <w:pStyle w:val="FootnoteText"/>
      </w:pPr>
      <w:r>
        <w:rPr>
          <w:rStyle w:val="FootnoteReference"/>
        </w:rPr>
        <w:footnoteRef/>
      </w:r>
      <w:r>
        <w:t xml:space="preserve"> </w:t>
      </w:r>
      <w:r>
        <w:t xml:space="preserve">圣爱任纽，《驳异端》3 卷 22 章 4 节：PG 7/1, 959A。</w:t>
      </w:r>
    </w:p>
  </w:footnote>
  <w:footnote w:id="802">
    <w:p>
      <w:pPr>
        <w:pStyle w:val="FootnoteText"/>
      </w:pPr>
      <w:r>
        <w:rPr>
          <w:rStyle w:val="FootnoteReference"/>
        </w:rPr>
        <w:footnoteRef/>
      </w:r>
      <w:r>
        <w:t xml:space="preserve"> </w:t>
      </w:r>
      <w:r>
        <w:t xml:space="preserve">LG 56 章；埃皮法纽斯，《异端》78 卷 18 章：PG 42, 728CD-729AB；圣耶柔米，《书信集》22 卷 21 节：PL 22, 408。</w:t>
      </w:r>
    </w:p>
  </w:footnote>
  <w:footnote w:id="803">
    <w:p>
      <w:pPr>
        <w:pStyle w:val="FootnoteText"/>
      </w:pPr>
      <w:r>
        <w:rPr>
          <w:rStyle w:val="FootnoteReference"/>
        </w:rPr>
        <w:footnoteRef/>
      </w:r>
      <w:r>
        <w:t xml:space="preserve"> </w:t>
      </w:r>
      <w:r>
        <w:t xml:space="preserve">路 1:43；约 2:1；19:25；参太 13:55；等。</w:t>
      </w:r>
    </w:p>
  </w:footnote>
  <w:footnote w:id="804">
    <w:p>
      <w:pPr>
        <w:pStyle w:val="FootnoteText"/>
      </w:pPr>
      <w:r>
        <w:rPr>
          <w:rStyle w:val="FootnoteReference"/>
        </w:rPr>
        <w:footnoteRef/>
      </w:r>
      <w:r>
        <w:t xml:space="preserve"> </w:t>
      </w:r>
      <w:r>
        <w:t xml:space="preserve">以弗所会议（431 年）：DS 251。</w:t>
      </w:r>
    </w:p>
  </w:footnote>
  <w:footnote w:id="805">
    <w:p>
      <w:pPr>
        <w:pStyle w:val="FootnoteText"/>
      </w:pPr>
      <w:r>
        <w:rPr>
          <w:rStyle w:val="FootnoteReference"/>
        </w:rPr>
        <w:footnoteRef/>
      </w:r>
      <w:r>
        <w:t xml:space="preserve"> </w:t>
      </w:r>
      <w:r>
        <w:t xml:space="preserve">拉特兰会议（649 年）：DS 503；参 DS 10-64。</w:t>
      </w:r>
    </w:p>
  </w:footnote>
  <w:footnote w:id="806">
    <w:p>
      <w:pPr>
        <w:pStyle w:val="FootnoteText"/>
      </w:pPr>
      <w:r>
        <w:rPr>
          <w:rStyle w:val="FootnoteReference"/>
        </w:rPr>
        <w:footnoteRef/>
      </w:r>
      <w:r>
        <w:t xml:space="preserve"> </w:t>
      </w:r>
      <w:r>
        <w:t xml:space="preserve">安提阿的圣依纳爵，《致士每拿人书》1-2：《使徒教父》，J. B. Lightfoot 编（伦敦：麦克米伦，1889 年），II/2, 289-293；SCh 10, 154-156；参罗 1:3；约 1:13。</w:t>
      </w:r>
    </w:p>
  </w:footnote>
  <w:footnote w:id="807">
    <w:p>
      <w:pPr>
        <w:pStyle w:val="FootnoteText"/>
      </w:pPr>
      <w:r>
        <w:rPr>
          <w:rStyle w:val="FootnoteReference"/>
        </w:rPr>
        <w:footnoteRef/>
      </w:r>
      <w:r>
        <w:t xml:space="preserve"> </w:t>
      </w:r>
      <w:r>
        <w:t xml:space="preserve">太 1:18-25；路 1:26-38。</w:t>
      </w:r>
    </w:p>
  </w:footnote>
  <w:footnote w:id="808">
    <w:p>
      <w:pPr>
        <w:pStyle w:val="FootnoteText"/>
      </w:pPr>
      <w:r>
        <w:rPr>
          <w:rStyle w:val="FootnoteReference"/>
        </w:rPr>
        <w:footnoteRef/>
      </w:r>
      <w:r>
        <w:t xml:space="preserve"> </w:t>
      </w:r>
      <w:r>
        <w:t xml:space="preserve">太 1:20。</w:t>
      </w:r>
    </w:p>
  </w:footnote>
  <w:footnote w:id="809">
    <w:p>
      <w:pPr>
        <w:pStyle w:val="FootnoteText"/>
      </w:pPr>
      <w:r>
        <w:rPr>
          <w:rStyle w:val="FootnoteReference"/>
        </w:rPr>
        <w:footnoteRef/>
      </w:r>
      <w:r>
        <w:t xml:space="preserve"> </w:t>
      </w:r>
      <w:r>
        <w:t xml:space="preserve">赛 7:14，七十士译本，引自太 1:23（希腊文）。</w:t>
      </w:r>
    </w:p>
  </w:footnote>
  <w:footnote w:id="810">
    <w:p>
      <w:pPr>
        <w:pStyle w:val="FootnoteText"/>
      </w:pPr>
      <w:r>
        <w:rPr>
          <w:rStyle w:val="FootnoteReference"/>
        </w:rPr>
        <w:footnoteRef/>
      </w:r>
      <w:r>
        <w:t xml:space="preserve"> </w:t>
      </w:r>
      <w:r>
        <w:t xml:space="preserve">参圣游斯丁，《对话录》99 章 7 节：PG 6, 708-709；俄利根，《驳克尔素》1 卷 32 章 69 节：PG 11, 720-721；等。</w:t>
      </w:r>
    </w:p>
  </w:footnote>
  <w:footnote w:id="811">
    <w:p>
      <w:pPr>
        <w:pStyle w:val="FootnoteText"/>
      </w:pPr>
      <w:r>
        <w:rPr>
          <w:rStyle w:val="FootnoteReference"/>
        </w:rPr>
        <w:footnoteRef/>
      </w:r>
      <w:r>
        <w:t xml:space="preserve"> </w:t>
      </w:r>
      <w:r>
        <w:t xml:space="preserve">《论神之子》4：DS 3016。</w:t>
      </w:r>
    </w:p>
  </w:footnote>
  <w:footnote w:id="812">
    <w:p>
      <w:pPr>
        <w:pStyle w:val="FootnoteText"/>
      </w:pPr>
      <w:r>
        <w:rPr>
          <w:rStyle w:val="FootnoteReference"/>
        </w:rPr>
        <w:footnoteRef/>
      </w:r>
      <w:r>
        <w:t xml:space="preserve"> </w:t>
      </w:r>
      <w:r>
        <w:t xml:space="preserve">安提阿的圣依纳爵，《致以弗所人书》19 章 1 节：AF II/2 76-80；SCh 10,88；参林前 2:8。</w:t>
      </w:r>
    </w:p>
  </w:footnote>
  <w:footnote w:id="813">
    <w:p>
      <w:pPr>
        <w:pStyle w:val="FootnoteText"/>
      </w:pPr>
      <w:r>
        <w:rPr>
          <w:rStyle w:val="FootnoteReference"/>
        </w:rPr>
        <w:footnoteRef/>
      </w:r>
      <w:r>
        <w:t xml:space="preserve"> </w:t>
      </w:r>
      <w:r>
        <w:t xml:space="preserve">参 DS 291；294；427；442；503；571；1880。</w:t>
      </w:r>
    </w:p>
  </w:footnote>
  <w:footnote w:id="814">
    <w:p>
      <w:pPr>
        <w:pStyle w:val="FootnoteText"/>
      </w:pPr>
      <w:r>
        <w:rPr>
          <w:rStyle w:val="FootnoteReference"/>
        </w:rPr>
        <w:footnoteRef/>
      </w:r>
      <w:r>
        <w:t xml:space="preserve"> </w:t>
      </w:r>
      <w:r>
        <w:t xml:space="preserve">LG 57。</w:t>
      </w:r>
    </w:p>
  </w:footnote>
  <w:footnote w:id="815">
    <w:p>
      <w:pPr>
        <w:pStyle w:val="FootnoteText"/>
      </w:pPr>
      <w:r>
        <w:rPr>
          <w:rStyle w:val="FootnoteReference"/>
        </w:rPr>
        <w:footnoteRef/>
      </w:r>
      <w:r>
        <w:t xml:space="preserve"> </w:t>
      </w:r>
      <w:r>
        <w:t xml:space="preserve">参 LG 52。</w:t>
      </w:r>
    </w:p>
  </w:footnote>
  <w:footnote w:id="816">
    <w:p>
      <w:pPr>
        <w:pStyle w:val="FootnoteText"/>
      </w:pPr>
      <w:r>
        <w:rPr>
          <w:rStyle w:val="FootnoteReference"/>
        </w:rPr>
        <w:footnoteRef/>
      </w:r>
      <w:r>
        <w:t xml:space="preserve"> </w:t>
      </w:r>
      <w:r>
        <w:t xml:space="preserve">参可 3:31-35；6:3；林前 9:5；加 1:19。</w:t>
      </w:r>
    </w:p>
  </w:footnote>
  <w:footnote w:id="817">
    <w:p>
      <w:pPr>
        <w:pStyle w:val="FootnoteText"/>
      </w:pPr>
      <w:r>
        <w:rPr>
          <w:rStyle w:val="FootnoteReference"/>
        </w:rPr>
        <w:footnoteRef/>
      </w:r>
      <w:r>
        <w:t xml:space="preserve"> </w:t>
      </w:r>
      <w:r>
        <w:t xml:space="preserve">太 13:55；28:1；参太 27:56。</w:t>
      </w:r>
    </w:p>
  </w:footnote>
  <w:footnote w:id="818">
    <w:p>
      <w:pPr>
        <w:pStyle w:val="FootnoteText"/>
      </w:pPr>
      <w:r>
        <w:rPr>
          <w:rStyle w:val="FootnoteReference"/>
        </w:rPr>
        <w:footnoteRef/>
      </w:r>
      <w:r>
        <w:t xml:space="preserve"> </w:t>
      </w:r>
      <w:r>
        <w:t xml:space="preserve">参创 13:8；14:16；29:15；等。</w:t>
      </w:r>
    </w:p>
  </w:footnote>
  <w:footnote w:id="819">
    <w:p>
      <w:pPr>
        <w:pStyle w:val="FootnoteText"/>
      </w:pPr>
      <w:r>
        <w:rPr>
          <w:rStyle w:val="FootnoteReference"/>
        </w:rPr>
        <w:footnoteRef/>
      </w:r>
      <w:r>
        <w:t xml:space="preserve"> </w:t>
      </w:r>
      <w:r>
        <w:t xml:space="preserve">LG 63；参约 19:26-27；罗 8:29；启 12:17。</w:t>
      </w:r>
    </w:p>
  </w:footnote>
  <w:footnote w:id="820">
    <w:p>
      <w:pPr>
        <w:pStyle w:val="FootnoteText"/>
      </w:pPr>
      <w:r>
        <w:rPr>
          <w:rStyle w:val="FootnoteReference"/>
        </w:rPr>
        <w:footnoteRef/>
      </w:r>
      <w:r>
        <w:t xml:space="preserve"> </w:t>
      </w:r>
      <w:r>
        <w:t xml:space="preserve">弗留利会议（796 年）：DS 619；参路 2:48-49。</w:t>
      </w:r>
    </w:p>
  </w:footnote>
  <w:footnote w:id="821">
    <w:p>
      <w:pPr>
        <w:pStyle w:val="FootnoteText"/>
      </w:pPr>
      <w:r>
        <w:rPr>
          <w:rStyle w:val="FootnoteReference"/>
        </w:rPr>
        <w:footnoteRef/>
      </w:r>
      <w:r>
        <w:t xml:space="preserve"> </w:t>
      </w:r>
      <w:r>
        <w:t xml:space="preserve">林前 15:45,47。</w:t>
      </w:r>
    </w:p>
  </w:footnote>
  <w:footnote w:id="822">
    <w:p>
      <w:pPr>
        <w:pStyle w:val="FootnoteText"/>
      </w:pPr>
      <w:r>
        <w:rPr>
          <w:rStyle w:val="FootnoteReference"/>
        </w:rPr>
        <w:footnoteRef/>
      </w:r>
      <w:r>
        <w:t xml:space="preserve"> </w:t>
      </w:r>
      <w:r>
        <w:t xml:space="preserve">约 3:34。</w:t>
      </w:r>
    </w:p>
  </w:footnote>
  <w:footnote w:id="823">
    <w:p>
      <w:pPr>
        <w:pStyle w:val="FootnoteText"/>
      </w:pPr>
      <w:r>
        <w:rPr>
          <w:rStyle w:val="FootnoteReference"/>
        </w:rPr>
        <w:footnoteRef/>
      </w:r>
      <w:r>
        <w:t xml:space="preserve"> </w:t>
      </w:r>
      <w:r>
        <w:t xml:space="preserve">约 1:16；参西 1:18。</w:t>
      </w:r>
    </w:p>
  </w:footnote>
  <w:footnote w:id="824">
    <w:p>
      <w:pPr>
        <w:pStyle w:val="FootnoteText"/>
      </w:pPr>
      <w:r>
        <w:rPr>
          <w:rStyle w:val="FootnoteReference"/>
        </w:rPr>
        <w:footnoteRef/>
      </w:r>
      <w:r>
        <w:t xml:space="preserve"> </w:t>
      </w:r>
      <w:r>
        <w:t xml:space="preserve">路 1:34；参约 3:9。</w:t>
      </w:r>
    </w:p>
  </w:footnote>
  <w:footnote w:id="825">
    <w:p>
      <w:pPr>
        <w:pStyle w:val="FootnoteText"/>
      </w:pPr>
      <w:r>
        <w:rPr>
          <w:rStyle w:val="FootnoteReference"/>
        </w:rPr>
        <w:footnoteRef/>
      </w:r>
      <w:r>
        <w:t xml:space="preserve"> </w:t>
      </w:r>
      <w:r>
        <w:t xml:space="preserve">约 1:13。</w:t>
      </w:r>
    </w:p>
  </w:footnote>
  <w:footnote w:id="826">
    <w:p>
      <w:pPr>
        <w:pStyle w:val="FootnoteText"/>
      </w:pPr>
      <w:r>
        <w:rPr>
          <w:rStyle w:val="FootnoteReference"/>
        </w:rPr>
        <w:footnoteRef/>
      </w:r>
      <w:r>
        <w:t xml:space="preserve"> </w:t>
      </w:r>
      <w:r>
        <w:t xml:space="preserve">参林后 11:2。</w:t>
      </w:r>
    </w:p>
  </w:footnote>
  <w:footnote w:id="827">
    <w:p>
      <w:pPr>
        <w:pStyle w:val="FootnoteText"/>
      </w:pPr>
      <w:r>
        <w:rPr>
          <w:rStyle w:val="FootnoteReference"/>
        </w:rPr>
        <w:footnoteRef/>
      </w:r>
      <w:r>
        <w:t xml:space="preserve"> </w:t>
      </w:r>
      <w:r>
        <w:t xml:space="preserve">LG 63；参林前 7:34-35。</w:t>
      </w:r>
    </w:p>
  </w:footnote>
  <w:footnote w:id="828">
    <w:p>
      <w:pPr>
        <w:pStyle w:val="FootnoteText"/>
      </w:pPr>
      <w:r>
        <w:rPr>
          <w:rStyle w:val="FootnoteReference"/>
        </w:rPr>
        <w:footnoteRef/>
      </w:r>
      <w:r>
        <w:t xml:space="preserve"> </w:t>
      </w:r>
      <w:r>
        <w:t xml:space="preserve">圣奥古斯丁，《论童贞》，3：PL 40，398。</w:t>
      </w:r>
    </w:p>
  </w:footnote>
  <w:footnote w:id="829">
    <w:p>
      <w:pPr>
        <w:pStyle w:val="FootnoteText"/>
      </w:pPr>
      <w:r>
        <w:rPr>
          <w:rStyle w:val="FootnoteReference"/>
        </w:rPr>
        <w:footnoteRef/>
      </w:r>
      <w:r>
        <w:t xml:space="preserve"> </w:t>
      </w:r>
      <w:r>
        <w:t xml:space="preserve">LG 64；参 63。</w:t>
      </w:r>
    </w:p>
  </w:footnote>
  <w:footnote w:id="832">
    <w:p>
      <w:pPr>
        <w:pStyle w:val="FootnoteText"/>
      </w:pPr>
      <w:r>
        <w:rPr>
          <w:rStyle w:val="FootnoteReference"/>
        </w:rPr>
        <w:footnoteRef/>
      </w:r>
      <w:r>
        <w:t xml:space="preserve"> </w:t>
      </w:r>
      <w:r>
        <w:t xml:space="preserve">徒 1:1-2。</w:t>
      </w:r>
    </w:p>
  </w:footnote>
  <w:footnote w:id="833">
    <w:p>
      <w:pPr>
        <w:pStyle w:val="FootnoteText"/>
      </w:pPr>
      <w:r>
        <w:rPr>
          <w:rStyle w:val="FootnoteReference"/>
        </w:rPr>
        <w:footnoteRef/>
      </w:r>
      <w:r>
        <w:t xml:space="preserve"> </w:t>
      </w:r>
      <w:r>
        <w:t xml:space="preserve">约 20:30。</w:t>
      </w:r>
    </w:p>
  </w:footnote>
  <w:footnote w:id="834">
    <w:p>
      <w:pPr>
        <w:pStyle w:val="FootnoteText"/>
      </w:pPr>
      <w:r>
        <w:rPr>
          <w:rStyle w:val="FootnoteReference"/>
        </w:rPr>
        <w:footnoteRef/>
      </w:r>
      <w:r>
        <w:t xml:space="preserve"> </w:t>
      </w:r>
      <w:r>
        <w:t xml:space="preserve">约 20:31。</w:t>
      </w:r>
    </w:p>
  </w:footnote>
  <w:footnote w:id="835">
    <w:p>
      <w:pPr>
        <w:pStyle w:val="FootnoteText"/>
      </w:pPr>
      <w:r>
        <w:rPr>
          <w:rStyle w:val="FootnoteReference"/>
        </w:rPr>
        <w:footnoteRef/>
      </w:r>
      <w:r>
        <w:t xml:space="preserve"> </w:t>
      </w:r>
      <w:r>
        <w:t xml:space="preserve">可 1:1；约 21:24。</w:t>
      </w:r>
    </w:p>
  </w:footnote>
  <w:footnote w:id="836">
    <w:p>
      <w:pPr>
        <w:pStyle w:val="FootnoteText"/>
      </w:pPr>
      <w:r>
        <w:rPr>
          <w:rStyle w:val="FootnoteReference"/>
        </w:rPr>
        <w:footnoteRef/>
      </w:r>
      <w:r>
        <w:t xml:space="preserve"> </w:t>
      </w:r>
      <w:r>
        <w:t xml:space="preserve">路 2:7；太 27:48；约 20:7。</w:t>
      </w:r>
    </w:p>
  </w:footnote>
  <w:footnote w:id="837">
    <w:p>
      <w:pPr>
        <w:pStyle w:val="FootnoteText"/>
      </w:pPr>
      <w:r>
        <w:rPr>
          <w:rStyle w:val="FootnoteReference"/>
        </w:rPr>
        <w:footnoteRef/>
      </w:r>
      <w:r>
        <w:t xml:space="preserve"> </w:t>
      </w:r>
      <w:r>
        <w:t xml:space="preserve">西 2:9。</w:t>
      </w:r>
    </w:p>
  </w:footnote>
  <w:footnote w:id="838">
    <w:p>
      <w:pPr>
        <w:pStyle w:val="FootnoteText"/>
      </w:pPr>
      <w:r>
        <w:rPr>
          <w:rStyle w:val="FootnoteReference"/>
        </w:rPr>
        <w:footnoteRef/>
      </w:r>
      <w:r>
        <w:t xml:space="preserve"> </w:t>
      </w:r>
      <w:r>
        <w:t xml:space="preserve">约 14:9；路 9:35；参太 17:5；可 9:7（「我的爱子」）。</w:t>
      </w:r>
    </w:p>
  </w:footnote>
  <w:footnote w:id="839">
    <w:p>
      <w:pPr>
        <w:pStyle w:val="FootnoteText"/>
      </w:pPr>
      <w:r>
        <w:rPr>
          <w:rStyle w:val="FootnoteReference"/>
        </w:rPr>
        <w:footnoteRef/>
      </w:r>
      <w:r>
        <w:t xml:space="preserve"> </w:t>
      </w:r>
      <w:r>
        <w:t xml:space="preserve">约一 4:9。</w:t>
      </w:r>
    </w:p>
  </w:footnote>
  <w:footnote w:id="840">
    <w:p>
      <w:pPr>
        <w:pStyle w:val="FootnoteText"/>
      </w:pPr>
      <w:r>
        <w:rPr>
          <w:rStyle w:val="FootnoteReference"/>
        </w:rPr>
        <w:footnoteRef/>
      </w:r>
      <w:r>
        <w:t xml:space="preserve"> </w:t>
      </w:r>
      <w:r>
        <w:t xml:space="preserve">弗 1:7；西 1:13-14；彼前 1:18-19。</w:t>
      </w:r>
    </w:p>
  </w:footnote>
  <w:footnote w:id="841">
    <w:p>
      <w:pPr>
        <w:pStyle w:val="FootnoteText"/>
      </w:pPr>
      <w:r>
        <w:rPr>
          <w:rStyle w:val="FootnoteReference"/>
        </w:rPr>
        <w:footnoteRef/>
      </w:r>
      <w:r>
        <w:t xml:space="preserve"> </w:t>
      </w:r>
      <w:r>
        <w:t xml:space="preserve">弗 1:7；西 1:13-14；彼前 1:18-19。</w:t>
      </w:r>
    </w:p>
  </w:footnote>
  <w:footnote w:id="842">
    <w:p>
      <w:pPr>
        <w:pStyle w:val="FootnoteText"/>
      </w:pPr>
      <w:r>
        <w:rPr>
          <w:rStyle w:val="FootnoteReference"/>
        </w:rPr>
        <w:footnoteRef/>
      </w:r>
      <w:r>
        <w:t xml:space="preserve"> </w:t>
      </w:r>
      <w:r>
        <w:t xml:space="preserve">林后 8:9。</w:t>
      </w:r>
    </w:p>
  </w:footnote>
  <w:footnote w:id="843">
    <w:p>
      <w:pPr>
        <w:pStyle w:val="FootnoteText"/>
      </w:pPr>
      <w:r>
        <w:rPr>
          <w:rStyle w:val="FootnoteReference"/>
        </w:rPr>
        <w:footnoteRef/>
      </w:r>
      <w:r>
        <w:t xml:space="preserve"> </w:t>
      </w:r>
      <w:r>
        <w:t xml:space="preserve">路 2:51。</w:t>
      </w:r>
    </w:p>
  </w:footnote>
  <w:footnote w:id="844">
    <w:p>
      <w:pPr>
        <w:pStyle w:val="FootnoteText"/>
      </w:pPr>
      <w:r>
        <w:rPr>
          <w:rStyle w:val="FootnoteReference"/>
        </w:rPr>
        <w:footnoteRef/>
      </w:r>
      <w:r>
        <w:t xml:space="preserve"> </w:t>
      </w:r>
      <w:r>
        <w:t xml:space="preserve">约 15:3。</w:t>
      </w:r>
    </w:p>
  </w:footnote>
  <w:footnote w:id="845">
    <w:p>
      <w:pPr>
        <w:pStyle w:val="FootnoteText"/>
      </w:pPr>
      <w:r>
        <w:rPr>
          <w:rStyle w:val="FootnoteReference"/>
        </w:rPr>
        <w:footnoteRef/>
      </w:r>
      <w:r>
        <w:t xml:space="preserve"> </w:t>
      </w:r>
      <w:r>
        <w:t xml:space="preserve">太 8:17；参赛 53:4。</w:t>
      </w:r>
    </w:p>
  </w:footnote>
  <w:footnote w:id="846">
    <w:p>
      <w:pPr>
        <w:pStyle w:val="FootnoteText"/>
      </w:pPr>
      <w:r>
        <w:rPr>
          <w:rStyle w:val="FootnoteReference"/>
        </w:rPr>
        <w:footnoteRef/>
      </w:r>
      <w:r>
        <w:t xml:space="preserve"> </w:t>
      </w:r>
      <w:r>
        <w:t xml:space="preserve">罗 4:25。</w:t>
      </w:r>
    </w:p>
  </w:footnote>
  <w:footnote w:id="847">
    <w:p>
      <w:pPr>
        <w:pStyle w:val="FootnoteText"/>
      </w:pPr>
      <w:r>
        <w:rPr>
          <w:rStyle w:val="FootnoteReference"/>
        </w:rPr>
        <w:footnoteRef/>
      </w:r>
      <w:r>
        <w:t xml:space="preserve"> </w:t>
      </w:r>
      <w:r>
        <w:t xml:space="preserve">圣爱任纽，《驳异端》3, 18, 1：PG 7/1, 932。</w:t>
      </w:r>
    </w:p>
  </w:footnote>
  <w:footnote w:id="848">
    <w:p>
      <w:pPr>
        <w:pStyle w:val="FootnoteText"/>
      </w:pPr>
      <w:r>
        <w:rPr>
          <w:rStyle w:val="FootnoteReference"/>
        </w:rPr>
        <w:footnoteRef/>
      </w:r>
      <w:r>
        <w:t xml:space="preserve"> </w:t>
      </w:r>
      <w:r>
        <w:t xml:space="preserve">圣爱任纽，《驳异端》3, 18, 7：PG 7/1, 937；参 2, 22, 4。</w:t>
      </w:r>
    </w:p>
  </w:footnote>
  <w:footnote w:id="849">
    <w:p>
      <w:pPr>
        <w:pStyle w:val="FootnoteText"/>
      </w:pPr>
      <w:r>
        <w:rPr>
          <w:rStyle w:val="FootnoteReference"/>
        </w:rPr>
        <w:footnoteRef/>
      </w:r>
      <w:r>
        <w:t xml:space="preserve"> </w:t>
      </w:r>
      <w:r>
        <w:t xml:space="preserve">若望·保禄二世，RH 11。</w:t>
      </w:r>
    </w:p>
  </w:footnote>
  <w:footnote w:id="850">
    <w:p>
      <w:pPr>
        <w:pStyle w:val="FootnoteText"/>
      </w:pPr>
      <w:r>
        <w:rPr>
          <w:rStyle w:val="FootnoteReference"/>
        </w:rPr>
        <w:footnoteRef/>
      </w:r>
      <w:r>
        <w:t xml:space="preserve"> </w:t>
      </w:r>
      <w:r>
        <w:t xml:space="preserve">林前 15:3；罗 4:25。</w:t>
      </w:r>
    </w:p>
  </w:footnote>
  <w:footnote w:id="851">
    <w:p>
      <w:pPr>
        <w:pStyle w:val="FootnoteText"/>
      </w:pPr>
      <w:r>
        <w:rPr>
          <w:rStyle w:val="FootnoteReference"/>
        </w:rPr>
        <w:footnoteRef/>
      </w:r>
      <w:r>
        <w:t xml:space="preserve"> </w:t>
      </w:r>
      <w:r>
        <w:t xml:space="preserve">约一 2:1；来 7:25。</w:t>
      </w:r>
    </w:p>
  </w:footnote>
  <w:footnote w:id="852">
    <w:p>
      <w:pPr>
        <w:pStyle w:val="FootnoteText"/>
      </w:pPr>
      <w:r>
        <w:rPr>
          <w:rStyle w:val="FootnoteReference"/>
        </w:rPr>
        <w:footnoteRef/>
      </w:r>
      <w:r>
        <w:t xml:space="preserve"> </w:t>
      </w:r>
      <w:r>
        <w:t xml:space="preserve">来 9:24。</w:t>
      </w:r>
    </w:p>
  </w:footnote>
  <w:footnote w:id="853">
    <w:p>
      <w:pPr>
        <w:pStyle w:val="FootnoteText"/>
      </w:pPr>
      <w:r>
        <w:rPr>
          <w:rStyle w:val="FootnoteReference"/>
        </w:rPr>
        <w:footnoteRef/>
      </w:r>
      <w:r>
        <w:t xml:space="preserve"> </w:t>
      </w:r>
      <w:r>
        <w:t xml:space="preserve">GS 38；参见罗 15:5；腓 2:5。</w:t>
      </w:r>
    </w:p>
  </w:footnote>
  <w:footnote w:id="854">
    <w:p>
      <w:pPr>
        <w:pStyle w:val="FootnoteText"/>
      </w:pPr>
      <w:r>
        <w:rPr>
          <w:rStyle w:val="FootnoteReference"/>
        </w:rPr>
        <w:footnoteRef/>
      </w:r>
      <w:r>
        <w:t xml:space="preserve"> </w:t>
      </w:r>
      <w:r>
        <w:t xml:space="preserve">约 13:15；路 11:1；太 5:11-12。</w:t>
      </w:r>
    </w:p>
  </w:footnote>
  <w:footnote w:id="855">
    <w:p>
      <w:pPr>
        <w:pStyle w:val="FootnoteText"/>
      </w:pPr>
      <w:r>
        <w:rPr>
          <w:rStyle w:val="FootnoteReference"/>
        </w:rPr>
        <w:footnoteRef/>
      </w:r>
      <w:r>
        <w:t xml:space="preserve"> </w:t>
      </w:r>
      <w:r>
        <w:t xml:space="preserve">GS 22 § 2。</w:t>
      </w:r>
    </w:p>
  </w:footnote>
  <w:footnote w:id="856">
    <w:p>
      <w:pPr>
        <w:pStyle w:val="FootnoteText"/>
      </w:pPr>
      <w:r>
        <w:rPr>
          <w:rStyle w:val="FootnoteReference"/>
        </w:rPr>
        <w:footnoteRef/>
      </w:r>
      <w:r>
        <w:t xml:space="preserve"> </w:t>
      </w:r>
      <w:r>
        <w:t xml:space="preserve">圣若望·犹德，《时辰礼仪》，第三十三周，星期五，诵读。</w:t>
      </w:r>
    </w:p>
  </w:footnote>
  <w:footnote w:id="858">
    <w:p>
      <w:pPr>
        <w:pStyle w:val="FootnoteText"/>
      </w:pPr>
      <w:r>
        <w:rPr>
          <w:rStyle w:val="FootnoteReference"/>
        </w:rPr>
        <w:footnoteRef/>
      </w:r>
      <w:r>
        <w:t xml:space="preserve"> </w:t>
      </w:r>
      <w:r>
        <w:t xml:space="preserve">来 9:15。</w:t>
      </w:r>
    </w:p>
  </w:footnote>
  <w:footnote w:id="859">
    <w:p>
      <w:pPr>
        <w:pStyle w:val="FootnoteText"/>
      </w:pPr>
      <w:r>
        <w:rPr>
          <w:rStyle w:val="FootnoteReference"/>
        </w:rPr>
        <w:footnoteRef/>
      </w:r>
      <w:r>
        <w:t xml:space="preserve"> </w:t>
      </w:r>
      <w:r>
        <w:t xml:space="preserve">徒 13:24；太 3:3。</w:t>
      </w:r>
    </w:p>
  </w:footnote>
  <w:footnote w:id="860">
    <w:p>
      <w:pPr>
        <w:pStyle w:val="FootnoteText"/>
      </w:pPr>
      <w:r>
        <w:rPr>
          <w:rStyle w:val="FootnoteReference"/>
        </w:rPr>
        <w:footnoteRef/>
      </w:r>
      <w:r>
        <w:t xml:space="preserve"> </w:t>
      </w:r>
      <w:r>
        <w:t xml:space="preserve">路 1:76；参见 7:26；太 11:13。</w:t>
      </w:r>
    </w:p>
  </w:footnote>
  <w:footnote w:id="861">
    <w:p>
      <w:pPr>
        <w:pStyle w:val="FootnoteText"/>
      </w:pPr>
      <w:r>
        <w:rPr>
          <w:rStyle w:val="FootnoteReference"/>
        </w:rPr>
        <w:footnoteRef/>
      </w:r>
      <w:r>
        <w:t xml:space="preserve"> </w:t>
      </w:r>
      <w:r>
        <w:t xml:space="preserve">约 1:29；参见徒 1:22；路 1:41；16:16；约 3:29。</w:t>
      </w:r>
    </w:p>
  </w:footnote>
  <w:footnote w:id="862">
    <w:p>
      <w:pPr>
        <w:pStyle w:val="FootnoteText"/>
      </w:pPr>
      <w:r>
        <w:rPr>
          <w:rStyle w:val="FootnoteReference"/>
        </w:rPr>
        <w:footnoteRef/>
      </w:r>
      <w:r>
        <w:t xml:space="preserve"> </w:t>
      </w:r>
      <w:r>
        <w:t xml:space="preserve">路 1:17；参见可 6:17-29。</w:t>
      </w:r>
    </w:p>
  </w:footnote>
  <w:footnote w:id="863">
    <w:p>
      <w:pPr>
        <w:pStyle w:val="FootnoteText"/>
      </w:pPr>
      <w:r>
        <w:rPr>
          <w:rStyle w:val="FootnoteReference"/>
        </w:rPr>
        <w:footnoteRef/>
      </w:r>
      <w:r>
        <w:t xml:space="preserve"> </w:t>
      </w:r>
      <w:r>
        <w:t xml:space="preserve">启 22:17。</w:t>
      </w:r>
    </w:p>
  </w:footnote>
  <w:footnote w:id="864">
    <w:p>
      <w:pPr>
        <w:pStyle w:val="FootnoteText"/>
      </w:pPr>
      <w:r>
        <w:rPr>
          <w:rStyle w:val="FootnoteReference"/>
        </w:rPr>
        <w:footnoteRef/>
      </w:r>
      <w:r>
        <w:t xml:space="preserve"> </w:t>
      </w:r>
      <w:r>
        <w:t xml:space="preserve">约 3:30。</w:t>
      </w:r>
    </w:p>
  </w:footnote>
  <w:footnote w:id="865">
    <w:p>
      <w:pPr>
        <w:pStyle w:val="FootnoteText"/>
      </w:pPr>
      <w:r>
        <w:rPr>
          <w:rStyle w:val="FootnoteReference"/>
        </w:rPr>
        <w:footnoteRef/>
      </w:r>
      <w:r>
        <w:t xml:space="preserve"> </w:t>
      </w:r>
      <w:r>
        <w:t xml:space="preserve">路 2:6-7。</w:t>
      </w:r>
    </w:p>
  </w:footnote>
  <w:footnote w:id="866">
    <w:p>
      <w:pPr>
        <w:pStyle w:val="FootnoteText"/>
      </w:pPr>
      <w:r>
        <w:rPr>
          <w:rStyle w:val="FootnoteReference"/>
        </w:rPr>
        <w:footnoteRef/>
      </w:r>
      <w:r>
        <w:t xml:space="preserve"> </w:t>
      </w:r>
      <w:r>
        <w:t xml:space="preserve">路 2:8-20。</w:t>
      </w:r>
    </w:p>
  </w:footnote>
  <w:footnote w:id="867">
    <w:p>
      <w:pPr>
        <w:pStyle w:val="FootnoteText"/>
      </w:pPr>
      <w:r>
        <w:rPr>
          <w:rStyle w:val="FootnoteReference"/>
        </w:rPr>
        <w:footnoteRef/>
      </w:r>
      <w:r>
        <w:t xml:space="preserve"> </w:t>
      </w:r>
      <w:r>
        <w:t xml:space="preserve">罗曼诺斯诗人，《联系曲》。</w:t>
      </w:r>
    </w:p>
  </w:footnote>
  <w:footnote w:id="868">
    <w:p>
      <w:pPr>
        <w:pStyle w:val="FootnoteText"/>
      </w:pPr>
      <w:r>
        <w:rPr>
          <w:rStyle w:val="FootnoteReference"/>
        </w:rPr>
        <w:footnoteRef/>
      </w:r>
      <w:r>
        <w:t xml:space="preserve"> </w:t>
      </w:r>
      <w:r>
        <w:t xml:space="preserve">太 18:3-4。</w:t>
      </w:r>
    </w:p>
  </w:footnote>
  <w:footnote w:id="869">
    <w:p>
      <w:pPr>
        <w:pStyle w:val="FootnoteText"/>
      </w:pPr>
      <w:r>
        <w:rPr>
          <w:rStyle w:val="FootnoteReference"/>
        </w:rPr>
        <w:footnoteRef/>
      </w:r>
      <w:r>
        <w:t xml:space="preserve"> </w:t>
      </w:r>
      <w:r>
        <w:t xml:space="preserve">约 3:7；1:13；1:12；参见太 23:12。</w:t>
      </w:r>
    </w:p>
  </w:footnote>
  <w:footnote w:id="870">
    <w:p>
      <w:pPr>
        <w:pStyle w:val="FootnoteText"/>
      </w:pPr>
      <w:r>
        <w:rPr>
          <w:rStyle w:val="FootnoteReference"/>
        </w:rPr>
        <w:footnoteRef/>
      </w:r>
      <w:r>
        <w:t xml:space="preserve"> </w:t>
      </w:r>
      <w:r>
        <w:t xml:space="preserve">加 4:19。</w:t>
      </w:r>
    </w:p>
  </w:footnote>
  <w:footnote w:id="871">
    <w:p>
      <w:pPr>
        <w:pStyle w:val="FootnoteText"/>
      </w:pPr>
      <w:r>
        <w:rPr>
          <w:rStyle w:val="FootnoteReference"/>
        </w:rPr>
        <w:footnoteRef/>
      </w:r>
      <w:r>
        <w:t xml:space="preserve"> </w:t>
      </w:r>
      <w:r>
        <w:t xml:space="preserve">《时辰礼仪》，1 月 1 日晚祷一，对经一。</w:t>
      </w:r>
    </w:p>
  </w:footnote>
  <w:footnote w:id="872">
    <w:p>
      <w:pPr>
        <w:pStyle w:val="FootnoteText"/>
      </w:pPr>
      <w:r>
        <w:rPr>
          <w:rStyle w:val="FootnoteReference"/>
        </w:rPr>
        <w:footnoteRef/>
      </w:r>
      <w:r>
        <w:t xml:space="preserve"> </w:t>
      </w:r>
      <w:r>
        <w:t xml:space="preserve">路 2:21。</w:t>
      </w:r>
    </w:p>
  </w:footnote>
  <w:footnote w:id="873">
    <w:p>
      <w:pPr>
        <w:pStyle w:val="FootnoteText"/>
      </w:pPr>
      <w:r>
        <w:rPr>
          <w:rStyle w:val="FootnoteReference"/>
        </w:rPr>
        <w:footnoteRef/>
      </w:r>
      <w:r>
        <w:t xml:space="preserve"> </w:t>
      </w:r>
      <w:r>
        <w:t xml:space="preserve">加 4:4。</w:t>
      </w:r>
    </w:p>
  </w:footnote>
  <w:footnote w:id="874">
    <w:p>
      <w:pPr>
        <w:pStyle w:val="FootnoteText"/>
      </w:pPr>
      <w:r>
        <w:rPr>
          <w:rStyle w:val="FootnoteReference"/>
        </w:rPr>
        <w:footnoteRef/>
      </w:r>
      <w:r>
        <w:t xml:space="preserve"> </w:t>
      </w:r>
      <w:r>
        <w:t xml:space="preserve">西 2:11-13。</w:t>
      </w:r>
    </w:p>
  </w:footnote>
  <w:footnote w:id="875">
    <w:p>
      <w:pPr>
        <w:pStyle w:val="FootnoteText"/>
      </w:pPr>
      <w:r>
        <w:rPr>
          <w:rStyle w:val="FootnoteReference"/>
        </w:rPr>
        <w:footnoteRef/>
      </w:r>
      <w:r>
        <w:t xml:space="preserve"> </w:t>
      </w:r>
      <w:r>
        <w:t xml:space="preserve">太 2:1；参见《时辰礼仪》，主显节，晚祷二，圣母颂对经。</w:t>
      </w:r>
    </w:p>
  </w:footnote>
  <w:footnote w:id="876">
    <w:p>
      <w:pPr>
        <w:pStyle w:val="FootnoteText"/>
      </w:pPr>
      <w:r>
        <w:rPr>
          <w:rStyle w:val="FootnoteReference"/>
        </w:rPr>
        <w:footnoteRef/>
      </w:r>
      <w:r>
        <w:t xml:space="preserve"> </w:t>
      </w:r>
      <w:r>
        <w:t xml:space="preserve">太 2:2；民 24:17-19；启 22:16。</w:t>
      </w:r>
    </w:p>
  </w:footnote>
  <w:footnote w:id="877">
    <w:p>
      <w:pPr>
        <w:pStyle w:val="FootnoteText"/>
      </w:pPr>
      <w:r>
        <w:rPr>
          <w:rStyle w:val="FootnoteReference"/>
        </w:rPr>
        <w:footnoteRef/>
      </w:r>
      <w:r>
        <w:t xml:space="preserve"> </w:t>
      </w:r>
      <w:r>
        <w:t xml:space="preserve">约 4:22；太 2:4-6。</w:t>
      </w:r>
    </w:p>
  </w:footnote>
  <w:footnote w:id="878">
    <w:p>
      <w:pPr>
        <w:pStyle w:val="FootnoteText"/>
      </w:pPr>
      <w:r>
        <w:rPr>
          <w:rStyle w:val="FootnoteReference"/>
        </w:rPr>
        <w:footnoteRef/>
      </w:r>
      <w:r>
        <w:t xml:space="preserve"> </w:t>
      </w:r>
      <w:r>
        <w:t xml:space="preserve">圣大良，《主显节讲道》第三篇，1-3,5：PL 54,242；《时辰礼仪》，主显节，诵读；《罗马弥撒经书》，复活节守夜礼，第 26 号，第三次读经后的祷文。</w:t>
      </w:r>
    </w:p>
  </w:footnote>
  <w:footnote w:id="879">
    <w:p>
      <w:pPr>
        <w:pStyle w:val="FootnoteText"/>
      </w:pPr>
      <w:r>
        <w:rPr>
          <w:rStyle w:val="FootnoteReference"/>
        </w:rPr>
        <w:footnoteRef/>
      </w:r>
      <w:r>
        <w:t xml:space="preserve"> </w:t>
      </w:r>
      <w:r>
        <w:t xml:space="preserve">路 2:22-39；出 13:2，12-13。</w:t>
      </w:r>
    </w:p>
  </w:footnote>
  <w:footnote w:id="880">
    <w:p>
      <w:pPr>
        <w:pStyle w:val="FootnoteText"/>
      </w:pPr>
      <w:r>
        <w:rPr>
          <w:rStyle w:val="FootnoteReference"/>
        </w:rPr>
        <w:footnoteRef/>
      </w:r>
      <w:r>
        <w:t xml:space="preserve"> </w:t>
      </w:r>
      <w:r>
        <w:t xml:space="preserve">太 2:13-18。</w:t>
      </w:r>
    </w:p>
  </w:footnote>
  <w:footnote w:id="881">
    <w:p>
      <w:pPr>
        <w:pStyle w:val="FootnoteText"/>
      </w:pPr>
      <w:r>
        <w:rPr>
          <w:rStyle w:val="FootnoteReference"/>
        </w:rPr>
        <w:footnoteRef/>
      </w:r>
      <w:r>
        <w:t xml:space="preserve"> </w:t>
      </w:r>
      <w:r>
        <w:t xml:space="preserve">约 1:11。</w:t>
      </w:r>
    </w:p>
  </w:footnote>
  <w:footnote w:id="882">
    <w:p>
      <w:pPr>
        <w:pStyle w:val="FootnoteText"/>
      </w:pPr>
      <w:r>
        <w:rPr>
          <w:rStyle w:val="FootnoteReference"/>
        </w:rPr>
        <w:footnoteRef/>
      </w:r>
      <w:r>
        <w:t xml:space="preserve"> </w:t>
      </w:r>
      <w:r>
        <w:t xml:space="preserve">约 15:20。</w:t>
      </w:r>
    </w:p>
  </w:footnote>
  <w:footnote w:id="883">
    <w:p>
      <w:pPr>
        <w:pStyle w:val="FootnoteText"/>
      </w:pPr>
      <w:r>
        <w:rPr>
          <w:rStyle w:val="FootnoteReference"/>
        </w:rPr>
        <w:footnoteRef/>
      </w:r>
      <w:r>
        <w:t xml:space="preserve"> </w:t>
      </w:r>
      <w:r>
        <w:t xml:space="preserve">太 2:15；何 11:1。</w:t>
      </w:r>
    </w:p>
  </w:footnote>
  <w:footnote w:id="884">
    <w:p>
      <w:pPr>
        <w:pStyle w:val="FootnoteText"/>
      </w:pPr>
      <w:r>
        <w:rPr>
          <w:rStyle w:val="FootnoteReference"/>
        </w:rPr>
        <w:footnoteRef/>
      </w:r>
      <w:r>
        <w:t xml:space="preserve"> </w:t>
      </w:r>
      <w:r>
        <w:t xml:space="preserve">加 4:4。</w:t>
      </w:r>
    </w:p>
  </w:footnote>
  <w:footnote w:id="885">
    <w:p>
      <w:pPr>
        <w:pStyle w:val="FootnoteText"/>
      </w:pPr>
      <w:r>
        <w:rPr>
          <w:rStyle w:val="FootnoteReference"/>
        </w:rPr>
        <w:footnoteRef/>
      </w:r>
      <w:r>
        <w:t xml:space="preserve"> </w:t>
      </w:r>
      <w:r>
        <w:t xml:space="preserve">路 2:51-52。</w:t>
      </w:r>
    </w:p>
  </w:footnote>
  <w:footnote w:id="886">
    <w:p>
      <w:pPr>
        <w:pStyle w:val="FootnoteText"/>
      </w:pPr>
      <w:r>
        <w:rPr>
          <w:rStyle w:val="FootnoteReference"/>
        </w:rPr>
        <w:footnoteRef/>
      </w:r>
      <w:r>
        <w:t xml:space="preserve"> </w:t>
      </w:r>
      <w:r>
        <w:t xml:space="preserve">路 22:42。</w:t>
      </w:r>
    </w:p>
  </w:footnote>
  <w:footnote w:id="887">
    <w:p>
      <w:pPr>
        <w:pStyle w:val="FootnoteText"/>
      </w:pPr>
      <w:r>
        <w:rPr>
          <w:rStyle w:val="FootnoteReference"/>
        </w:rPr>
        <w:footnoteRef/>
      </w:r>
      <w:r>
        <w:t xml:space="preserve"> </w:t>
      </w:r>
      <w:r>
        <w:t xml:space="preserve">罗 5:19。</w:t>
      </w:r>
    </w:p>
  </w:footnote>
  <w:footnote w:id="888">
    <w:p>
      <w:pPr>
        <w:pStyle w:val="FootnoteText"/>
      </w:pPr>
      <w:r>
        <w:rPr>
          <w:rStyle w:val="FootnoteReference"/>
        </w:rPr>
        <w:footnoteRef/>
      </w:r>
      <w:r>
        <w:t xml:space="preserve"> </w:t>
      </w:r>
      <w:r>
        <w:t xml:space="preserve">保禄六世 1964 年 1 月 5 日在拿撒勒讲话：《时辰礼仪》，圣家节。</w:t>
      </w:r>
    </w:p>
  </w:footnote>
  <w:footnote w:id="889">
    <w:p>
      <w:pPr>
        <w:pStyle w:val="FootnoteText"/>
      </w:pPr>
      <w:r>
        <w:rPr>
          <w:rStyle w:val="FootnoteReference"/>
        </w:rPr>
        <w:footnoteRef/>
      </w:r>
      <w:r>
        <w:t xml:space="preserve"> </w:t>
      </w:r>
      <w:r>
        <w:t xml:space="preserve">路 2:41-52。</w:t>
      </w:r>
    </w:p>
  </w:footnote>
  <w:footnote w:id="890">
    <w:p>
      <w:pPr>
        <w:pStyle w:val="FootnoteText"/>
      </w:pPr>
      <w:r>
        <w:rPr>
          <w:rStyle w:val="FootnoteReference"/>
        </w:rPr>
        <w:footnoteRef/>
      </w:r>
      <w:r>
        <w:t xml:space="preserve"> </w:t>
      </w:r>
      <w:r>
        <w:t xml:space="preserve">路 2:49。</w:t>
      </w:r>
    </w:p>
  </w:footnote>
  <w:footnote w:id="892">
    <w:p>
      <w:pPr>
        <w:pStyle w:val="FootnoteText"/>
      </w:pPr>
      <w:r>
        <w:rPr>
          <w:rStyle w:val="FootnoteReference"/>
        </w:rPr>
        <w:footnoteRef/>
      </w:r>
      <w:r>
        <w:t xml:space="preserve"> </w:t>
      </w:r>
      <w:r>
        <w:t xml:space="preserve">路 3:23；徒 1:22。</w:t>
      </w:r>
    </w:p>
  </w:footnote>
  <w:footnote w:id="893">
    <w:p>
      <w:pPr>
        <w:pStyle w:val="FootnoteText"/>
      </w:pPr>
      <w:r>
        <w:rPr>
          <w:rStyle w:val="FootnoteReference"/>
        </w:rPr>
        <w:footnoteRef/>
      </w:r>
      <w:r>
        <w:t xml:space="preserve"> </w:t>
      </w:r>
      <w:r>
        <w:t xml:space="preserve">路 3:3。</w:t>
      </w:r>
    </w:p>
  </w:footnote>
  <w:footnote w:id="894">
    <w:p>
      <w:pPr>
        <w:pStyle w:val="FootnoteText"/>
      </w:pPr>
      <w:r>
        <w:rPr>
          <w:rStyle w:val="FootnoteReference"/>
        </w:rPr>
        <w:footnoteRef/>
      </w:r>
      <w:r>
        <w:t xml:space="preserve"> </w:t>
      </w:r>
      <w:r>
        <w:t xml:space="preserve">路 3:10-14；太 3:7；21:32。</w:t>
      </w:r>
    </w:p>
  </w:footnote>
  <w:footnote w:id="895">
    <w:p>
      <w:pPr>
        <w:pStyle w:val="FootnoteText"/>
      </w:pPr>
      <w:r>
        <w:rPr>
          <w:rStyle w:val="FootnoteReference"/>
        </w:rPr>
        <w:footnoteRef/>
      </w:r>
      <w:r>
        <w:t xml:space="preserve"> </w:t>
      </w:r>
      <w:r>
        <w:t xml:space="preserve">太 3:13-17。</w:t>
      </w:r>
    </w:p>
  </w:footnote>
  <w:footnote w:id="896">
    <w:p>
      <w:pPr>
        <w:pStyle w:val="FootnoteText"/>
      </w:pPr>
      <w:r>
        <w:rPr>
          <w:rStyle w:val="FootnoteReference"/>
        </w:rPr>
        <w:footnoteRef/>
      </w:r>
      <w:r>
        <w:t xml:space="preserve"> </w:t>
      </w:r>
      <w:r>
        <w:t xml:space="preserve">约 1:29；参赛 53:12。</w:t>
      </w:r>
    </w:p>
  </w:footnote>
  <w:footnote w:id="897">
    <w:p>
      <w:pPr>
        <w:pStyle w:val="FootnoteText"/>
      </w:pPr>
      <w:r>
        <w:rPr>
          <w:rStyle w:val="FootnoteReference"/>
        </w:rPr>
        <w:footnoteRef/>
      </w:r>
      <w:r>
        <w:t xml:space="preserve"> </w:t>
      </w:r>
      <w:r>
        <w:t xml:space="preserve">可 10:38；路 12:50。</w:t>
      </w:r>
    </w:p>
  </w:footnote>
  <w:footnote w:id="898">
    <w:p>
      <w:pPr>
        <w:pStyle w:val="FootnoteText"/>
      </w:pPr>
      <w:r>
        <w:rPr>
          <w:rStyle w:val="FootnoteReference"/>
        </w:rPr>
        <w:footnoteRef/>
      </w:r>
      <w:r>
        <w:t xml:space="preserve"> </w:t>
      </w:r>
      <w:r>
        <w:t xml:space="preserve">太 3:15；参 26:39。</w:t>
      </w:r>
    </w:p>
  </w:footnote>
  <w:footnote w:id="899">
    <w:p>
      <w:pPr>
        <w:pStyle w:val="FootnoteText"/>
      </w:pPr>
      <w:r>
        <w:rPr>
          <w:rStyle w:val="FootnoteReference"/>
        </w:rPr>
        <w:footnoteRef/>
      </w:r>
      <w:r>
        <w:t xml:space="preserve"> </w:t>
      </w:r>
      <w:r>
        <w:t xml:space="preserve">路 3:22；赛 42:1。</w:t>
      </w:r>
    </w:p>
  </w:footnote>
  <w:footnote w:id="900">
    <w:p>
      <w:pPr>
        <w:pStyle w:val="FootnoteText"/>
      </w:pPr>
      <w:r>
        <w:rPr>
          <w:rStyle w:val="FootnoteReference"/>
        </w:rPr>
        <w:footnoteRef/>
      </w:r>
      <w:r>
        <w:t xml:space="preserve"> </w:t>
      </w:r>
      <w:r>
        <w:t xml:space="preserve">约 1:32-33；参赛 11:2。</w:t>
      </w:r>
    </w:p>
  </w:footnote>
  <w:footnote w:id="901">
    <w:p>
      <w:pPr>
        <w:pStyle w:val="FootnoteText"/>
      </w:pPr>
      <w:r>
        <w:rPr>
          <w:rStyle w:val="FootnoteReference"/>
        </w:rPr>
        <w:footnoteRef/>
      </w:r>
      <w:r>
        <w:t xml:space="preserve"> </w:t>
      </w:r>
      <w:r>
        <w:t xml:space="preserve">太 3:16。</w:t>
      </w:r>
    </w:p>
  </w:footnote>
  <w:footnote w:id="902">
    <w:p>
      <w:pPr>
        <w:pStyle w:val="FootnoteText"/>
      </w:pPr>
      <w:r>
        <w:rPr>
          <w:rStyle w:val="FootnoteReference"/>
        </w:rPr>
        <w:footnoteRef/>
      </w:r>
      <w:r>
        <w:t xml:space="preserve"> </w:t>
      </w:r>
      <w:r>
        <w:t xml:space="preserve">罗 6:4。</w:t>
      </w:r>
    </w:p>
  </w:footnote>
  <w:footnote w:id="903">
    <w:p>
      <w:pPr>
        <w:pStyle w:val="FootnoteText"/>
      </w:pPr>
      <w:r>
        <w:rPr>
          <w:rStyle w:val="FootnoteReference"/>
        </w:rPr>
        <w:footnoteRef/>
      </w:r>
      <w:r>
        <w:t xml:space="preserve"> </w:t>
      </w:r>
      <w:r>
        <w:t xml:space="preserve">圣纳齐安的额我略，《讲道》40 篇第 9 段：PG 36, 369。</w:t>
      </w:r>
    </w:p>
  </w:footnote>
  <w:footnote w:id="904">
    <w:p>
      <w:pPr>
        <w:pStyle w:val="FootnoteText"/>
      </w:pPr>
      <w:r>
        <w:rPr>
          <w:rStyle w:val="FootnoteReference"/>
        </w:rPr>
        <w:footnoteRef/>
      </w:r>
      <w:r>
        <w:t xml:space="preserve"> </w:t>
      </w:r>
      <w:r>
        <w:t xml:space="preserve">圣希拉流，《马太福音注释》2, 5：PL 9, 927。</w:t>
      </w:r>
    </w:p>
  </w:footnote>
  <w:footnote w:id="905">
    <w:p>
      <w:pPr>
        <w:pStyle w:val="FootnoteText"/>
      </w:pPr>
      <w:r>
        <w:rPr>
          <w:rStyle w:val="FootnoteReference"/>
        </w:rPr>
        <w:footnoteRef/>
      </w:r>
      <w:r>
        <w:t xml:space="preserve"> </w:t>
      </w:r>
      <w:r>
        <w:t xml:space="preserve">可 1:12-13。</w:t>
      </w:r>
    </w:p>
  </w:footnote>
  <w:footnote w:id="906">
    <w:p>
      <w:pPr>
        <w:pStyle w:val="FootnoteText"/>
      </w:pPr>
      <w:r>
        <w:rPr>
          <w:rStyle w:val="FootnoteReference"/>
        </w:rPr>
        <w:footnoteRef/>
      </w:r>
      <w:r>
        <w:t xml:space="preserve"> </w:t>
      </w:r>
      <w:r>
        <w:t xml:space="preserve">路 4:13。</w:t>
      </w:r>
    </w:p>
  </w:footnote>
  <w:footnote w:id="907">
    <w:p>
      <w:pPr>
        <w:pStyle w:val="FootnoteText"/>
      </w:pPr>
      <w:r>
        <w:rPr>
          <w:rStyle w:val="FootnoteReference"/>
        </w:rPr>
        <w:footnoteRef/>
      </w:r>
      <w:r>
        <w:t xml:space="preserve"> </w:t>
      </w:r>
      <w:r>
        <w:t xml:space="preserve">诗 95:10；可 3:27</w:t>
      </w:r>
    </w:p>
  </w:footnote>
  <w:footnote w:id="908">
    <w:p>
      <w:pPr>
        <w:pStyle w:val="FootnoteText"/>
      </w:pPr>
      <w:r>
        <w:rPr>
          <w:rStyle w:val="FootnoteReference"/>
        </w:rPr>
        <w:footnoteRef/>
      </w:r>
      <w:r>
        <w:t xml:space="preserve"> </w:t>
      </w:r>
      <w:r>
        <w:t xml:space="preserve">太 16:21-23。</w:t>
      </w:r>
    </w:p>
  </w:footnote>
  <w:footnote w:id="909">
    <w:p>
      <w:pPr>
        <w:pStyle w:val="FootnoteText"/>
      </w:pPr>
      <w:r>
        <w:rPr>
          <w:rStyle w:val="FootnoteReference"/>
        </w:rPr>
        <w:footnoteRef/>
      </w:r>
      <w:r>
        <w:t xml:space="preserve"> </w:t>
      </w:r>
      <w:r>
        <w:t xml:space="preserve">来 4:15。</w:t>
      </w:r>
    </w:p>
  </w:footnote>
  <w:footnote w:id="910">
    <w:p>
      <w:pPr>
        <w:pStyle w:val="FootnoteText"/>
      </w:pPr>
      <w:r>
        <w:rPr>
          <w:rStyle w:val="FootnoteReference"/>
        </w:rPr>
        <w:footnoteRef/>
      </w:r>
      <w:r>
        <w:t xml:space="preserve"> </w:t>
      </w:r>
      <w:r>
        <w:t xml:space="preserve">可 1:14-15。</w:t>
      </w:r>
    </w:p>
  </w:footnote>
  <w:footnote w:id="911">
    <w:p>
      <w:pPr>
        <w:pStyle w:val="FootnoteText"/>
      </w:pPr>
      <w:r>
        <w:rPr>
          <w:rStyle w:val="FootnoteReference"/>
        </w:rPr>
        <w:footnoteRef/>
      </w:r>
      <w:r>
        <w:t xml:space="preserve"> </w:t>
      </w:r>
      <w:r>
        <w:t xml:space="preserve">教会宪章 3。</w:t>
      </w:r>
    </w:p>
  </w:footnote>
  <w:footnote w:id="912">
    <w:p>
      <w:pPr>
        <w:pStyle w:val="FootnoteText"/>
      </w:pPr>
      <w:r>
        <w:rPr>
          <w:rStyle w:val="FootnoteReference"/>
        </w:rPr>
        <w:footnoteRef/>
      </w:r>
      <w:r>
        <w:t xml:space="preserve"> </w:t>
      </w:r>
      <w:r>
        <w:t xml:space="preserve">教会宪章 2。</w:t>
      </w:r>
    </w:p>
  </w:footnote>
  <w:footnote w:id="913">
    <w:p>
      <w:pPr>
        <w:pStyle w:val="FootnoteText"/>
      </w:pPr>
      <w:r>
        <w:rPr>
          <w:rStyle w:val="FootnoteReference"/>
        </w:rPr>
        <w:footnoteRef/>
      </w:r>
      <w:r>
        <w:t xml:space="preserve"> </w:t>
      </w:r>
      <w:r>
        <w:t xml:space="preserve">LG 5。</w:t>
      </w:r>
    </w:p>
  </w:footnote>
  <w:footnote w:id="914">
    <w:p>
      <w:pPr>
        <w:pStyle w:val="FootnoteText"/>
      </w:pPr>
      <w:r>
        <w:rPr>
          <w:rStyle w:val="FootnoteReference"/>
        </w:rPr>
        <w:footnoteRef/>
      </w:r>
      <w:r>
        <w:t xml:space="preserve"> </w:t>
      </w:r>
      <w:r>
        <w:t xml:space="preserve">约 12:32；参 LG 3。</w:t>
      </w:r>
    </w:p>
  </w:footnote>
  <w:footnote w:id="915">
    <w:p>
      <w:pPr>
        <w:pStyle w:val="FootnoteText"/>
      </w:pPr>
      <w:r>
        <w:rPr>
          <w:rStyle w:val="FootnoteReference"/>
        </w:rPr>
        <w:footnoteRef/>
      </w:r>
      <w:r>
        <w:t xml:space="preserve"> </w:t>
      </w:r>
      <w:r>
        <w:t xml:space="preserve">太 8:11；10:5-7；28:19。</w:t>
      </w:r>
    </w:p>
  </w:footnote>
  <w:footnote w:id="916">
    <w:p>
      <w:pPr>
        <w:pStyle w:val="FootnoteText"/>
      </w:pPr>
      <w:r>
        <w:rPr>
          <w:rStyle w:val="FootnoteReference"/>
        </w:rPr>
        <w:footnoteRef/>
      </w:r>
      <w:r>
        <w:t xml:space="preserve"> </w:t>
      </w:r>
      <w:r>
        <w:t xml:space="preserve">教会宪章 5；参可 4:14，26-29；路 12:32。</w:t>
      </w:r>
    </w:p>
  </w:footnote>
  <w:footnote w:id="917">
    <w:p>
      <w:pPr>
        <w:pStyle w:val="FootnoteText"/>
      </w:pPr>
      <w:r>
        <w:rPr>
          <w:rStyle w:val="FootnoteReference"/>
        </w:rPr>
        <w:footnoteRef/>
      </w:r>
      <w:r>
        <w:t xml:space="preserve"> </w:t>
      </w:r>
      <w:r>
        <w:t xml:space="preserve">路 4:18；参 7:22。</w:t>
      </w:r>
    </w:p>
  </w:footnote>
  <w:footnote w:id="918">
    <w:p>
      <w:pPr>
        <w:pStyle w:val="FootnoteText"/>
      </w:pPr>
      <w:r>
        <w:rPr>
          <w:rStyle w:val="FootnoteReference"/>
        </w:rPr>
        <w:footnoteRef/>
      </w:r>
      <w:r>
        <w:t xml:space="preserve"> </w:t>
      </w:r>
      <w:r>
        <w:t xml:space="preserve">太 5:3。</w:t>
      </w:r>
    </w:p>
  </w:footnote>
  <w:footnote w:id="919">
    <w:p>
      <w:pPr>
        <w:pStyle w:val="FootnoteText"/>
      </w:pPr>
      <w:r>
        <w:rPr>
          <w:rStyle w:val="FootnoteReference"/>
        </w:rPr>
        <w:footnoteRef/>
      </w:r>
      <w:r>
        <w:t xml:space="preserve"> </w:t>
      </w:r>
      <w:r>
        <w:t xml:space="preserve">太 11:25。</w:t>
      </w:r>
    </w:p>
  </w:footnote>
  <w:footnote w:id="920">
    <w:p>
      <w:pPr>
        <w:pStyle w:val="FootnoteText"/>
      </w:pPr>
      <w:r>
        <w:rPr>
          <w:rStyle w:val="FootnoteReference"/>
        </w:rPr>
        <w:footnoteRef/>
      </w:r>
      <w:r>
        <w:t xml:space="preserve"> </w:t>
      </w:r>
      <w:r>
        <w:t xml:space="preserve">太 21:18；可 2:23-26；约 4:6-7；19:28；路 9:58。</w:t>
      </w:r>
    </w:p>
  </w:footnote>
  <w:footnote w:id="921">
    <w:p>
      <w:pPr>
        <w:pStyle w:val="FootnoteText"/>
      </w:pPr>
      <w:r>
        <w:rPr>
          <w:rStyle w:val="FootnoteReference"/>
        </w:rPr>
        <w:footnoteRef/>
      </w:r>
      <w:r>
        <w:t xml:space="preserve"> </w:t>
      </w:r>
      <w:r>
        <w:t xml:space="preserve">太 25:31-46。</w:t>
      </w:r>
    </w:p>
  </w:footnote>
  <w:footnote w:id="922">
    <w:p>
      <w:pPr>
        <w:pStyle w:val="FootnoteText"/>
      </w:pPr>
      <w:r>
        <w:rPr>
          <w:rStyle w:val="FootnoteReference"/>
        </w:rPr>
        <w:footnoteRef/>
      </w:r>
      <w:r>
        <w:t xml:space="preserve"> </w:t>
      </w:r>
      <w:r>
        <w:t xml:space="preserve">可 2:17；参提前 1:15。</w:t>
      </w:r>
    </w:p>
  </w:footnote>
  <w:footnote w:id="923">
    <w:p>
      <w:pPr>
        <w:pStyle w:val="FootnoteText"/>
      </w:pPr>
      <w:r>
        <w:rPr>
          <w:rStyle w:val="FootnoteReference"/>
        </w:rPr>
        <w:footnoteRef/>
      </w:r>
      <w:r>
        <w:t xml:space="preserve"> </w:t>
      </w:r>
      <w:r>
        <w:t xml:space="preserve">路 15:7；参 7:11-32。</w:t>
      </w:r>
    </w:p>
  </w:footnote>
  <w:footnote w:id="924">
    <w:p>
      <w:pPr>
        <w:pStyle w:val="FootnoteText"/>
      </w:pPr>
      <w:r>
        <w:rPr>
          <w:rStyle w:val="FootnoteReference"/>
        </w:rPr>
        <w:footnoteRef/>
      </w:r>
      <w:r>
        <w:t xml:space="preserve"> </w:t>
      </w:r>
      <w:r>
        <w:t xml:space="preserve">太 26:28。</w:t>
      </w:r>
    </w:p>
  </w:footnote>
  <w:footnote w:id="925">
    <w:p>
      <w:pPr>
        <w:pStyle w:val="FootnoteText"/>
      </w:pPr>
      <w:r>
        <w:rPr>
          <w:rStyle w:val="FootnoteReference"/>
        </w:rPr>
        <w:footnoteRef/>
      </w:r>
      <w:r>
        <w:t xml:space="preserve"> </w:t>
      </w:r>
      <w:r>
        <w:t xml:space="preserve">可 4:33-34。</w:t>
      </w:r>
    </w:p>
  </w:footnote>
  <w:footnote w:id="926">
    <w:p>
      <w:pPr>
        <w:pStyle w:val="FootnoteText"/>
      </w:pPr>
      <w:r>
        <w:rPr>
          <w:rStyle w:val="FootnoteReference"/>
        </w:rPr>
        <w:footnoteRef/>
      </w:r>
      <w:r>
        <w:t xml:space="preserve"> </w:t>
      </w:r>
      <w:r>
        <w:t xml:space="preserve">太 13:44-45；22:1-14。</w:t>
      </w:r>
    </w:p>
  </w:footnote>
  <w:footnote w:id="927">
    <w:p>
      <w:pPr>
        <w:pStyle w:val="FootnoteText"/>
      </w:pPr>
      <w:r>
        <w:rPr>
          <w:rStyle w:val="FootnoteReference"/>
        </w:rPr>
        <w:footnoteRef/>
      </w:r>
      <w:r>
        <w:t xml:space="preserve"> </w:t>
      </w:r>
      <w:r>
        <w:t xml:space="preserve">太 21:28-32。</w:t>
      </w:r>
    </w:p>
  </w:footnote>
  <w:footnote w:id="928">
    <w:p>
      <w:pPr>
        <w:pStyle w:val="FootnoteText"/>
      </w:pPr>
      <w:r>
        <w:rPr>
          <w:rStyle w:val="FootnoteReference"/>
        </w:rPr>
        <w:footnoteRef/>
      </w:r>
      <w:r>
        <w:t xml:space="preserve"> </w:t>
      </w:r>
      <w:r>
        <w:t xml:space="preserve">太 13:3-9。</w:t>
      </w:r>
    </w:p>
  </w:footnote>
  <w:footnote w:id="929">
    <w:p>
      <w:pPr>
        <w:pStyle w:val="FootnoteText"/>
      </w:pPr>
      <w:r>
        <w:rPr>
          <w:rStyle w:val="FootnoteReference"/>
        </w:rPr>
        <w:footnoteRef/>
      </w:r>
      <w:r>
        <w:t xml:space="preserve"> </w:t>
      </w:r>
      <w:r>
        <w:t xml:space="preserve">太 25:14-30。</w:t>
      </w:r>
    </w:p>
  </w:footnote>
  <w:footnote w:id="930">
    <w:p>
      <w:pPr>
        <w:pStyle w:val="FootnoteText"/>
      </w:pPr>
      <w:r>
        <w:rPr>
          <w:rStyle w:val="FootnoteReference"/>
        </w:rPr>
        <w:footnoteRef/>
      </w:r>
      <w:r>
        <w:t xml:space="preserve"> </w:t>
      </w:r>
      <w:r>
        <w:t xml:space="preserve">太 13:11。</w:t>
      </w:r>
    </w:p>
  </w:footnote>
  <w:footnote w:id="931">
    <w:p>
      <w:pPr>
        <w:pStyle w:val="FootnoteText"/>
      </w:pPr>
      <w:r>
        <w:rPr>
          <w:rStyle w:val="FootnoteReference"/>
        </w:rPr>
        <w:footnoteRef/>
      </w:r>
      <w:r>
        <w:t xml:space="preserve"> </w:t>
      </w:r>
      <w:r>
        <w:t xml:space="preserve">可 4:11；参太 13:10-15。</w:t>
      </w:r>
    </w:p>
  </w:footnote>
  <w:footnote w:id="932">
    <w:p>
      <w:pPr>
        <w:pStyle w:val="FootnoteText"/>
      </w:pPr>
      <w:r>
        <w:rPr>
          <w:rStyle w:val="FootnoteReference"/>
        </w:rPr>
        <w:footnoteRef/>
      </w:r>
      <w:r>
        <w:t xml:space="preserve"> </w:t>
      </w:r>
      <w:r>
        <w:t xml:space="preserve">徒 2:22；参路 7:18-23。</w:t>
      </w:r>
    </w:p>
  </w:footnote>
  <w:footnote w:id="933">
    <w:p>
      <w:pPr>
        <w:pStyle w:val="FootnoteText"/>
      </w:pPr>
      <w:r>
        <w:rPr>
          <w:rStyle w:val="FootnoteReference"/>
        </w:rPr>
        <w:footnoteRef/>
      </w:r>
      <w:r>
        <w:t xml:space="preserve"> </w:t>
      </w:r>
      <w:r>
        <w:t xml:space="preserve">约 5:36；10:25，38。</w:t>
      </w:r>
    </w:p>
  </w:footnote>
  <w:footnote w:id="934">
    <w:p>
      <w:pPr>
        <w:pStyle w:val="FootnoteText"/>
      </w:pPr>
      <w:r>
        <w:rPr>
          <w:rStyle w:val="FootnoteReference"/>
        </w:rPr>
        <w:footnoteRef/>
      </w:r>
      <w:r>
        <w:t xml:space="preserve"> </w:t>
      </w:r>
      <w:r>
        <w:t xml:space="preserve">可 5:25-34；10:52 等。</w:t>
      </w:r>
    </w:p>
  </w:footnote>
  <w:footnote w:id="935">
    <w:p>
      <w:pPr>
        <w:pStyle w:val="FootnoteText"/>
      </w:pPr>
      <w:r>
        <w:rPr>
          <w:rStyle w:val="FootnoteReference"/>
        </w:rPr>
        <w:footnoteRef/>
      </w:r>
      <w:r>
        <w:t xml:space="preserve"> </w:t>
      </w:r>
      <w:r>
        <w:t xml:space="preserve">约 10:31-38。</w:t>
      </w:r>
    </w:p>
  </w:footnote>
  <w:footnote w:id="936">
    <w:p>
      <w:pPr>
        <w:pStyle w:val="FootnoteText"/>
      </w:pPr>
      <w:r>
        <w:rPr>
          <w:rStyle w:val="FootnoteReference"/>
        </w:rPr>
        <w:footnoteRef/>
      </w:r>
      <w:r>
        <w:t xml:space="preserve"> </w:t>
      </w:r>
      <w:r>
        <w:t xml:space="preserve">太 11:6。</w:t>
      </w:r>
    </w:p>
  </w:footnote>
  <w:footnote w:id="937">
    <w:p>
      <w:pPr>
        <w:pStyle w:val="FootnoteText"/>
      </w:pPr>
      <w:r>
        <w:rPr>
          <w:rStyle w:val="FootnoteReference"/>
        </w:rPr>
        <w:footnoteRef/>
      </w:r>
      <w:r>
        <w:t xml:space="preserve"> </w:t>
      </w:r>
      <w:r>
        <w:t xml:space="preserve">约 11:47-48；可 3:22。</w:t>
      </w:r>
    </w:p>
  </w:footnote>
  <w:footnote w:id="938">
    <w:p>
      <w:pPr>
        <w:pStyle w:val="FootnoteText"/>
      </w:pPr>
      <w:r>
        <w:rPr>
          <w:rStyle w:val="FootnoteReference"/>
        </w:rPr>
        <w:footnoteRef/>
      </w:r>
      <w:r>
        <w:t xml:space="preserve"> </w:t>
      </w:r>
      <w:r>
        <w:t xml:space="preserve">约 6:5-15；路 19:8；太 11:5。</w:t>
      </w:r>
    </w:p>
  </w:footnote>
  <w:footnote w:id="939">
    <w:p>
      <w:pPr>
        <w:pStyle w:val="FootnoteText"/>
      </w:pPr>
      <w:r>
        <w:rPr>
          <w:rStyle w:val="FootnoteReference"/>
        </w:rPr>
        <w:footnoteRef/>
      </w:r>
      <w:r>
        <w:t xml:space="preserve"> </w:t>
      </w:r>
      <w:r>
        <w:t xml:space="preserve">路 12:13-14；约 18:36。</w:t>
      </w:r>
    </w:p>
  </w:footnote>
  <w:footnote w:id="940">
    <w:p>
      <w:pPr>
        <w:pStyle w:val="FootnoteText"/>
      </w:pPr>
      <w:r>
        <w:rPr>
          <w:rStyle w:val="FootnoteReference"/>
        </w:rPr>
        <w:footnoteRef/>
      </w:r>
      <w:r>
        <w:t xml:space="preserve"> </w:t>
      </w:r>
      <w:r>
        <w:t xml:space="preserve">约 8:34-36。</w:t>
      </w:r>
    </w:p>
  </w:footnote>
  <w:footnote w:id="941">
    <w:p>
      <w:pPr>
        <w:pStyle w:val="FootnoteText"/>
      </w:pPr>
      <w:r>
        <w:rPr>
          <w:rStyle w:val="FootnoteReference"/>
        </w:rPr>
        <w:footnoteRef/>
      </w:r>
      <w:r>
        <w:t xml:space="preserve"> </w:t>
      </w:r>
      <w:r>
        <w:t xml:space="preserve">太 12:26,28。</w:t>
      </w:r>
    </w:p>
  </w:footnote>
  <w:footnote w:id="942">
    <w:p>
      <w:pPr>
        <w:pStyle w:val="FootnoteText"/>
      </w:pPr>
      <w:r>
        <w:rPr>
          <w:rStyle w:val="FootnoteReference"/>
        </w:rPr>
        <w:footnoteRef/>
      </w:r>
      <w:r>
        <w:t xml:space="preserve"> </w:t>
      </w:r>
      <w:r>
        <w:t xml:space="preserve">约 12:31；参路 8:26-39。</w:t>
      </w:r>
    </w:p>
  </w:footnote>
  <w:footnote w:id="943">
    <w:p>
      <w:pPr>
        <w:pStyle w:val="FootnoteText"/>
      </w:pPr>
      <w:r>
        <w:rPr>
          <w:rStyle w:val="FootnoteReference"/>
        </w:rPr>
        <w:footnoteRef/>
      </w:r>
      <w:r>
        <w:t xml:space="preserve"> </w:t>
      </w:r>
      <w:r>
        <w:t xml:space="preserve">《时辰礼仪》，四旬期，圣周，晚祷，《王旗展开》：Regnavit a ligno Deus。</w:t>
      </w:r>
    </w:p>
  </w:footnote>
  <w:footnote w:id="944">
    <w:p>
      <w:pPr>
        <w:pStyle w:val="FootnoteText"/>
      </w:pPr>
      <w:r>
        <w:rPr>
          <w:rStyle w:val="FootnoteReference"/>
        </w:rPr>
        <w:footnoteRef/>
      </w:r>
      <w:r>
        <w:t xml:space="preserve"> </w:t>
      </w:r>
      <w:r>
        <w:t xml:space="preserve">可 3:13-19。</w:t>
      </w:r>
    </w:p>
  </w:footnote>
  <w:footnote w:id="945">
    <w:p>
      <w:pPr>
        <w:pStyle w:val="FootnoteText"/>
      </w:pPr>
      <w:r>
        <w:rPr>
          <w:rStyle w:val="FootnoteReference"/>
        </w:rPr>
        <w:footnoteRef/>
      </w:r>
      <w:r>
        <w:t xml:space="preserve"> </w:t>
      </w:r>
      <w:r>
        <w:t xml:space="preserve">路 9:2。</w:t>
      </w:r>
    </w:p>
  </w:footnote>
  <w:footnote w:id="946">
    <w:p>
      <w:pPr>
        <w:pStyle w:val="FootnoteText"/>
      </w:pPr>
      <w:r>
        <w:rPr>
          <w:rStyle w:val="FootnoteReference"/>
        </w:rPr>
        <w:footnoteRef/>
      </w:r>
      <w:r>
        <w:t xml:space="preserve"> </w:t>
      </w:r>
      <w:r>
        <w:t xml:space="preserve">路 22:29-30。</w:t>
      </w:r>
    </w:p>
  </w:footnote>
  <w:footnote w:id="947">
    <w:p>
      <w:pPr>
        <w:pStyle w:val="FootnoteText"/>
      </w:pPr>
      <w:r>
        <w:rPr>
          <w:rStyle w:val="FootnoteReference"/>
        </w:rPr>
        <w:footnoteRef/>
      </w:r>
      <w:r>
        <w:t xml:space="preserve"> </w:t>
      </w:r>
      <w:r>
        <w:t xml:space="preserve">可 3:16；9:2；路 24:34；林前 15:5。</w:t>
      </w:r>
    </w:p>
  </w:footnote>
  <w:footnote w:id="948">
    <w:p>
      <w:pPr>
        <w:pStyle w:val="FootnoteText"/>
      </w:pPr>
      <w:r>
        <w:rPr>
          <w:rStyle w:val="FootnoteReference"/>
        </w:rPr>
        <w:footnoteRef/>
      </w:r>
      <w:r>
        <w:t xml:space="preserve"> </w:t>
      </w:r>
      <w:r>
        <w:t xml:space="preserve">太 16:18。</w:t>
      </w:r>
    </w:p>
  </w:footnote>
  <w:footnote w:id="949">
    <w:p>
      <w:pPr>
        <w:pStyle w:val="FootnoteText"/>
      </w:pPr>
      <w:r>
        <w:rPr>
          <w:rStyle w:val="FootnoteReference"/>
        </w:rPr>
        <w:footnoteRef/>
      </w:r>
      <w:r>
        <w:t xml:space="preserve"> </w:t>
      </w:r>
      <w:r>
        <w:t xml:space="preserve">彼前 2:4。</w:t>
      </w:r>
    </w:p>
  </w:footnote>
  <w:footnote w:id="950">
    <w:p>
      <w:pPr>
        <w:pStyle w:val="FootnoteText"/>
      </w:pPr>
      <w:r>
        <w:rPr>
          <w:rStyle w:val="FootnoteReference"/>
        </w:rPr>
        <w:footnoteRef/>
      </w:r>
      <w:r>
        <w:t xml:space="preserve"> </w:t>
      </w:r>
      <w:r>
        <w:t xml:space="preserve">路 22:32。</w:t>
      </w:r>
    </w:p>
  </w:footnote>
  <w:footnote w:id="951">
    <w:p>
      <w:pPr>
        <w:pStyle w:val="FootnoteText"/>
      </w:pPr>
      <w:r>
        <w:rPr>
          <w:rStyle w:val="FootnoteReference"/>
        </w:rPr>
        <w:footnoteRef/>
      </w:r>
      <w:r>
        <w:t xml:space="preserve"> </w:t>
      </w:r>
      <w:r>
        <w:t xml:space="preserve">太 16:19。</w:t>
      </w:r>
    </w:p>
  </w:footnote>
  <w:footnote w:id="952">
    <w:p>
      <w:pPr>
        <w:pStyle w:val="FootnoteText"/>
      </w:pPr>
      <w:r>
        <w:rPr>
          <w:rStyle w:val="FootnoteReference"/>
        </w:rPr>
        <w:footnoteRef/>
      </w:r>
      <w:r>
        <w:t xml:space="preserve"> </w:t>
      </w:r>
      <w:r>
        <w:t xml:space="preserve">约 21:15-17；参 10:11。</w:t>
      </w:r>
    </w:p>
  </w:footnote>
  <w:footnote w:id="953">
    <w:p>
      <w:pPr>
        <w:pStyle w:val="FootnoteText"/>
      </w:pPr>
      <w:r>
        <w:rPr>
          <w:rStyle w:val="FootnoteReference"/>
        </w:rPr>
        <w:footnoteRef/>
      </w:r>
      <w:r>
        <w:t xml:space="preserve"> </w:t>
      </w:r>
      <w:r>
        <w:t xml:space="preserve">太 18:18。</w:t>
      </w:r>
    </w:p>
  </w:footnote>
  <w:footnote w:id="954">
    <w:p>
      <w:pPr>
        <w:pStyle w:val="FootnoteText"/>
      </w:pPr>
      <w:r>
        <w:rPr>
          <w:rStyle w:val="FootnoteReference"/>
        </w:rPr>
        <w:footnoteRef/>
      </w:r>
      <w:r>
        <w:t xml:space="preserve"> </w:t>
      </w:r>
      <w:r>
        <w:t xml:space="preserve">太 16:21。</w:t>
      </w:r>
    </w:p>
  </w:footnote>
  <w:footnote w:id="955">
    <w:p>
      <w:pPr>
        <w:pStyle w:val="FootnoteText"/>
      </w:pPr>
      <w:r>
        <w:rPr>
          <w:rStyle w:val="FootnoteReference"/>
        </w:rPr>
        <w:footnoteRef/>
      </w:r>
      <w:r>
        <w:t xml:space="preserve"> </w:t>
      </w:r>
      <w:r>
        <w:t xml:space="preserve">太 16:22-23；太 17:23；路 9:45。</w:t>
      </w:r>
    </w:p>
  </w:footnote>
  <w:footnote w:id="956">
    <w:p>
      <w:pPr>
        <w:pStyle w:val="FootnoteText"/>
      </w:pPr>
      <w:r>
        <w:rPr>
          <w:rStyle w:val="FootnoteReference"/>
        </w:rPr>
        <w:footnoteRef/>
      </w:r>
      <w:r>
        <w:t xml:space="preserve"> </w:t>
      </w:r>
      <w:r>
        <w:t xml:space="preserve">太 17:1-8 及平行经文；彼后 1:16-18。</w:t>
      </w:r>
    </w:p>
  </w:footnote>
  <w:footnote w:id="957">
    <w:p>
      <w:pPr>
        <w:pStyle w:val="FootnoteText"/>
      </w:pPr>
      <w:r>
        <w:rPr>
          <w:rStyle w:val="FootnoteReference"/>
        </w:rPr>
        <w:footnoteRef/>
      </w:r>
      <w:r>
        <w:t xml:space="preserve"> </w:t>
      </w:r>
      <w:r>
        <w:t xml:space="preserve">路 9:31。</w:t>
      </w:r>
    </w:p>
  </w:footnote>
  <w:footnote w:id="958">
    <w:p>
      <w:pPr>
        <w:pStyle w:val="FootnoteText"/>
      </w:pPr>
      <w:r>
        <w:rPr>
          <w:rStyle w:val="FootnoteReference"/>
        </w:rPr>
        <w:footnoteRef/>
      </w:r>
      <w:r>
        <w:t xml:space="preserve"> </w:t>
      </w:r>
      <w:r>
        <w:t xml:space="preserve">路 9:35。</w:t>
      </w:r>
    </w:p>
  </w:footnote>
  <w:footnote w:id="959">
    <w:p>
      <w:pPr>
        <w:pStyle w:val="FootnoteText"/>
      </w:pPr>
      <w:r>
        <w:rPr>
          <w:rStyle w:val="FootnoteReference"/>
        </w:rPr>
        <w:footnoteRef/>
      </w:r>
      <w:r>
        <w:t xml:space="preserve"> </w:t>
      </w:r>
      <w:r>
        <w:t xml:space="preserve">路 24:26。</w:t>
      </w:r>
    </w:p>
  </w:footnote>
  <w:footnote w:id="960">
    <w:p>
      <w:pPr>
        <w:pStyle w:val="FootnoteText"/>
      </w:pPr>
      <w:r>
        <w:rPr>
          <w:rStyle w:val="FootnoteReference"/>
        </w:rPr>
        <w:footnoteRef/>
      </w:r>
      <w:r>
        <w:t xml:space="preserve"> </w:t>
      </w:r>
      <w:r>
        <w:t xml:space="preserve">路 24:27。</w:t>
      </w:r>
    </w:p>
  </w:footnote>
  <w:footnote w:id="961">
    <w:p>
      <w:pPr>
        <w:pStyle w:val="FootnoteText"/>
      </w:pPr>
      <w:r>
        <w:rPr>
          <w:rStyle w:val="FootnoteReference"/>
        </w:rPr>
        <w:footnoteRef/>
      </w:r>
      <w:r>
        <w:t xml:space="preserve"> </w:t>
      </w:r>
      <w:r>
        <w:t xml:space="preserve">赛 42:1。</w:t>
      </w:r>
    </w:p>
  </w:footnote>
  <w:footnote w:id="962">
    <w:p>
      <w:pPr>
        <w:pStyle w:val="FootnoteText"/>
      </w:pPr>
      <w:r>
        <w:rPr>
          <w:rStyle w:val="FootnoteReference"/>
        </w:rPr>
        <w:footnoteRef/>
      </w:r>
      <w:r>
        <w:t xml:space="preserve"> </w:t>
      </w:r>
      <w:r>
        <w:t xml:space="preserve">圣托马斯·阿奎那，《神学大全》III，45，4，答 2。</w:t>
      </w:r>
    </w:p>
  </w:footnote>
  <w:footnote w:id="963">
    <w:p>
      <w:pPr>
        <w:pStyle w:val="FootnoteText"/>
      </w:pPr>
      <w:r>
        <w:rPr>
          <w:rStyle w:val="FootnoteReference"/>
        </w:rPr>
        <w:footnoteRef/>
      </w:r>
      <w:r>
        <w:t xml:space="preserve"> </w:t>
      </w:r>
      <w:r>
        <w:t xml:space="preserve">拜占庭礼仪，主显节，集祷文。</w:t>
      </w:r>
    </w:p>
  </w:footnote>
  <w:footnote w:id="964">
    <w:p>
      <w:pPr>
        <w:pStyle w:val="FootnoteText"/>
      </w:pPr>
      <w:r>
        <w:rPr>
          <w:rStyle w:val="FootnoteReference"/>
        </w:rPr>
        <w:footnoteRef/>
      </w:r>
      <w:r>
        <w:t xml:space="preserve"> </w:t>
      </w:r>
      <w:r>
        <w:t xml:space="preserve">圣托马斯·阿奎那，《神学大全》III，45，4，答 2。</w:t>
      </w:r>
    </w:p>
  </w:footnote>
  <w:footnote w:id="965">
    <w:p>
      <w:pPr>
        <w:pStyle w:val="FootnoteText"/>
      </w:pPr>
      <w:r>
        <w:rPr>
          <w:rStyle w:val="FootnoteReference"/>
        </w:rPr>
        <w:footnoteRef/>
      </w:r>
      <w:r>
        <w:t xml:space="preserve"> </w:t>
      </w:r>
      <w:r>
        <w:t xml:space="preserve">腓 3:21。</w:t>
      </w:r>
    </w:p>
  </w:footnote>
  <w:footnote w:id="966">
    <w:p>
      <w:pPr>
        <w:pStyle w:val="FootnoteText"/>
      </w:pPr>
      <w:r>
        <w:rPr>
          <w:rStyle w:val="FootnoteReference"/>
        </w:rPr>
        <w:footnoteRef/>
      </w:r>
      <w:r>
        <w:t xml:space="preserve"> </w:t>
      </w:r>
      <w:r>
        <w:t xml:space="preserve">徒 14:22。</w:t>
      </w:r>
    </w:p>
  </w:footnote>
  <w:footnote w:id="967">
    <w:p>
      <w:pPr>
        <w:pStyle w:val="FootnoteText"/>
      </w:pPr>
      <w:r>
        <w:rPr>
          <w:rStyle w:val="FootnoteReference"/>
        </w:rPr>
        <w:footnoteRef/>
      </w:r>
      <w:r>
        <w:t xml:space="preserve"> </w:t>
      </w:r>
      <w:r>
        <w:t xml:space="preserve">圣奥古斯丁，讲道 78，6：PL 38，492-493；参路 9:33。</w:t>
      </w:r>
    </w:p>
  </w:footnote>
  <w:footnote w:id="968">
    <w:p>
      <w:pPr>
        <w:pStyle w:val="FootnoteText"/>
      </w:pPr>
      <w:r>
        <w:rPr>
          <w:rStyle w:val="FootnoteReference"/>
        </w:rPr>
        <w:footnoteRef/>
      </w:r>
      <w:r>
        <w:t xml:space="preserve"> </w:t>
      </w:r>
      <w:r>
        <w:t xml:space="preserve">路 9:51；参约 13:1。</w:t>
      </w:r>
    </w:p>
  </w:footnote>
  <w:footnote w:id="969">
    <w:p>
      <w:pPr>
        <w:pStyle w:val="FootnoteText"/>
      </w:pPr>
      <w:r>
        <w:rPr>
          <w:rStyle w:val="FootnoteReference"/>
        </w:rPr>
        <w:footnoteRef/>
      </w:r>
      <w:r>
        <w:t xml:space="preserve"> </w:t>
      </w:r>
      <w:r>
        <w:t xml:space="preserve">路 13:33；参可 8:31-33；9:31-32；10:32-34。</w:t>
      </w:r>
    </w:p>
  </w:footnote>
  <w:footnote w:id="970">
    <w:p>
      <w:pPr>
        <w:pStyle w:val="FootnoteText"/>
      </w:pPr>
      <w:r>
        <w:rPr>
          <w:rStyle w:val="FootnoteReference"/>
        </w:rPr>
        <w:footnoteRef/>
      </w:r>
      <w:r>
        <w:t xml:space="preserve"> </w:t>
      </w:r>
      <w:r>
        <w:t xml:space="preserve">太 23:37。</w:t>
      </w:r>
    </w:p>
  </w:footnote>
  <w:footnote w:id="971">
    <w:p>
      <w:pPr>
        <w:pStyle w:val="FootnoteText"/>
      </w:pPr>
      <w:r>
        <w:rPr>
          <w:rStyle w:val="FootnoteReference"/>
        </w:rPr>
        <w:footnoteRef/>
      </w:r>
      <w:r>
        <w:t xml:space="preserve"> </w:t>
      </w:r>
      <w:r>
        <w:t xml:space="preserve">路 19:41-42。</w:t>
      </w:r>
    </w:p>
  </w:footnote>
  <w:footnote w:id="972">
    <w:p>
      <w:pPr>
        <w:pStyle w:val="FootnoteText"/>
      </w:pPr>
      <w:r>
        <w:rPr>
          <w:rStyle w:val="FootnoteReference"/>
        </w:rPr>
        <w:footnoteRef/>
      </w:r>
      <w:r>
        <w:t xml:space="preserve"> </w:t>
      </w:r>
      <w:r>
        <w:t xml:space="preserve">路 1:32；参太 21:1-11；约 6:15。</w:t>
      </w:r>
    </w:p>
  </w:footnote>
  <w:footnote w:id="973">
    <w:p>
      <w:pPr>
        <w:pStyle w:val="FootnoteText"/>
      </w:pPr>
      <w:r>
        <w:rPr>
          <w:rStyle w:val="FootnoteReference"/>
        </w:rPr>
        <w:footnoteRef/>
      </w:r>
      <w:r>
        <w:t xml:space="preserve"> </w:t>
      </w:r>
      <w:r>
        <w:t xml:space="preserve">诗 24:7-10；亚 9:9。</w:t>
      </w:r>
    </w:p>
  </w:footnote>
  <w:footnote w:id="974">
    <w:p>
      <w:pPr>
        <w:pStyle w:val="FootnoteText"/>
      </w:pPr>
      <w:r>
        <w:rPr>
          <w:rStyle w:val="FootnoteReference"/>
        </w:rPr>
        <w:footnoteRef/>
      </w:r>
      <w:r>
        <w:t xml:space="preserve"> </w:t>
      </w:r>
      <w:r>
        <w:t xml:space="preserve">约 18:37。</w:t>
      </w:r>
    </w:p>
  </w:footnote>
  <w:footnote w:id="975">
    <w:p>
      <w:pPr>
        <w:pStyle w:val="FootnoteText"/>
      </w:pPr>
      <w:r>
        <w:rPr>
          <w:rStyle w:val="FootnoteReference"/>
        </w:rPr>
        <w:footnoteRef/>
      </w:r>
      <w:r>
        <w:t xml:space="preserve"> </w:t>
      </w:r>
      <w:r>
        <w:t xml:space="preserve">太 21:15-16；参诗 8:3；路 19:38；2:14。</w:t>
      </w:r>
    </w:p>
  </w:footnote>
  <w:footnote w:id="976">
    <w:p>
      <w:pPr>
        <w:pStyle w:val="FootnoteText"/>
      </w:pPr>
      <w:r>
        <w:rPr>
          <w:rStyle w:val="FootnoteReference"/>
        </w:rPr>
        <w:footnoteRef/>
      </w:r>
      <w:r>
        <w:t xml:space="preserve"> </w:t>
      </w:r>
      <w:r>
        <w:t xml:space="preserve">诗 118:26。</w:t>
      </w:r>
    </w:p>
  </w:footnote>
  <w:footnote w:id="981">
    <w:p>
      <w:pPr>
        <w:pStyle w:val="FootnoteText"/>
      </w:pPr>
      <w:r>
        <w:rPr>
          <w:rStyle w:val="FootnoteReference"/>
        </w:rPr>
        <w:footnoteRef/>
      </w:r>
      <w:r>
        <w:t xml:space="preserve"> </w:t>
      </w:r>
      <w:r>
        <w:t xml:space="preserve">来 9:26。</w:t>
      </w:r>
    </w:p>
  </w:footnote>
  <w:footnote w:id="982">
    <w:p>
      <w:pPr>
        <w:pStyle w:val="FootnoteText"/>
      </w:pPr>
      <w:r>
        <w:rPr>
          <w:rStyle w:val="FootnoteReference"/>
        </w:rPr>
        <w:footnoteRef/>
      </w:r>
      <w:r>
        <w:t xml:space="preserve"> </w:t>
      </w:r>
      <w:r>
        <w:t xml:space="preserve">路 24:26-27,44-45。</w:t>
      </w:r>
    </w:p>
  </w:footnote>
  <w:footnote w:id="983">
    <w:p>
      <w:pPr>
        <w:pStyle w:val="FootnoteText"/>
      </w:pPr>
      <w:r>
        <w:rPr>
          <w:rStyle w:val="FootnoteReference"/>
        </w:rPr>
        <w:footnoteRef/>
      </w:r>
      <w:r>
        <w:t xml:space="preserve"> </w:t>
      </w:r>
      <w:r>
        <w:t xml:space="preserve">可 8:31；太 20:19。</w:t>
      </w:r>
    </w:p>
  </w:footnote>
  <w:footnote w:id="984">
    <w:p>
      <w:pPr>
        <w:pStyle w:val="FootnoteText"/>
      </w:pPr>
      <w:r>
        <w:rPr>
          <w:rStyle w:val="FootnoteReference"/>
        </w:rPr>
        <w:footnoteRef/>
      </w:r>
      <w:r>
        <w:t xml:space="preserve"> </w:t>
      </w:r>
      <w:r>
        <w:t xml:space="preserve">参阅 DV 19。</w:t>
      </w:r>
    </w:p>
  </w:footnote>
  <w:footnote w:id="985">
    <w:p>
      <w:pPr>
        <w:pStyle w:val="FootnoteText"/>
      </w:pPr>
      <w:r>
        <w:rPr>
          <w:rStyle w:val="FootnoteReference"/>
        </w:rPr>
        <w:footnoteRef/>
      </w:r>
      <w:r>
        <w:t xml:space="preserve"> </w:t>
      </w:r>
      <w:r>
        <w:t xml:space="preserve">参阅可 3:6；14:1。</w:t>
      </w:r>
    </w:p>
  </w:footnote>
  <w:footnote w:id="986">
    <w:p>
      <w:pPr>
        <w:pStyle w:val="FootnoteText"/>
      </w:pPr>
      <w:r>
        <w:rPr>
          <w:rStyle w:val="FootnoteReference"/>
        </w:rPr>
        <w:footnoteRef/>
      </w:r>
      <w:r>
        <w:t xml:space="preserve"> </w:t>
      </w:r>
      <w:r>
        <w:t xml:space="preserve">参阅太 12:24；可 2:7,14-17；3:1-6；7:14-23。</w:t>
      </w:r>
    </w:p>
  </w:footnote>
  <w:footnote w:id="987">
    <w:p>
      <w:pPr>
        <w:pStyle w:val="FootnoteText"/>
      </w:pPr>
      <w:r>
        <w:rPr>
          <w:rStyle w:val="FootnoteReference"/>
        </w:rPr>
        <w:footnoteRef/>
      </w:r>
      <w:r>
        <w:t xml:space="preserve"> </w:t>
      </w:r>
      <w:r>
        <w:t xml:space="preserve">参阅可 3:22；约 8:48；10:20。</w:t>
      </w:r>
    </w:p>
  </w:footnote>
  <w:footnote w:id="988">
    <w:p>
      <w:pPr>
        <w:pStyle w:val="FootnoteText"/>
      </w:pPr>
      <w:r>
        <w:rPr>
          <w:rStyle w:val="FootnoteReference"/>
        </w:rPr>
        <w:footnoteRef/>
      </w:r>
      <w:r>
        <w:t xml:space="preserve"> </w:t>
      </w:r>
      <w:r>
        <w:t xml:space="preserve">参阅可 2:7；约 5:18；7:12,52；8:59；10:31,33。</w:t>
      </w:r>
    </w:p>
  </w:footnote>
  <w:footnote w:id="989">
    <w:p>
      <w:pPr>
        <w:pStyle w:val="FootnoteText"/>
      </w:pPr>
      <w:r>
        <w:rPr>
          <w:rStyle w:val="FootnoteReference"/>
        </w:rPr>
        <w:footnoteRef/>
      </w:r>
      <w:r>
        <w:t xml:space="preserve"> </w:t>
      </w:r>
      <w:r>
        <w:t xml:space="preserve">路 2:34。</w:t>
      </w:r>
    </w:p>
  </w:footnote>
  <w:footnote w:id="990">
    <w:p>
      <w:pPr>
        <w:pStyle w:val="FootnoteText"/>
      </w:pPr>
      <w:r>
        <w:rPr>
          <w:rStyle w:val="FootnoteReference"/>
        </w:rPr>
        <w:footnoteRef/>
      </w:r>
      <w:r>
        <w:t xml:space="preserve"> </w:t>
      </w:r>
      <w:r>
        <w:t xml:space="preserve">参阅约 1:19；2:18；5:10；7:13；9:22；18:12；19:38；20:19。</w:t>
      </w:r>
    </w:p>
  </w:footnote>
  <w:footnote w:id="991">
    <w:p>
      <w:pPr>
        <w:pStyle w:val="FootnoteText"/>
      </w:pPr>
      <w:r>
        <w:rPr>
          <w:rStyle w:val="FootnoteReference"/>
        </w:rPr>
        <w:footnoteRef/>
      </w:r>
      <w:r>
        <w:t xml:space="preserve"> </w:t>
      </w:r>
      <w:r>
        <w:t xml:space="preserve">约 7:48-49。</w:t>
      </w:r>
    </w:p>
  </w:footnote>
  <w:footnote w:id="992">
    <w:p>
      <w:pPr>
        <w:pStyle w:val="FootnoteText"/>
      </w:pPr>
      <w:r>
        <w:rPr>
          <w:rStyle w:val="FootnoteReference"/>
        </w:rPr>
        <w:footnoteRef/>
      </w:r>
      <w:r>
        <w:t xml:space="preserve"> </w:t>
      </w:r>
      <w:r>
        <w:t xml:space="preserve">参阅路 13:31。</w:t>
      </w:r>
    </w:p>
  </w:footnote>
  <w:footnote w:id="993">
    <w:p>
      <w:pPr>
        <w:pStyle w:val="FootnoteText"/>
      </w:pPr>
      <w:r>
        <w:rPr>
          <w:rStyle w:val="FootnoteReference"/>
        </w:rPr>
        <w:footnoteRef/>
      </w:r>
      <w:r>
        <w:t xml:space="preserve"> </w:t>
      </w:r>
      <w:r>
        <w:t xml:space="preserve">参阅路 7:36；14:1。</w:t>
      </w:r>
    </w:p>
  </w:footnote>
  <w:footnote w:id="994">
    <w:p>
      <w:pPr>
        <w:pStyle w:val="FootnoteText"/>
      </w:pPr>
      <w:r>
        <w:rPr>
          <w:rStyle w:val="FootnoteReference"/>
        </w:rPr>
        <w:footnoteRef/>
      </w:r>
      <w:r>
        <w:t xml:space="preserve"> </w:t>
      </w:r>
      <w:r>
        <w:t xml:space="preserve">参阅太 22:23-34；路 20:39。</w:t>
      </w:r>
    </w:p>
  </w:footnote>
  <w:footnote w:id="995">
    <w:p>
      <w:pPr>
        <w:pStyle w:val="FootnoteText"/>
      </w:pPr>
      <w:r>
        <w:rPr>
          <w:rStyle w:val="FootnoteReference"/>
        </w:rPr>
        <w:footnoteRef/>
      </w:r>
      <w:r>
        <w:t xml:space="preserve"> </w:t>
      </w:r>
      <w:r>
        <w:t xml:space="preserve">参阅太 6:18。</w:t>
      </w:r>
    </w:p>
  </w:footnote>
  <w:footnote w:id="996">
    <w:p>
      <w:pPr>
        <w:pStyle w:val="FootnoteText"/>
      </w:pPr>
      <w:r>
        <w:rPr>
          <w:rStyle w:val="FootnoteReference"/>
        </w:rPr>
        <w:footnoteRef/>
      </w:r>
      <w:r>
        <w:t xml:space="preserve"> </w:t>
      </w:r>
      <w:r>
        <w:t xml:space="preserve">参阅可 12:28-34。</w:t>
      </w:r>
    </w:p>
  </w:footnote>
  <w:footnote w:id="997">
    <w:p>
      <w:pPr>
        <w:pStyle w:val="FootnoteText"/>
      </w:pPr>
      <w:r>
        <w:rPr>
          <w:rStyle w:val="FootnoteReference"/>
        </w:rPr>
        <w:footnoteRef/>
      </w:r>
      <w:r>
        <w:t xml:space="preserve"> </w:t>
      </w:r>
      <w:r>
        <w:t xml:space="preserve">太 5:17-19。</w:t>
      </w:r>
    </w:p>
  </w:footnote>
  <w:footnote w:id="998">
    <w:p>
      <w:pPr>
        <w:pStyle w:val="FootnoteText"/>
      </w:pPr>
      <w:r>
        <w:rPr>
          <w:rStyle w:val="FootnoteReference"/>
        </w:rPr>
        <w:footnoteRef/>
      </w:r>
      <w:r>
        <w:t xml:space="preserve"> </w:t>
      </w:r>
      <w:r>
        <w:t xml:space="preserve">太 5:19。</w:t>
      </w:r>
    </w:p>
  </w:footnote>
  <w:footnote w:id="999">
    <w:p>
      <w:pPr>
        <w:pStyle w:val="FootnoteText"/>
      </w:pPr>
      <w:r>
        <w:rPr>
          <w:rStyle w:val="FootnoteReference"/>
        </w:rPr>
        <w:footnoteRef/>
      </w:r>
      <w:r>
        <w:t xml:space="preserve"> </w:t>
      </w:r>
      <w:r>
        <w:t xml:space="preserve">参阅约 8:46。</w:t>
      </w:r>
    </w:p>
  </w:footnote>
  <w:footnote w:id="1000">
    <w:p>
      <w:pPr>
        <w:pStyle w:val="FootnoteText"/>
      </w:pPr>
      <w:r>
        <w:rPr>
          <w:rStyle w:val="FootnoteReference"/>
        </w:rPr>
        <w:footnoteRef/>
      </w:r>
      <w:r>
        <w:t xml:space="preserve"> </w:t>
      </w:r>
      <w:r>
        <w:t xml:space="preserve">参阅约 7:19；徒 13:38-41；15:10。</w:t>
      </w:r>
    </w:p>
  </w:footnote>
  <w:footnote w:id="1001">
    <w:p>
      <w:pPr>
        <w:pStyle w:val="FootnoteText"/>
      </w:pPr>
      <w:r>
        <w:rPr>
          <w:rStyle w:val="FootnoteReference"/>
        </w:rPr>
        <w:footnoteRef/>
      </w:r>
      <w:r>
        <w:t xml:space="preserve"> </w:t>
      </w:r>
      <w:r>
        <w:t xml:space="preserve">雅 2:10；参阅迦 3:10；5:3。</w:t>
      </w:r>
    </w:p>
  </w:footnote>
  <w:footnote w:id="1002">
    <w:p>
      <w:pPr>
        <w:pStyle w:val="FootnoteText"/>
      </w:pPr>
      <w:r>
        <w:rPr>
          <w:rStyle w:val="FootnoteReference"/>
        </w:rPr>
        <w:footnoteRef/>
      </w:r>
      <w:r>
        <w:t xml:space="preserve"> </w:t>
      </w:r>
      <w:r>
        <w:t xml:space="preserve">参阅罗 10:2。</w:t>
      </w:r>
    </w:p>
  </w:footnote>
  <w:footnote w:id="1003">
    <w:p>
      <w:pPr>
        <w:pStyle w:val="FootnoteText"/>
      </w:pPr>
      <w:r>
        <w:rPr>
          <w:rStyle w:val="FootnoteReference"/>
        </w:rPr>
        <w:footnoteRef/>
      </w:r>
      <w:r>
        <w:t xml:space="preserve"> </w:t>
      </w:r>
      <w:r>
        <w:t xml:space="preserve">参阅太 15:31；路 11:39-54。</w:t>
      </w:r>
    </w:p>
  </w:footnote>
  <w:footnote w:id="1004">
    <w:p>
      <w:pPr>
        <w:pStyle w:val="FootnoteText"/>
      </w:pPr>
      <w:r>
        <w:rPr>
          <w:rStyle w:val="FootnoteReference"/>
        </w:rPr>
        <w:footnoteRef/>
      </w:r>
      <w:r>
        <w:t xml:space="preserve"> </w:t>
      </w:r>
      <w:r>
        <w:t xml:space="preserve">参阅赛 53:11；希 9:15。</w:t>
      </w:r>
    </w:p>
  </w:footnote>
  <w:footnote w:id="1005">
    <w:p>
      <w:pPr>
        <w:pStyle w:val="FootnoteText"/>
      </w:pPr>
      <w:r>
        <w:rPr>
          <w:rStyle w:val="FootnoteReference"/>
        </w:rPr>
        <w:footnoteRef/>
      </w:r>
      <w:r>
        <w:t xml:space="preserve"> </w:t>
      </w:r>
      <w:r>
        <w:t xml:space="preserve">参阅迦 4:4。</w:t>
      </w:r>
    </w:p>
  </w:footnote>
  <w:footnote w:id="1006">
    <w:p>
      <w:pPr>
        <w:pStyle w:val="FootnoteText"/>
      </w:pPr>
      <w:r>
        <w:rPr>
          <w:rStyle w:val="FootnoteReference"/>
        </w:rPr>
        <w:footnoteRef/>
      </w:r>
      <w:r>
        <w:t xml:space="preserve"> </w:t>
      </w:r>
      <w:r>
        <w:t xml:space="preserve">耶 31:33；赛 42:3,6。</w:t>
      </w:r>
    </w:p>
  </w:footnote>
  <w:footnote w:id="1007">
    <w:p>
      <w:pPr>
        <w:pStyle w:val="FootnoteText"/>
      </w:pPr>
      <w:r>
        <w:rPr>
          <w:rStyle w:val="FootnoteReference"/>
        </w:rPr>
        <w:footnoteRef/>
      </w:r>
      <w:r>
        <w:t xml:space="preserve"> </w:t>
      </w:r>
      <w:r>
        <w:t xml:space="preserve">迦 3:13；3:10；希 9:15。</w:t>
      </w:r>
    </w:p>
  </w:footnote>
  <w:footnote w:id="1008">
    <w:p>
      <w:pPr>
        <w:pStyle w:val="FootnoteText"/>
      </w:pPr>
      <w:r>
        <w:rPr>
          <w:rStyle w:val="FootnoteReference"/>
        </w:rPr>
        <w:footnoteRef/>
      </w:r>
      <w:r>
        <w:t xml:space="preserve"> </w:t>
      </w:r>
      <w:r>
        <w:t xml:space="preserve">参阅约 11:28；3:2；太 22:23-24,34-36。</w:t>
      </w:r>
    </w:p>
  </w:footnote>
  <w:footnote w:id="1009">
    <w:p>
      <w:pPr>
        <w:pStyle w:val="FootnoteText"/>
      </w:pPr>
      <w:r>
        <w:rPr>
          <w:rStyle w:val="FootnoteReference"/>
        </w:rPr>
        <w:footnoteRef/>
      </w:r>
      <w:r>
        <w:t xml:space="preserve"> </w:t>
      </w:r>
      <w:r>
        <w:t xml:space="preserve">参阅太 12:5；9:12；可 2:23-27；路 6:6-9；约 7:22-23。</w:t>
      </w:r>
    </w:p>
  </w:footnote>
  <w:footnote w:id="1010">
    <w:p>
      <w:pPr>
        <w:pStyle w:val="FootnoteText"/>
      </w:pPr>
      <w:r>
        <w:rPr>
          <w:rStyle w:val="FootnoteReference"/>
        </w:rPr>
        <w:footnoteRef/>
      </w:r>
      <w:r>
        <w:t xml:space="preserve"> </w:t>
      </w:r>
      <w:r>
        <w:t xml:space="preserve">太 7:28-29。</w:t>
      </w:r>
    </w:p>
  </w:footnote>
  <w:footnote w:id="1011">
    <w:p>
      <w:pPr>
        <w:pStyle w:val="FootnoteText"/>
      </w:pPr>
      <w:r>
        <w:rPr>
          <w:rStyle w:val="FootnoteReference"/>
        </w:rPr>
        <w:footnoteRef/>
      </w:r>
      <w:r>
        <w:t xml:space="preserve"> </w:t>
      </w:r>
      <w:r>
        <w:t xml:space="preserve">参阅太 5:1。</w:t>
      </w:r>
    </w:p>
  </w:footnote>
  <w:footnote w:id="1012">
    <w:p>
      <w:pPr>
        <w:pStyle w:val="FootnoteText"/>
      </w:pPr>
      <w:r>
        <w:rPr>
          <w:rStyle w:val="FootnoteReference"/>
        </w:rPr>
        <w:footnoteRef/>
      </w:r>
      <w:r>
        <w:t xml:space="preserve"> </w:t>
      </w:r>
      <w:r>
        <w:t xml:space="preserve">太 5:33-34。</w:t>
      </w:r>
    </w:p>
  </w:footnote>
  <w:footnote w:id="1013">
    <w:p>
      <w:pPr>
        <w:pStyle w:val="FootnoteText"/>
      </w:pPr>
      <w:r>
        <w:rPr>
          <w:rStyle w:val="FootnoteReference"/>
        </w:rPr>
        <w:footnoteRef/>
      </w:r>
      <w:r>
        <w:t xml:space="preserve"> </w:t>
      </w:r>
      <w:r>
        <w:t xml:space="preserve">可 7:13；参阅 3:8。</w:t>
      </w:r>
    </w:p>
  </w:footnote>
  <w:footnote w:id="1014">
    <w:p>
      <w:pPr>
        <w:pStyle w:val="FootnoteText"/>
      </w:pPr>
      <w:r>
        <w:rPr>
          <w:rStyle w:val="FootnoteReference"/>
        </w:rPr>
        <w:footnoteRef/>
      </w:r>
      <w:r>
        <w:t xml:space="preserve"> </w:t>
      </w:r>
      <w:r>
        <w:t xml:space="preserve">可 7:18-21；参阅迦 3:24。</w:t>
      </w:r>
    </w:p>
  </w:footnote>
  <w:footnote w:id="1015">
    <w:p>
      <w:pPr>
        <w:pStyle w:val="FootnoteText"/>
      </w:pPr>
      <w:r>
        <w:rPr>
          <w:rStyle w:val="FootnoteReference"/>
        </w:rPr>
        <w:footnoteRef/>
      </w:r>
      <w:r>
        <w:t xml:space="preserve"> </w:t>
      </w:r>
      <w:r>
        <w:t xml:space="preserve">参阅约 5:36；10:25,37-38；12:37。</w:t>
      </w:r>
    </w:p>
  </w:footnote>
  <w:footnote w:id="1016">
    <w:p>
      <w:pPr>
        <w:pStyle w:val="FootnoteText"/>
      </w:pPr>
      <w:r>
        <w:rPr>
          <w:rStyle w:val="FootnoteReference"/>
        </w:rPr>
        <w:footnoteRef/>
      </w:r>
      <w:r>
        <w:t xml:space="preserve"> </w:t>
      </w:r>
      <w:r>
        <w:t xml:space="preserve">参阅民 28:9；太 12:5；可 2:25-27；路 13:15-16；14:3-4；约 7:22-24。</w:t>
      </w:r>
    </w:p>
  </w:footnote>
  <w:footnote w:id="1018">
    <w:p>
      <w:pPr>
        <w:pStyle w:val="FootnoteText"/>
      </w:pPr>
      <w:r>
        <w:rPr>
          <w:rStyle w:val="FootnoteReference"/>
        </w:rPr>
        <w:footnoteRef/>
      </w:r>
      <w:r>
        <w:t xml:space="preserve"> </w:t>
      </w:r>
      <w:r>
        <w:t xml:space="preserve">路 2:22-39。</w:t>
      </w:r>
    </w:p>
  </w:footnote>
  <w:footnote w:id="1019">
    <w:p>
      <w:pPr>
        <w:pStyle w:val="FootnoteText"/>
      </w:pPr>
      <w:r>
        <w:rPr>
          <w:rStyle w:val="FootnoteReference"/>
        </w:rPr>
        <w:footnoteRef/>
      </w:r>
      <w:r>
        <w:t xml:space="preserve"> </w:t>
      </w:r>
      <w:r>
        <w:t xml:space="preserve">参阅路 2:46-49。</w:t>
      </w:r>
    </w:p>
  </w:footnote>
  <w:footnote w:id="1020">
    <w:p>
      <w:pPr>
        <w:pStyle w:val="FootnoteText"/>
      </w:pPr>
      <w:r>
        <w:rPr>
          <w:rStyle w:val="FootnoteReference"/>
        </w:rPr>
        <w:footnoteRef/>
      </w:r>
      <w:r>
        <w:t xml:space="preserve"> </w:t>
      </w:r>
      <w:r>
        <w:t xml:space="preserve">参阅路 2:41。</w:t>
      </w:r>
    </w:p>
  </w:footnote>
  <w:footnote w:id="1021">
    <w:p>
      <w:pPr>
        <w:pStyle w:val="FootnoteText"/>
      </w:pPr>
      <w:r>
        <w:rPr>
          <w:rStyle w:val="FootnoteReference"/>
        </w:rPr>
        <w:footnoteRef/>
      </w:r>
      <w:r>
        <w:t xml:space="preserve"> </w:t>
      </w:r>
      <w:r>
        <w:t xml:space="preserve">参阅约 2:13-14；5:1,14；7:1,10,14；8:2；10:22-23。</w:t>
      </w:r>
    </w:p>
  </w:footnote>
  <w:footnote w:id="1022">
    <w:p>
      <w:pPr>
        <w:pStyle w:val="FootnoteText"/>
      </w:pPr>
      <w:r>
        <w:rPr>
          <w:rStyle w:val="FootnoteReference"/>
        </w:rPr>
        <w:footnoteRef/>
      </w:r>
      <w:r>
        <w:t xml:space="preserve"> </w:t>
      </w:r>
      <w:r>
        <w:t xml:space="preserve">参阅太 21:13。</w:t>
      </w:r>
    </w:p>
  </w:footnote>
  <w:footnote w:id="1023">
    <w:p>
      <w:pPr>
        <w:pStyle w:val="FootnoteText"/>
      </w:pPr>
      <w:r>
        <w:rPr>
          <w:rStyle w:val="FootnoteReference"/>
        </w:rPr>
        <w:footnoteRef/>
      </w:r>
      <w:r>
        <w:t xml:space="preserve"> </w:t>
      </w:r>
      <w:r>
        <w:t xml:space="preserve">约 2:16-17；参阅咏 69:10。</w:t>
      </w:r>
    </w:p>
  </w:footnote>
  <w:footnote w:id="1024">
    <w:p>
      <w:pPr>
        <w:pStyle w:val="FootnoteText"/>
      </w:pPr>
      <w:r>
        <w:rPr>
          <w:rStyle w:val="FootnoteReference"/>
        </w:rPr>
        <w:footnoteRef/>
      </w:r>
      <w:r>
        <w:t xml:space="preserve"> </w:t>
      </w:r>
      <w:r>
        <w:t xml:space="preserve">参阅徒 2:46, 3:1, 5:20-21 等。</w:t>
      </w:r>
    </w:p>
  </w:footnote>
  <w:footnote w:id="1025">
    <w:p>
      <w:pPr>
        <w:pStyle w:val="FootnoteText"/>
      </w:pPr>
      <w:r>
        <w:rPr>
          <w:rStyle w:val="FootnoteReference"/>
        </w:rPr>
        <w:footnoteRef/>
      </w:r>
      <w:r>
        <w:t xml:space="preserve"> </w:t>
      </w:r>
      <w:r>
        <w:t xml:space="preserve">参太 24:1-2。</w:t>
      </w:r>
    </w:p>
  </w:footnote>
  <w:footnote w:id="1026">
    <w:p>
      <w:pPr>
        <w:pStyle w:val="FootnoteText"/>
      </w:pPr>
      <w:r>
        <w:rPr>
          <w:rStyle w:val="FootnoteReference"/>
        </w:rPr>
        <w:footnoteRef/>
      </w:r>
      <w:r>
        <w:t xml:space="preserve"> </w:t>
      </w:r>
      <w:r>
        <w:t xml:space="preserve">参太 24:3；路 13:35。</w:t>
      </w:r>
    </w:p>
  </w:footnote>
  <w:footnote w:id="1027">
    <w:p>
      <w:pPr>
        <w:pStyle w:val="FootnoteText"/>
      </w:pPr>
      <w:r>
        <w:rPr>
          <w:rStyle w:val="FootnoteReference"/>
        </w:rPr>
        <w:footnoteRef/>
      </w:r>
      <w:r>
        <w:t xml:space="preserve"> </w:t>
      </w:r>
      <w:r>
        <w:t xml:space="preserve">参可 14:57-58；太 27:39-40。</w:t>
      </w:r>
    </w:p>
  </w:footnote>
  <w:footnote w:id="1028">
    <w:p>
      <w:pPr>
        <w:pStyle w:val="FootnoteText"/>
      </w:pPr>
      <w:r>
        <w:rPr>
          <w:rStyle w:val="FootnoteReference"/>
        </w:rPr>
        <w:footnoteRef/>
      </w:r>
      <w:r>
        <w:t xml:space="preserve"> </w:t>
      </w:r>
      <w:r>
        <w:t xml:space="preserve">参太 8:4；16:18；17:24-27；路 17:14；约 4:22；18:20。</w:t>
      </w:r>
    </w:p>
  </w:footnote>
  <w:footnote w:id="1029">
    <w:p>
      <w:pPr>
        <w:pStyle w:val="FootnoteText"/>
      </w:pPr>
      <w:r>
        <w:rPr>
          <w:rStyle w:val="FootnoteReference"/>
        </w:rPr>
        <w:footnoteRef/>
      </w:r>
      <w:r>
        <w:t xml:space="preserve"> </w:t>
      </w:r>
      <w:r>
        <w:t xml:space="preserve">参约 2:21；太 12:6。</w:t>
      </w:r>
    </w:p>
  </w:footnote>
  <w:footnote w:id="1030">
    <w:p>
      <w:pPr>
        <w:pStyle w:val="FootnoteText"/>
      </w:pPr>
      <w:r>
        <w:rPr>
          <w:rStyle w:val="FootnoteReference"/>
        </w:rPr>
        <w:footnoteRef/>
      </w:r>
      <w:r>
        <w:t xml:space="preserve"> </w:t>
      </w:r>
      <w:r>
        <w:t xml:space="preserve">参约 2:18-22。</w:t>
      </w:r>
    </w:p>
  </w:footnote>
  <w:footnote w:id="1031">
    <w:p>
      <w:pPr>
        <w:pStyle w:val="FootnoteText"/>
      </w:pPr>
      <w:r>
        <w:rPr>
          <w:rStyle w:val="FootnoteReference"/>
        </w:rPr>
        <w:footnoteRef/>
      </w:r>
      <w:r>
        <w:t xml:space="preserve"> </w:t>
      </w:r>
      <w:r>
        <w:t xml:space="preserve">约 4:21；参约 4:23-24；太 27:5；来 9:11；启 21:22。</w:t>
      </w:r>
    </w:p>
  </w:footnote>
  <w:footnote w:id="1033">
    <w:p>
      <w:pPr>
        <w:pStyle w:val="FootnoteText"/>
      </w:pPr>
      <w:r>
        <w:rPr>
          <w:rStyle w:val="FootnoteReference"/>
        </w:rPr>
        <w:footnoteRef/>
      </w:r>
      <w:r>
        <w:t xml:space="preserve"> </w:t>
      </w:r>
      <w:r>
        <w:t xml:space="preserve">参路 2:34；20:17-18；诗 118:22。</w:t>
      </w:r>
    </w:p>
  </w:footnote>
  <w:footnote w:id="1034">
    <w:p>
      <w:pPr>
        <w:pStyle w:val="FootnoteText"/>
      </w:pPr>
      <w:r>
        <w:rPr>
          <w:rStyle w:val="FootnoteReference"/>
        </w:rPr>
        <w:footnoteRef/>
      </w:r>
      <w:r>
        <w:t xml:space="preserve"> </w:t>
      </w:r>
      <w:r>
        <w:t xml:space="preserve">参路 5:30；7:36；11:37；14:1。</w:t>
      </w:r>
    </w:p>
  </w:footnote>
  <w:footnote w:id="1035">
    <w:p>
      <w:pPr>
        <w:pStyle w:val="FootnoteText"/>
      </w:pPr>
      <w:r>
        <w:rPr>
          <w:rStyle w:val="FootnoteReference"/>
        </w:rPr>
        <w:footnoteRef/>
      </w:r>
      <w:r>
        <w:t xml:space="preserve"> </w:t>
      </w:r>
      <w:r>
        <w:t xml:space="preserve">路 18:9；5:32；参约 7:49；9:34。</w:t>
      </w:r>
    </w:p>
  </w:footnote>
  <w:footnote w:id="1036">
    <w:p>
      <w:pPr>
        <w:pStyle w:val="FootnoteText"/>
      </w:pPr>
      <w:r>
        <w:rPr>
          <w:rStyle w:val="FootnoteReference"/>
        </w:rPr>
        <w:footnoteRef/>
      </w:r>
      <w:r>
        <w:t xml:space="preserve"> </w:t>
      </w:r>
      <w:r>
        <w:t xml:space="preserve">参约 8:33-36；9:40-41。</w:t>
      </w:r>
    </w:p>
  </w:footnote>
  <w:footnote w:id="1037">
    <w:p>
      <w:pPr>
        <w:pStyle w:val="FootnoteText"/>
      </w:pPr>
      <w:r>
        <w:rPr>
          <w:rStyle w:val="FootnoteReference"/>
        </w:rPr>
        <w:footnoteRef/>
      </w:r>
      <w:r>
        <w:t xml:space="preserve"> </w:t>
      </w:r>
      <w:r>
        <w:t xml:space="preserve">参太 9:13；欧 6:6。</w:t>
      </w:r>
    </w:p>
  </w:footnote>
  <w:footnote w:id="1038">
    <w:p>
      <w:pPr>
        <w:pStyle w:val="FootnoteText"/>
      </w:pPr>
      <w:r>
        <w:rPr>
          <w:rStyle w:val="FootnoteReference"/>
        </w:rPr>
        <w:footnoteRef/>
      </w:r>
      <w:r>
        <w:t xml:space="preserve"> </w:t>
      </w:r>
      <w:r>
        <w:t xml:space="preserve">参路 15:1-2,22-32。</w:t>
      </w:r>
    </w:p>
  </w:footnote>
  <w:footnote w:id="1039">
    <w:p>
      <w:pPr>
        <w:pStyle w:val="FootnoteText"/>
      </w:pPr>
      <w:r>
        <w:rPr>
          <w:rStyle w:val="FootnoteReference"/>
        </w:rPr>
        <w:footnoteRef/>
      </w:r>
      <w:r>
        <w:t xml:space="preserve"> </w:t>
      </w:r>
      <w:r>
        <w:t xml:space="preserve">可 2:7。</w:t>
      </w:r>
    </w:p>
  </w:footnote>
  <w:footnote w:id="1040">
    <w:p>
      <w:pPr>
        <w:pStyle w:val="FootnoteText"/>
      </w:pPr>
      <w:r>
        <w:rPr>
          <w:rStyle w:val="FootnoteReference"/>
        </w:rPr>
        <w:footnoteRef/>
      </w:r>
      <w:r>
        <w:t xml:space="preserve"> </w:t>
      </w:r>
      <w:r>
        <w:t xml:space="preserve">参约 5:18；10:33；17:6,26。</w:t>
      </w:r>
    </w:p>
  </w:footnote>
  <w:footnote w:id="1041">
    <w:p>
      <w:pPr>
        <w:pStyle w:val="FootnoteText"/>
      </w:pPr>
      <w:r>
        <w:rPr>
          <w:rStyle w:val="FootnoteReference"/>
        </w:rPr>
        <w:footnoteRef/>
      </w:r>
      <w:r>
        <w:t xml:space="preserve"> </w:t>
      </w:r>
      <w:r>
        <w:t xml:space="preserve">参太 12:6,30,36,37,41-42。</w:t>
      </w:r>
    </w:p>
  </w:footnote>
  <w:footnote w:id="1042">
    <w:p>
      <w:pPr>
        <w:pStyle w:val="FootnoteText"/>
      </w:pPr>
      <w:r>
        <w:rPr>
          <w:rStyle w:val="FootnoteReference"/>
        </w:rPr>
        <w:footnoteRef/>
      </w:r>
      <w:r>
        <w:t xml:space="preserve"> </w:t>
      </w:r>
      <w:r>
        <w:t xml:space="preserve">约 8:58；10:30。</w:t>
      </w:r>
    </w:p>
  </w:footnote>
  <w:footnote w:id="1043">
    <w:p>
      <w:pPr>
        <w:pStyle w:val="FootnoteText"/>
      </w:pPr>
      <w:r>
        <w:rPr>
          <w:rStyle w:val="FootnoteReference"/>
        </w:rPr>
        <w:footnoteRef/>
      </w:r>
      <w:r>
        <w:t xml:space="preserve"> </w:t>
      </w:r>
      <w:r>
        <w:t xml:space="preserve">约 10:36-38。</w:t>
      </w:r>
    </w:p>
  </w:footnote>
  <w:footnote w:id="1044">
    <w:p>
      <w:pPr>
        <w:pStyle w:val="FootnoteText"/>
      </w:pPr>
      <w:r>
        <w:rPr>
          <w:rStyle w:val="FootnoteReference"/>
        </w:rPr>
        <w:footnoteRef/>
      </w:r>
      <w:r>
        <w:t xml:space="preserve"> </w:t>
      </w:r>
      <w:r>
        <w:t xml:space="preserve">参约 3:7；6:44。</w:t>
      </w:r>
    </w:p>
  </w:footnote>
  <w:footnote w:id="1045">
    <w:p>
      <w:pPr>
        <w:pStyle w:val="FootnoteText"/>
      </w:pPr>
      <w:r>
        <w:rPr>
          <w:rStyle w:val="FootnoteReference"/>
        </w:rPr>
        <w:footnoteRef/>
      </w:r>
      <w:r>
        <w:t xml:space="preserve"> </w:t>
      </w:r>
      <w:r>
        <w:t xml:space="preserve">参赛 53:1。</w:t>
      </w:r>
    </w:p>
  </w:footnote>
  <w:footnote w:id="1046">
    <w:p>
      <w:pPr>
        <w:pStyle w:val="FootnoteText"/>
      </w:pPr>
      <w:r>
        <w:rPr>
          <w:rStyle w:val="FootnoteReference"/>
        </w:rPr>
        <w:footnoteRef/>
      </w:r>
      <w:r>
        <w:t xml:space="preserve"> </w:t>
      </w:r>
      <w:r>
        <w:t xml:space="preserve">参可 3:6；太 26:64-66。</w:t>
      </w:r>
    </w:p>
  </w:footnote>
  <w:footnote w:id="1047">
    <w:p>
      <w:pPr>
        <w:pStyle w:val="FootnoteText"/>
      </w:pPr>
      <w:r>
        <w:rPr>
          <w:rStyle w:val="FootnoteReference"/>
        </w:rPr>
        <w:footnoteRef/>
      </w:r>
      <w:r>
        <w:t xml:space="preserve"> </w:t>
      </w:r>
      <w:r>
        <w:t xml:space="preserve">参路 23:34；徒 3:17-18；可 3:5；罗 11:25,20。</w:t>
      </w:r>
    </w:p>
  </w:footnote>
  <w:footnote w:id="1051">
    <w:p>
      <w:pPr>
        <w:pStyle w:val="FootnoteText"/>
      </w:pPr>
      <w:r>
        <w:rPr>
          <w:rStyle w:val="FootnoteReference"/>
        </w:rPr>
        <w:footnoteRef/>
      </w:r>
      <w:r>
        <w:t xml:space="preserve"> </w:t>
      </w:r>
      <w:r>
        <w:t xml:space="preserve">约 12:42；参 7:50；9:16-17；10:19-21；19:38-39。</w:t>
      </w:r>
    </w:p>
  </w:footnote>
  <w:footnote w:id="1052">
    <w:p>
      <w:pPr>
        <w:pStyle w:val="FootnoteText"/>
      </w:pPr>
      <w:r>
        <w:rPr>
          <w:rStyle w:val="FootnoteReference"/>
        </w:rPr>
        <w:footnoteRef/>
      </w:r>
      <w:r>
        <w:t xml:space="preserve"> </w:t>
      </w:r>
      <w:r>
        <w:t xml:space="preserve">徒 6:7；15:5；21:20。</w:t>
      </w:r>
    </w:p>
  </w:footnote>
  <w:footnote w:id="1053">
    <w:p>
      <w:pPr>
        <w:pStyle w:val="FootnoteText"/>
      </w:pPr>
      <w:r>
        <w:rPr>
          <w:rStyle w:val="FootnoteReference"/>
        </w:rPr>
        <w:footnoteRef/>
      </w:r>
      <w:r>
        <w:t xml:space="preserve"> </w:t>
      </w:r>
      <w:r>
        <w:t xml:space="preserve">参约 9:16；约 10:19。</w:t>
      </w:r>
    </w:p>
  </w:footnote>
  <w:footnote w:id="1054">
    <w:p>
      <w:pPr>
        <w:pStyle w:val="FootnoteText"/>
      </w:pPr>
      <w:r>
        <w:rPr>
          <w:rStyle w:val="FootnoteReference"/>
        </w:rPr>
        <w:footnoteRef/>
      </w:r>
      <w:r>
        <w:t xml:space="preserve"> </w:t>
      </w:r>
      <w:r>
        <w:t xml:space="preserve">参约 9:22。</w:t>
      </w:r>
    </w:p>
  </w:footnote>
  <w:footnote w:id="1055">
    <w:p>
      <w:pPr>
        <w:pStyle w:val="FootnoteText"/>
      </w:pPr>
      <w:r>
        <w:rPr>
          <w:rStyle w:val="FootnoteReference"/>
        </w:rPr>
        <w:footnoteRef/>
      </w:r>
      <w:r>
        <w:t xml:space="preserve"> </w:t>
      </w:r>
      <w:r>
        <w:t xml:space="preserve">约 11:48-50。</w:t>
      </w:r>
    </w:p>
  </w:footnote>
  <w:footnote w:id="1056">
    <w:p>
      <w:pPr>
        <w:pStyle w:val="FootnoteText"/>
      </w:pPr>
      <w:r>
        <w:rPr>
          <w:rStyle w:val="FootnoteReference"/>
        </w:rPr>
        <w:footnoteRef/>
      </w:r>
      <w:r>
        <w:t xml:space="preserve"> </w:t>
      </w:r>
      <w:r>
        <w:t xml:space="preserve">参太 26:66；约 18:31；路 23:2，19。</w:t>
      </w:r>
    </w:p>
  </w:footnote>
  <w:footnote w:id="1057">
    <w:p>
      <w:pPr>
        <w:pStyle w:val="FootnoteText"/>
      </w:pPr>
      <w:r>
        <w:rPr>
          <w:rStyle w:val="FootnoteReference"/>
        </w:rPr>
        <w:footnoteRef/>
      </w:r>
      <w:r>
        <w:t xml:space="preserve"> </w:t>
      </w:r>
      <w:r>
        <w:t xml:space="preserve">参约 19:12，15，21。</w:t>
      </w:r>
    </w:p>
  </w:footnote>
  <w:footnote w:id="1058">
    <w:p>
      <w:pPr>
        <w:pStyle w:val="FootnoteText"/>
      </w:pPr>
      <w:r>
        <w:rPr>
          <w:rStyle w:val="FootnoteReference"/>
        </w:rPr>
        <w:footnoteRef/>
      </w:r>
      <w:r>
        <w:t xml:space="preserve"> </w:t>
      </w:r>
      <w:r>
        <w:t xml:space="preserve">参可 15:11；徒 2:23，36；3:13-14；4:10；5:30；7:52；10:39；13:27-28；帖前 2:14-15。</w:t>
      </w:r>
    </w:p>
  </w:footnote>
  <w:footnote w:id="1059">
    <w:p>
      <w:pPr>
        <w:pStyle w:val="FootnoteText"/>
      </w:pPr>
      <w:r>
        <w:rPr>
          <w:rStyle w:val="FootnoteReference"/>
        </w:rPr>
        <w:footnoteRef/>
      </w:r>
      <w:r>
        <w:t xml:space="preserve"> </w:t>
      </w:r>
      <w:r>
        <w:t xml:space="preserve">参路 23:34；徒 3:17。</w:t>
      </w:r>
    </w:p>
  </w:footnote>
  <w:footnote w:id="1060">
    <w:p>
      <w:pPr>
        <w:pStyle w:val="FootnoteText"/>
      </w:pPr>
      <w:r>
        <w:rPr>
          <w:rStyle w:val="FootnoteReference"/>
        </w:rPr>
        <w:footnoteRef/>
      </w:r>
      <w:r>
        <w:t xml:space="preserve"> </w:t>
      </w:r>
      <w:r>
        <w:t xml:space="preserve">太 27:25；参徒 5:28；18:6。</w:t>
      </w:r>
    </w:p>
  </w:footnote>
  <w:footnote w:id="1061">
    <w:p>
      <w:pPr>
        <w:pStyle w:val="FootnoteText"/>
      </w:pPr>
      <w:r>
        <w:rPr>
          <w:rStyle w:val="FootnoteReference"/>
        </w:rPr>
        <w:footnoteRef/>
      </w:r>
      <w:r>
        <w:t xml:space="preserve"> </w:t>
      </w:r>
      <w:r>
        <w:t xml:space="preserve">《教会对非基督宗教态度宣言》4。</w:t>
      </w:r>
    </w:p>
  </w:footnote>
  <w:footnote w:id="1062">
    <w:p>
      <w:pPr>
        <w:pStyle w:val="FootnoteText"/>
      </w:pPr>
      <w:r>
        <w:rPr>
          <w:rStyle w:val="FootnoteReference"/>
        </w:rPr>
        <w:footnoteRef/>
      </w:r>
      <w:r>
        <w:t xml:space="preserve"> </w:t>
      </w:r>
      <w:r>
        <w:t xml:space="preserve">《罗马教理》卷一，5，11；参来 12:3。</w:t>
      </w:r>
    </w:p>
  </w:footnote>
  <w:footnote w:id="1063">
    <w:p>
      <w:pPr>
        <w:pStyle w:val="FootnoteText"/>
      </w:pPr>
      <w:r>
        <w:rPr>
          <w:rStyle w:val="FootnoteReference"/>
        </w:rPr>
        <w:footnoteRef/>
      </w:r>
      <w:r>
        <w:t xml:space="preserve"> </w:t>
      </w:r>
      <w:r>
        <w:t xml:space="preserve">参太 25:45；徒 9:4-5。</w:t>
      </w:r>
    </w:p>
  </w:footnote>
  <w:footnote w:id="1064">
    <w:p>
      <w:pPr>
        <w:pStyle w:val="FootnoteText"/>
      </w:pPr>
      <w:r>
        <w:rPr>
          <w:rStyle w:val="FootnoteReference"/>
        </w:rPr>
        <w:footnoteRef/>
      </w:r>
      <w:r>
        <w:t xml:space="preserve"> </w:t>
      </w:r>
      <w:r>
        <w:t xml:space="preserve">《罗马教理》卷一，5，11；参来 6:6；林前 2:8。</w:t>
      </w:r>
    </w:p>
  </w:footnote>
  <w:footnote w:id="1065">
    <w:p>
      <w:pPr>
        <w:pStyle w:val="FootnoteText"/>
      </w:pPr>
      <w:r>
        <w:rPr>
          <w:rStyle w:val="FootnoteReference"/>
        </w:rPr>
        <w:footnoteRef/>
      </w:r>
      <w:r>
        <w:t xml:space="preserve"> </w:t>
      </w:r>
      <w:r>
        <w:t xml:space="preserve">亚西西的圣方济各，《劝谕》5，3。</w:t>
      </w:r>
    </w:p>
  </w:footnote>
  <w:footnote w:id="1067">
    <w:p>
      <w:pPr>
        <w:pStyle w:val="FootnoteText"/>
      </w:pPr>
      <w:r>
        <w:rPr>
          <w:rStyle w:val="FootnoteReference"/>
        </w:rPr>
        <w:footnoteRef/>
      </w:r>
      <w:r>
        <w:t xml:space="preserve"> </w:t>
      </w:r>
      <w:r>
        <w:t xml:space="preserve">徒 2:23。</w:t>
      </w:r>
    </w:p>
  </w:footnote>
  <w:footnote w:id="1068">
    <w:p>
      <w:pPr>
        <w:pStyle w:val="FootnoteText"/>
      </w:pPr>
      <w:r>
        <w:rPr>
          <w:rStyle w:val="FootnoteReference"/>
        </w:rPr>
        <w:footnoteRef/>
      </w:r>
      <w:r>
        <w:t xml:space="preserve"> </w:t>
      </w:r>
      <w:r>
        <w:t xml:space="preserve">参徒 3:13。</w:t>
      </w:r>
    </w:p>
  </w:footnote>
  <w:footnote w:id="1069">
    <w:p>
      <w:pPr>
        <w:pStyle w:val="FootnoteText"/>
      </w:pPr>
      <w:r>
        <w:rPr>
          <w:rStyle w:val="FootnoteReference"/>
        </w:rPr>
        <w:footnoteRef/>
      </w:r>
      <w:r>
        <w:t xml:space="preserve"> </w:t>
      </w:r>
      <w:r>
        <w:t xml:space="preserve">徒 4:27-28；参诗 2:1-2。</w:t>
      </w:r>
    </w:p>
  </w:footnote>
  <w:footnote w:id="1070">
    <w:p>
      <w:pPr>
        <w:pStyle w:val="FootnoteText"/>
      </w:pPr>
      <w:r>
        <w:rPr>
          <w:rStyle w:val="FootnoteReference"/>
        </w:rPr>
        <w:footnoteRef/>
      </w:r>
      <w:r>
        <w:t xml:space="preserve"> </w:t>
      </w:r>
      <w:r>
        <w:t xml:space="preserve">参太 26:54；约 18:36；19:11；徒 3:17-18。</w:t>
      </w:r>
    </w:p>
  </w:footnote>
  <w:footnote w:id="1071">
    <w:p>
      <w:pPr>
        <w:pStyle w:val="FootnoteText"/>
      </w:pPr>
      <w:r>
        <w:rPr>
          <w:rStyle w:val="FootnoteReference"/>
        </w:rPr>
        <w:footnoteRef/>
      </w:r>
      <w:r>
        <w:t xml:space="preserve"> </w:t>
      </w:r>
      <w:r>
        <w:t xml:space="preserve">赛 53:11；参 53:12；约 8:34-36；徒 3:14。</w:t>
      </w:r>
    </w:p>
  </w:footnote>
  <w:footnote w:id="1072">
    <w:p>
      <w:pPr>
        <w:pStyle w:val="FootnoteText"/>
      </w:pPr>
      <w:r>
        <w:rPr>
          <w:rStyle w:val="FootnoteReference"/>
        </w:rPr>
        <w:footnoteRef/>
      </w:r>
      <w:r>
        <w:t xml:space="preserve"> </w:t>
      </w:r>
      <w:r>
        <w:t xml:space="preserve">林前 15:3；参徒 3:18；7:52；13:29；26:22-23。</w:t>
      </w:r>
    </w:p>
  </w:footnote>
  <w:footnote w:id="1073">
    <w:p>
      <w:pPr>
        <w:pStyle w:val="FootnoteText"/>
      </w:pPr>
      <w:r>
        <w:rPr>
          <w:rStyle w:val="FootnoteReference"/>
        </w:rPr>
        <w:footnoteRef/>
      </w:r>
      <w:r>
        <w:t xml:space="preserve"> </w:t>
      </w:r>
      <w:r>
        <w:t xml:space="preserve">参赛 53:7-8 和徒 8:32-35。</w:t>
      </w:r>
    </w:p>
  </w:footnote>
  <w:footnote w:id="1074">
    <w:p>
      <w:pPr>
        <w:pStyle w:val="FootnoteText"/>
      </w:pPr>
      <w:r>
        <w:rPr>
          <w:rStyle w:val="FootnoteReference"/>
        </w:rPr>
        <w:footnoteRef/>
      </w:r>
      <w:r>
        <w:t xml:space="preserve"> </w:t>
      </w:r>
      <w:r>
        <w:t xml:space="preserve">参太 20:28。</w:t>
      </w:r>
    </w:p>
  </w:footnote>
  <w:footnote w:id="1075">
    <w:p>
      <w:pPr>
        <w:pStyle w:val="FootnoteText"/>
      </w:pPr>
      <w:r>
        <w:rPr>
          <w:rStyle w:val="FootnoteReference"/>
        </w:rPr>
        <w:footnoteRef/>
      </w:r>
      <w:r>
        <w:t xml:space="preserve"> </w:t>
      </w:r>
      <w:r>
        <w:t xml:space="preserve">参路 24:25-27，44-45。</w:t>
      </w:r>
    </w:p>
  </w:footnote>
  <w:footnote w:id="1076">
    <w:p>
      <w:pPr>
        <w:pStyle w:val="FootnoteText"/>
      </w:pPr>
      <w:r>
        <w:rPr>
          <w:rStyle w:val="FootnoteReference"/>
        </w:rPr>
        <w:footnoteRef/>
      </w:r>
      <w:r>
        <w:t xml:space="preserve"> </w:t>
      </w:r>
      <w:r>
        <w:t xml:space="preserve">彼前 1:18-20。</w:t>
      </w:r>
    </w:p>
  </w:footnote>
  <w:footnote w:id="1077">
    <w:p>
      <w:pPr>
        <w:pStyle w:val="FootnoteText"/>
      </w:pPr>
      <w:r>
        <w:rPr>
          <w:rStyle w:val="FootnoteReference"/>
        </w:rPr>
        <w:footnoteRef/>
      </w:r>
      <w:r>
        <w:t xml:space="preserve"> </w:t>
      </w:r>
      <w:r>
        <w:t xml:space="preserve">参罗 5:12；林前 15:56。</w:t>
      </w:r>
    </w:p>
  </w:footnote>
  <w:footnote w:id="1078">
    <w:p>
      <w:pPr>
        <w:pStyle w:val="FootnoteText"/>
      </w:pPr>
      <w:r>
        <w:rPr>
          <w:rStyle w:val="FootnoteReference"/>
        </w:rPr>
        <w:footnoteRef/>
      </w:r>
      <w:r>
        <w:t xml:space="preserve"> </w:t>
      </w:r>
      <w:r>
        <w:t xml:space="preserve">林后 5:21；参腓 2:7；罗 8:3。</w:t>
      </w:r>
    </w:p>
  </w:footnote>
  <w:footnote w:id="1079">
    <w:p>
      <w:pPr>
        <w:pStyle w:val="FootnoteText"/>
      </w:pPr>
      <w:r>
        <w:rPr>
          <w:rStyle w:val="FootnoteReference"/>
        </w:rPr>
        <w:footnoteRef/>
      </w:r>
      <w:r>
        <w:t xml:space="preserve"> </w:t>
      </w:r>
      <w:r>
        <w:t xml:space="preserve">参约 8:46。</w:t>
      </w:r>
    </w:p>
  </w:footnote>
  <w:footnote w:id="1080">
    <w:p>
      <w:pPr>
        <w:pStyle w:val="FootnoteText"/>
      </w:pPr>
      <w:r>
        <w:rPr>
          <w:rStyle w:val="FootnoteReference"/>
        </w:rPr>
        <w:footnoteRef/>
      </w:r>
      <w:r>
        <w:t xml:space="preserve"> </w:t>
      </w:r>
      <w:r>
        <w:t xml:space="preserve">可 15:34；诗 22:2；参约 8:29。</w:t>
      </w:r>
    </w:p>
  </w:footnote>
  <w:footnote w:id="1081">
    <w:p>
      <w:pPr>
        <w:pStyle w:val="FootnoteText"/>
      </w:pPr>
      <w:r>
        <w:rPr>
          <w:rStyle w:val="FootnoteReference"/>
        </w:rPr>
        <w:footnoteRef/>
      </w:r>
      <w:r>
        <w:t xml:space="preserve"> </w:t>
      </w:r>
      <w:r>
        <w:t xml:space="preserve">罗 8:32；5:10。</w:t>
      </w:r>
    </w:p>
  </w:footnote>
  <w:footnote w:id="1082">
    <w:p>
      <w:pPr>
        <w:pStyle w:val="FootnoteText"/>
      </w:pPr>
      <w:r>
        <w:rPr>
          <w:rStyle w:val="FootnoteReference"/>
        </w:rPr>
        <w:footnoteRef/>
      </w:r>
      <w:r>
        <w:t xml:space="preserve"> </w:t>
      </w:r>
      <w:r>
        <w:t xml:space="preserve">约壹 4:10；4:19。</w:t>
      </w:r>
    </w:p>
  </w:footnote>
  <w:footnote w:id="1083">
    <w:p>
      <w:pPr>
        <w:pStyle w:val="FootnoteText"/>
      </w:pPr>
      <w:r>
        <w:rPr>
          <w:rStyle w:val="FootnoteReference"/>
        </w:rPr>
        <w:footnoteRef/>
      </w:r>
      <w:r>
        <w:t xml:space="preserve"> </w:t>
      </w:r>
      <w:r>
        <w:t xml:space="preserve">罗 5:8。</w:t>
      </w:r>
    </w:p>
  </w:footnote>
  <w:footnote w:id="1084">
    <w:p>
      <w:pPr>
        <w:pStyle w:val="FootnoteText"/>
      </w:pPr>
      <w:r>
        <w:rPr>
          <w:rStyle w:val="FootnoteReference"/>
        </w:rPr>
        <w:footnoteRef/>
      </w:r>
      <w:r>
        <w:t xml:space="preserve"> </w:t>
      </w:r>
      <w:r>
        <w:t xml:space="preserve">太 18:14。</w:t>
      </w:r>
    </w:p>
  </w:footnote>
  <w:footnote w:id="1085">
    <w:p>
      <w:pPr>
        <w:pStyle w:val="FootnoteText"/>
      </w:pPr>
      <w:r>
        <w:rPr>
          <w:rStyle w:val="FootnoteReference"/>
        </w:rPr>
        <w:footnoteRef/>
      </w:r>
      <w:r>
        <w:t xml:space="preserve"> </w:t>
      </w:r>
      <w:r>
        <w:t xml:space="preserve">太 20:28；参罗 5:18-19。</w:t>
      </w:r>
    </w:p>
  </w:footnote>
  <w:footnote w:id="1086">
    <w:p>
      <w:pPr>
        <w:pStyle w:val="FootnoteText"/>
      </w:pPr>
      <w:r>
        <w:rPr>
          <w:rStyle w:val="FootnoteReference"/>
        </w:rPr>
        <w:footnoteRef/>
      </w:r>
      <w:r>
        <w:t xml:space="preserve"> </w:t>
      </w:r>
      <w:r>
        <w:t xml:space="preserve">基尔西会议（853 年）：DS 624；参林后 5:15；约壹 2:2。</w:t>
      </w:r>
    </w:p>
  </w:footnote>
  <w:footnote w:id="1088">
    <w:p>
      <w:pPr>
        <w:pStyle w:val="FootnoteText"/>
      </w:pPr>
      <w:r>
        <w:rPr>
          <w:rStyle w:val="FootnoteReference"/>
        </w:rPr>
        <w:footnoteRef/>
      </w:r>
      <w:r>
        <w:t xml:space="preserve"> </w:t>
      </w:r>
      <w:r>
        <w:t xml:space="preserve">约 1:29；参见路 3:21；太 3:14-15；约 1:36。</w:t>
      </w:r>
    </w:p>
  </w:footnote>
  <w:footnote w:id="1089">
    <w:p>
      <w:pPr>
        <w:pStyle w:val="FootnoteText"/>
      </w:pPr>
      <w:r>
        <w:rPr>
          <w:rStyle w:val="FootnoteReference"/>
        </w:rPr>
        <w:footnoteRef/>
      </w:r>
      <w:r>
        <w:t xml:space="preserve"> </w:t>
      </w:r>
      <w:r>
        <w:t xml:space="preserve">赛 53:7,12；参见耶 11:19；出 12:3-14；约 19:36；林前 5:7。</w:t>
      </w:r>
    </w:p>
  </w:footnote>
  <w:footnote w:id="1090">
    <w:p>
      <w:pPr>
        <w:pStyle w:val="FootnoteText"/>
      </w:pPr>
      <w:r>
        <w:rPr>
          <w:rStyle w:val="FootnoteReference"/>
        </w:rPr>
        <w:footnoteRef/>
      </w:r>
      <w:r>
        <w:t xml:space="preserve"> </w:t>
      </w:r>
      <w:r>
        <w:t xml:space="preserve">可 10:45。</w:t>
      </w:r>
    </w:p>
  </w:footnote>
  <w:footnote w:id="1091">
    <w:p>
      <w:pPr>
        <w:pStyle w:val="FootnoteText"/>
      </w:pPr>
      <w:r>
        <w:rPr>
          <w:rStyle w:val="FootnoteReference"/>
        </w:rPr>
        <w:footnoteRef/>
      </w:r>
      <w:r>
        <w:t xml:space="preserve"> </w:t>
      </w:r>
      <w:r>
        <w:t xml:space="preserve">约 13:1；15:13。</w:t>
      </w:r>
    </w:p>
  </w:footnote>
  <w:footnote w:id="1092">
    <w:p>
      <w:pPr>
        <w:pStyle w:val="FootnoteText"/>
      </w:pPr>
      <w:r>
        <w:rPr>
          <w:rStyle w:val="FootnoteReference"/>
        </w:rPr>
        <w:footnoteRef/>
      </w:r>
      <w:r>
        <w:t xml:space="preserve"> </w:t>
      </w:r>
      <w:r>
        <w:t xml:space="preserve">参来 2:10，17-18；4:15；5:7-9。</w:t>
      </w:r>
    </w:p>
  </w:footnote>
  <w:footnote w:id="1093">
    <w:p>
      <w:pPr>
        <w:pStyle w:val="FootnoteText"/>
      </w:pPr>
      <w:r>
        <w:rPr>
          <w:rStyle w:val="FootnoteReference"/>
        </w:rPr>
        <w:footnoteRef/>
      </w:r>
      <w:r>
        <w:t xml:space="preserve"> </w:t>
      </w:r>
      <w:r>
        <w:t xml:space="preserve">约 10:18。</w:t>
      </w:r>
    </w:p>
  </w:footnote>
  <w:footnote w:id="1094">
    <w:p>
      <w:pPr>
        <w:pStyle w:val="FootnoteText"/>
      </w:pPr>
      <w:r>
        <w:rPr>
          <w:rStyle w:val="FootnoteReference"/>
        </w:rPr>
        <w:footnoteRef/>
      </w:r>
      <w:r>
        <w:t xml:space="preserve"> </w:t>
      </w:r>
      <w:r>
        <w:t xml:space="preserve">参约 18:4-6；太 26:53。</w:t>
      </w:r>
    </w:p>
  </w:footnote>
  <w:footnote w:id="1095">
    <w:p>
      <w:pPr>
        <w:pStyle w:val="FootnoteText"/>
      </w:pPr>
      <w:r>
        <w:rPr>
          <w:rStyle w:val="FootnoteReference"/>
        </w:rPr>
        <w:footnoteRef/>
      </w:r>
      <w:r>
        <w:t xml:space="preserve"> </w:t>
      </w:r>
      <w:r>
        <w:t xml:space="preserve">《罗马弥撒经书》，感恩经第三式；参太 26:20；林前 11:23。</w:t>
      </w:r>
    </w:p>
  </w:footnote>
  <w:footnote w:id="1096">
    <w:p>
      <w:pPr>
        <w:pStyle w:val="FootnoteText"/>
      </w:pPr>
      <w:r>
        <w:rPr>
          <w:rStyle w:val="FootnoteReference"/>
        </w:rPr>
        <w:footnoteRef/>
      </w:r>
      <w:r>
        <w:t xml:space="preserve"> </w:t>
      </w:r>
      <w:r>
        <w:t xml:space="preserve">路 22:19；太 26:28；参林前 5:7。</w:t>
      </w:r>
    </w:p>
  </w:footnote>
  <w:footnote w:id="1097">
    <w:p>
      <w:pPr>
        <w:pStyle w:val="FootnoteText"/>
      </w:pPr>
      <w:r>
        <w:rPr>
          <w:rStyle w:val="FootnoteReference"/>
        </w:rPr>
        <w:footnoteRef/>
      </w:r>
      <w:r>
        <w:t xml:space="preserve"> </w:t>
      </w:r>
      <w:r>
        <w:t xml:space="preserve">林前 11:25。</w:t>
      </w:r>
    </w:p>
  </w:footnote>
  <w:footnote w:id="1098">
    <w:p>
      <w:pPr>
        <w:pStyle w:val="FootnoteText"/>
      </w:pPr>
      <w:r>
        <w:rPr>
          <w:rStyle w:val="FootnoteReference"/>
        </w:rPr>
        <w:footnoteRef/>
      </w:r>
      <w:r>
        <w:t xml:space="preserve"> </w:t>
      </w:r>
      <w:r>
        <w:t xml:space="preserve">参路 22:19。</w:t>
      </w:r>
    </w:p>
  </w:footnote>
  <w:footnote w:id="1099">
    <w:p>
      <w:pPr>
        <w:pStyle w:val="FootnoteText"/>
      </w:pPr>
      <w:r>
        <w:rPr>
          <w:rStyle w:val="FootnoteReference"/>
        </w:rPr>
        <w:footnoteRef/>
      </w:r>
      <w:r>
        <w:t xml:space="preserve"> </w:t>
      </w:r>
      <w:r>
        <w:t xml:space="preserve">约 17:19；参特利腾会议：DS 1752；1764。</w:t>
      </w:r>
    </w:p>
  </w:footnote>
  <w:footnote w:id="1100">
    <w:p>
      <w:pPr>
        <w:pStyle w:val="FootnoteText"/>
      </w:pPr>
      <w:r>
        <w:rPr>
          <w:rStyle w:val="FootnoteReference"/>
        </w:rPr>
        <w:footnoteRef/>
      </w:r>
      <w:r>
        <w:t xml:space="preserve"> </w:t>
      </w:r>
      <w:r>
        <w:t xml:space="preserve">参太 26:42；路 22:20。</w:t>
      </w:r>
    </w:p>
  </w:footnote>
  <w:footnote w:id="1101">
    <w:p>
      <w:pPr>
        <w:pStyle w:val="FootnoteText"/>
      </w:pPr>
      <w:r>
        <w:rPr>
          <w:rStyle w:val="FootnoteReference"/>
        </w:rPr>
        <w:footnoteRef/>
      </w:r>
      <w:r>
        <w:t xml:space="preserve"> </w:t>
      </w:r>
      <w:r>
        <w:t xml:space="preserve">腓 2:8；太 26:39；参来 5:7-8。</w:t>
      </w:r>
    </w:p>
  </w:footnote>
  <w:footnote w:id="1102">
    <w:p>
      <w:pPr>
        <w:pStyle w:val="FootnoteText"/>
      </w:pPr>
      <w:r>
        <w:rPr>
          <w:rStyle w:val="FootnoteReference"/>
        </w:rPr>
        <w:footnoteRef/>
      </w:r>
      <w:r>
        <w:t xml:space="preserve"> </w:t>
      </w:r>
      <w:r>
        <w:t xml:space="preserve">参罗 5:12；来 4:15。</w:t>
      </w:r>
    </w:p>
  </w:footnote>
  <w:footnote w:id="1103">
    <w:p>
      <w:pPr>
        <w:pStyle w:val="FootnoteText"/>
      </w:pPr>
      <w:r>
        <w:rPr>
          <w:rStyle w:val="FootnoteReference"/>
        </w:rPr>
        <w:footnoteRef/>
      </w:r>
      <w:r>
        <w:t xml:space="preserve"> </w:t>
      </w:r>
      <w:r>
        <w:t xml:space="preserve">参徒 3:15；启 1:17；约 1:4；5:26。</w:t>
      </w:r>
    </w:p>
  </w:footnote>
  <w:footnote w:id="1104">
    <w:p>
      <w:pPr>
        <w:pStyle w:val="FootnoteText"/>
      </w:pPr>
      <w:r>
        <w:rPr>
          <w:rStyle w:val="FootnoteReference"/>
        </w:rPr>
        <w:footnoteRef/>
      </w:r>
      <w:r>
        <w:t xml:space="preserve"> </w:t>
      </w:r>
      <w:r>
        <w:t xml:space="preserve">彼前 2:24；参太 26:42。</w:t>
      </w:r>
    </w:p>
  </w:footnote>
  <w:footnote w:id="1105">
    <w:p>
      <w:pPr>
        <w:pStyle w:val="FootnoteText"/>
      </w:pPr>
      <w:r>
        <w:rPr>
          <w:rStyle w:val="FootnoteReference"/>
        </w:rPr>
        <w:footnoteRef/>
      </w:r>
      <w:r>
        <w:t xml:space="preserve"> </w:t>
      </w:r>
      <w:r>
        <w:t xml:space="preserve">约 1:29；参 8:34-36；林前 5:7；彼前 1:19。</w:t>
      </w:r>
    </w:p>
  </w:footnote>
  <w:footnote w:id="1106">
    <w:p>
      <w:pPr>
        <w:pStyle w:val="FootnoteText"/>
      </w:pPr>
      <w:r>
        <w:rPr>
          <w:rStyle w:val="FootnoteReference"/>
        </w:rPr>
        <w:footnoteRef/>
      </w:r>
      <w:r>
        <w:t xml:space="preserve"> </w:t>
      </w:r>
      <w:r>
        <w:t xml:space="preserve">太 26:28；参出 24:8；利 16:15-16；林前 11:25。</w:t>
      </w:r>
    </w:p>
  </w:footnote>
  <w:footnote w:id="1107">
    <w:p>
      <w:pPr>
        <w:pStyle w:val="FootnoteText"/>
      </w:pPr>
      <w:r>
        <w:rPr>
          <w:rStyle w:val="FootnoteReference"/>
        </w:rPr>
        <w:footnoteRef/>
      </w:r>
      <w:r>
        <w:t xml:space="preserve"> </w:t>
      </w:r>
      <w:r>
        <w:t xml:space="preserve">参来 10:10。</w:t>
      </w:r>
    </w:p>
  </w:footnote>
  <w:footnote w:id="1108">
    <w:p>
      <w:pPr>
        <w:pStyle w:val="FootnoteText"/>
      </w:pPr>
      <w:r>
        <w:rPr>
          <w:rStyle w:val="FootnoteReference"/>
        </w:rPr>
        <w:footnoteRef/>
      </w:r>
      <w:r>
        <w:t xml:space="preserve"> </w:t>
      </w:r>
      <w:r>
        <w:t xml:space="preserve">参约 10:17-18；15:13；来 9:14；约一 4:10。</w:t>
      </w:r>
    </w:p>
  </w:footnote>
  <w:footnote w:id="1109">
    <w:p>
      <w:pPr>
        <w:pStyle w:val="FootnoteText"/>
      </w:pPr>
      <w:r>
        <w:rPr>
          <w:rStyle w:val="FootnoteReference"/>
        </w:rPr>
        <w:footnoteRef/>
      </w:r>
      <w:r>
        <w:t xml:space="preserve"> </w:t>
      </w:r>
      <w:r>
        <w:t xml:space="preserve">罗 5:19。</w:t>
      </w:r>
    </w:p>
  </w:footnote>
  <w:footnote w:id="1110">
    <w:p>
      <w:pPr>
        <w:pStyle w:val="FootnoteText"/>
      </w:pPr>
      <w:r>
        <w:rPr>
          <w:rStyle w:val="FootnoteReference"/>
        </w:rPr>
        <w:footnoteRef/>
      </w:r>
      <w:r>
        <w:t xml:space="preserve"> </w:t>
      </w:r>
      <w:r>
        <w:t xml:space="preserve">赛 53:10-12。</w:t>
      </w:r>
    </w:p>
  </w:footnote>
  <w:footnote w:id="1111">
    <w:p>
      <w:pPr>
        <w:pStyle w:val="FootnoteText"/>
      </w:pPr>
      <w:r>
        <w:rPr>
          <w:rStyle w:val="FootnoteReference"/>
        </w:rPr>
        <w:footnoteRef/>
      </w:r>
      <w:r>
        <w:t xml:space="preserve"> </w:t>
      </w:r>
      <w:r>
        <w:t xml:space="preserve">参特利腾会议（1547 年）：DS 1529。</w:t>
      </w:r>
    </w:p>
  </w:footnote>
  <w:footnote w:id="1112">
    <w:p>
      <w:pPr>
        <w:pStyle w:val="FootnoteText"/>
      </w:pPr>
      <w:r>
        <w:rPr>
          <w:rStyle w:val="FootnoteReference"/>
        </w:rPr>
        <w:footnoteRef/>
      </w:r>
      <w:r>
        <w:t xml:space="preserve"> </w:t>
      </w:r>
      <w:r>
        <w:t xml:space="preserve">约 13:1。</w:t>
      </w:r>
    </w:p>
  </w:footnote>
  <w:footnote w:id="1113">
    <w:p>
      <w:pPr>
        <w:pStyle w:val="FootnoteText"/>
      </w:pPr>
      <w:r>
        <w:rPr>
          <w:rStyle w:val="FootnoteReference"/>
        </w:rPr>
        <w:footnoteRef/>
      </w:r>
      <w:r>
        <w:t xml:space="preserve"> </w:t>
      </w:r>
      <w:r>
        <w:t xml:space="preserve">参迦 2:20；弗 5:2，25。</w:t>
      </w:r>
    </w:p>
  </w:footnote>
  <w:footnote w:id="1114">
    <w:p>
      <w:pPr>
        <w:pStyle w:val="FootnoteText"/>
      </w:pPr>
      <w:r>
        <w:rPr>
          <w:rStyle w:val="FootnoteReference"/>
        </w:rPr>
        <w:footnoteRef/>
      </w:r>
      <w:r>
        <w:t xml:space="preserve"> </w:t>
      </w:r>
      <w:r>
        <w:t xml:space="preserve">林后 5:14。</w:t>
      </w:r>
    </w:p>
  </w:footnote>
  <w:footnote w:id="1115">
    <w:p>
      <w:pPr>
        <w:pStyle w:val="FootnoteText"/>
      </w:pPr>
      <w:r>
        <w:rPr>
          <w:rStyle w:val="FootnoteReference"/>
        </w:rPr>
        <w:footnoteRef/>
      </w:r>
      <w:r>
        <w:t xml:space="preserve"> </w:t>
      </w:r>
      <w:r>
        <w:t xml:space="preserve">来 5:9。</w:t>
      </w:r>
    </w:p>
  </w:footnote>
  <w:footnote w:id="1116">
    <w:p>
      <w:pPr>
        <w:pStyle w:val="FootnoteText"/>
      </w:pPr>
      <w:r>
        <w:rPr>
          <w:rStyle w:val="FootnoteReference"/>
        </w:rPr>
        <w:footnoteRef/>
      </w:r>
      <w:r>
        <w:t xml:space="preserve"> </w:t>
      </w:r>
      <w:r>
        <w:t xml:space="preserve">特利腾会议：DS 1529。</w:t>
      </w:r>
    </w:p>
  </w:footnote>
  <w:footnote w:id="1117">
    <w:p>
      <w:pPr>
        <w:pStyle w:val="FootnoteText"/>
      </w:pPr>
      <w:r>
        <w:rPr>
          <w:rStyle w:val="FootnoteReference"/>
        </w:rPr>
        <w:footnoteRef/>
      </w:r>
      <w:r>
        <w:t xml:space="preserve"> </w:t>
      </w:r>
      <w:r>
        <w:t xml:space="preserve">《礼仪时辰》，四旬期，圣周，晚祷，圣咏 Vexilla regis。</w:t>
      </w:r>
    </w:p>
  </w:footnote>
  <w:footnote w:id="1118">
    <w:p>
      <w:pPr>
        <w:pStyle w:val="FootnoteText"/>
      </w:pPr>
      <w:r>
        <w:rPr>
          <w:rStyle w:val="FootnoteReference"/>
        </w:rPr>
        <w:footnoteRef/>
      </w:r>
      <w:r>
        <w:t xml:space="preserve"> </w:t>
      </w:r>
      <w:r>
        <w:t xml:space="preserve">提前 2:5。</w:t>
      </w:r>
    </w:p>
  </w:footnote>
  <w:footnote w:id="1119">
    <w:p>
      <w:pPr>
        <w:pStyle w:val="FootnoteText"/>
      </w:pPr>
      <w:r>
        <w:rPr>
          <w:rStyle w:val="FootnoteReference"/>
        </w:rPr>
        <w:footnoteRef/>
      </w:r>
      <w:r>
        <w:t xml:space="preserve"> </w:t>
      </w:r>
      <w:r>
        <w:t xml:space="preserve">《牧职宪章》22§5；参§2。</w:t>
      </w:r>
    </w:p>
  </w:footnote>
  <w:footnote w:id="1120">
    <w:p>
      <w:pPr>
        <w:pStyle w:val="FootnoteText"/>
      </w:pPr>
      <w:r>
        <w:rPr>
          <w:rStyle w:val="FootnoteReference"/>
        </w:rPr>
        <w:footnoteRef/>
      </w:r>
      <w:r>
        <w:t xml:space="preserve"> </w:t>
      </w:r>
      <w:r>
        <w:t xml:space="preserve">太 16:24。</w:t>
      </w:r>
    </w:p>
  </w:footnote>
  <w:footnote w:id="1121">
    <w:p>
      <w:pPr>
        <w:pStyle w:val="FootnoteText"/>
      </w:pPr>
      <w:r>
        <w:rPr>
          <w:rStyle w:val="FootnoteReference"/>
        </w:rPr>
        <w:footnoteRef/>
      </w:r>
      <w:r>
        <w:t xml:space="preserve"> </w:t>
      </w:r>
      <w:r>
        <w:t xml:space="preserve">彼前 2:21。</w:t>
      </w:r>
    </w:p>
  </w:footnote>
  <w:footnote w:id="1122">
    <w:p>
      <w:pPr>
        <w:pStyle w:val="FootnoteText"/>
      </w:pPr>
      <w:r>
        <w:rPr>
          <w:rStyle w:val="FootnoteReference"/>
        </w:rPr>
        <w:footnoteRef/>
      </w:r>
      <w:r>
        <w:t xml:space="preserve"> </w:t>
      </w:r>
      <w:r>
        <w:t xml:space="preserve">参可 10:39；约 21:18-19；西 1:24。</w:t>
      </w:r>
    </w:p>
  </w:footnote>
  <w:footnote w:id="1123">
    <w:p>
      <w:pPr>
        <w:pStyle w:val="FootnoteText"/>
      </w:pPr>
      <w:r>
        <w:rPr>
          <w:rStyle w:val="FootnoteReference"/>
        </w:rPr>
        <w:footnoteRef/>
      </w:r>
      <w:r>
        <w:t xml:space="preserve"> </w:t>
      </w:r>
      <w:r>
        <w:t xml:space="preserve">参路 2:35。</w:t>
      </w:r>
    </w:p>
  </w:footnote>
  <w:footnote w:id="1124">
    <w:p>
      <w:pPr>
        <w:pStyle w:val="FootnoteText"/>
      </w:pPr>
      <w:r>
        <w:rPr>
          <w:rStyle w:val="FootnoteReference"/>
        </w:rPr>
        <w:footnoteRef/>
      </w:r>
      <w:r>
        <w:t xml:space="preserve"> </w:t>
      </w:r>
      <w:r>
        <w:t xml:space="preserve">利马的圣罗撒，参阅 P. Hansen，Vita mirabilis（鲁汶，1668 年）。</w:t>
      </w:r>
    </w:p>
  </w:footnote>
  <w:footnote w:id="1128">
    <w:p>
      <w:pPr>
        <w:pStyle w:val="FootnoteText"/>
      </w:pPr>
      <w:r>
        <w:rPr>
          <w:rStyle w:val="FootnoteReference"/>
        </w:rPr>
        <w:footnoteRef/>
      </w:r>
      <w:r>
        <w:t xml:space="preserve"> </w:t>
      </w:r>
      <w:r>
        <w:t xml:space="preserve">来 2:9。</w:t>
      </w:r>
    </w:p>
  </w:footnote>
  <w:footnote w:id="1129">
    <w:p>
      <w:pPr>
        <w:pStyle w:val="FootnoteText"/>
      </w:pPr>
      <w:r>
        <w:rPr>
          <w:rStyle w:val="FootnoteReference"/>
        </w:rPr>
        <w:footnoteRef/>
      </w:r>
      <w:r>
        <w:t xml:space="preserve"> </w:t>
      </w:r>
      <w:r>
        <w:t xml:space="preserve">林前 15:3。</w:t>
      </w:r>
    </w:p>
  </w:footnote>
  <w:footnote w:id="1130">
    <w:p>
      <w:pPr>
        <w:pStyle w:val="FootnoteText"/>
      </w:pPr>
      <w:r>
        <w:rPr>
          <w:rStyle w:val="FootnoteReference"/>
        </w:rPr>
        <w:footnoteRef/>
      </w:r>
      <w:r>
        <w:t xml:space="preserve"> </w:t>
      </w:r>
      <w:r>
        <w:t xml:space="preserve">约 19:42。</w:t>
      </w:r>
    </w:p>
  </w:footnote>
  <w:footnote w:id="1131">
    <w:p>
      <w:pPr>
        <w:pStyle w:val="FootnoteText"/>
      </w:pPr>
      <w:r>
        <w:rPr>
          <w:rStyle w:val="FootnoteReference"/>
        </w:rPr>
        <w:footnoteRef/>
      </w:r>
      <w:r>
        <w:t xml:space="preserve"> </w:t>
      </w:r>
      <w:r>
        <w:t xml:space="preserve">约 19:30。</w:t>
      </w:r>
    </w:p>
  </w:footnote>
  <w:footnote w:id="1132">
    <w:p>
      <w:pPr>
        <w:pStyle w:val="FootnoteText"/>
      </w:pPr>
      <w:r>
        <w:rPr>
          <w:rStyle w:val="FootnoteReference"/>
        </w:rPr>
        <w:footnoteRef/>
      </w:r>
      <w:r>
        <w:t xml:space="preserve"> </w:t>
      </w:r>
      <w:r>
        <w:t xml:space="preserve">来 4:7-9。</w:t>
      </w:r>
    </w:p>
  </w:footnote>
  <w:footnote w:id="1133">
    <w:p>
      <w:pPr>
        <w:pStyle w:val="FootnoteText"/>
      </w:pPr>
      <w:r>
        <w:rPr>
          <w:rStyle w:val="FootnoteReference"/>
        </w:rPr>
        <w:footnoteRef/>
      </w:r>
      <w:r>
        <w:t xml:space="preserve"> </w:t>
      </w:r>
      <w:r>
        <w:t xml:space="preserve">西 1:18-20。</w:t>
      </w:r>
    </w:p>
  </w:footnote>
  <w:footnote w:id="1134">
    <w:p>
      <w:pPr>
        <w:pStyle w:val="FootnoteText"/>
      </w:pPr>
      <w:r>
        <w:rPr>
          <w:rStyle w:val="FootnoteReference"/>
        </w:rPr>
        <w:footnoteRef/>
      </w:r>
      <w:r>
        <w:t xml:space="preserve"> </w:t>
      </w:r>
      <w:r>
        <w:t xml:space="preserve">启 1:18。</w:t>
      </w:r>
    </w:p>
  </w:footnote>
  <w:footnote w:id="1135">
    <w:p>
      <w:pPr>
        <w:pStyle w:val="FootnoteText"/>
      </w:pPr>
      <w:r>
        <w:rPr>
          <w:rStyle w:val="FootnoteReference"/>
        </w:rPr>
        <w:footnoteRef/>
      </w:r>
      <w:r>
        <w:t xml:space="preserve"> </w:t>
      </w:r>
      <w:r>
        <w:t xml:space="preserve">尼撒的额我略，《教理讲授》16：PG 45, 52D。</w:t>
      </w:r>
    </w:p>
  </w:footnote>
  <w:footnote w:id="1136">
    <w:p>
      <w:pPr>
        <w:pStyle w:val="FootnoteText"/>
      </w:pPr>
      <w:r>
        <w:rPr>
          <w:rStyle w:val="FootnoteReference"/>
        </w:rPr>
        <w:footnoteRef/>
      </w:r>
      <w:r>
        <w:t xml:space="preserve"> </w:t>
      </w:r>
      <w:r>
        <w:t xml:space="preserve">徒 3:15。</w:t>
      </w:r>
    </w:p>
  </w:footnote>
  <w:footnote w:id="1137">
    <w:p>
      <w:pPr>
        <w:pStyle w:val="FootnoteText"/>
      </w:pPr>
      <w:r>
        <w:rPr>
          <w:rStyle w:val="FootnoteReference"/>
        </w:rPr>
        <w:footnoteRef/>
      </w:r>
      <w:r>
        <w:t xml:space="preserve"> </w:t>
      </w:r>
      <w:r>
        <w:t xml:space="preserve">路 24:5-6。</w:t>
      </w:r>
    </w:p>
  </w:footnote>
  <w:footnote w:id="1138">
    <w:p>
      <w:pPr>
        <w:pStyle w:val="FootnoteText"/>
      </w:pPr>
      <w:r>
        <w:rPr>
          <w:rStyle w:val="FootnoteReference"/>
        </w:rPr>
        <w:footnoteRef/>
      </w:r>
      <w:r>
        <w:t xml:space="preserve"> </w:t>
      </w:r>
      <w:r>
        <w:t xml:space="preserve">大马士革的约翰，《正统信仰》3, 27：PG 94, 1098A。</w:t>
      </w:r>
    </w:p>
  </w:footnote>
  <w:footnote w:id="1140">
    <w:p>
      <w:pPr>
        <w:pStyle w:val="FootnoteText"/>
      </w:pPr>
      <w:r>
        <w:rPr>
          <w:rStyle w:val="FootnoteReference"/>
        </w:rPr>
        <w:footnoteRef/>
      </w:r>
      <w:r>
        <w:t xml:space="preserve"> </w:t>
      </w:r>
      <w:r>
        <w:t xml:space="preserve">徒 2:24。</w:t>
      </w:r>
    </w:p>
  </w:footnote>
  <w:footnote w:id="1141">
    <w:p>
      <w:pPr>
        <w:pStyle w:val="FootnoteText"/>
      </w:pPr>
      <w:r>
        <w:rPr>
          <w:rStyle w:val="FootnoteReference"/>
        </w:rPr>
        <w:footnoteRef/>
      </w:r>
      <w:r>
        <w:t xml:space="preserve"> </w:t>
      </w:r>
      <w:r>
        <w:t xml:space="preserve">托马斯阿奎那，《神学大全》III, 51, 3。</w:t>
      </w:r>
    </w:p>
  </w:footnote>
  <w:footnote w:id="1142">
    <w:p>
      <w:pPr>
        <w:pStyle w:val="FootnoteText"/>
      </w:pPr>
      <w:r>
        <w:rPr>
          <w:rStyle w:val="FootnoteReference"/>
        </w:rPr>
        <w:footnoteRef/>
      </w:r>
      <w:r>
        <w:t xml:space="preserve"> </w:t>
      </w:r>
      <w:r>
        <w:t xml:space="preserve">赛 53:8。</w:t>
      </w:r>
    </w:p>
  </w:footnote>
  <w:footnote w:id="1143">
    <w:p>
      <w:pPr>
        <w:pStyle w:val="FootnoteText"/>
      </w:pPr>
      <w:r>
        <w:rPr>
          <w:rStyle w:val="FootnoteReference"/>
        </w:rPr>
        <w:footnoteRef/>
      </w:r>
      <w:r>
        <w:t xml:space="preserve"> </w:t>
      </w:r>
      <w:r>
        <w:t xml:space="preserve">徒 2:26-27；参诗 16:9-10。</w:t>
      </w:r>
    </w:p>
  </w:footnote>
  <w:footnote w:id="1144">
    <w:p>
      <w:pPr>
        <w:pStyle w:val="FootnoteText"/>
      </w:pPr>
      <w:r>
        <w:rPr>
          <w:rStyle w:val="FootnoteReference"/>
        </w:rPr>
        <w:footnoteRef/>
      </w:r>
      <w:r>
        <w:t xml:space="preserve"> </w:t>
      </w:r>
      <w:r>
        <w:t xml:space="preserve">林前 15:4；路 24:46；太 12:40；拿 2:1；何 6:2；参约 11:39。</w:t>
      </w:r>
    </w:p>
  </w:footnote>
  <w:footnote w:id="1146">
    <w:p>
      <w:pPr>
        <w:pStyle w:val="FootnoteText"/>
      </w:pPr>
      <w:r>
        <w:rPr>
          <w:rStyle w:val="FootnoteReference"/>
        </w:rPr>
        <w:footnoteRef/>
      </w:r>
      <w:r>
        <w:t xml:space="preserve"> </w:t>
      </w:r>
      <w:r>
        <w:t xml:space="preserve">罗 6:4；参西 2:12；弗 5:26。</w:t>
      </w:r>
    </w:p>
  </w:footnote>
  <w:footnote w:id="1151">
    <w:p>
      <w:pPr>
        <w:pStyle w:val="FootnoteText"/>
      </w:pPr>
      <w:r>
        <w:rPr>
          <w:rStyle w:val="FootnoteReference"/>
        </w:rPr>
        <w:footnoteRef/>
      </w:r>
      <w:r>
        <w:t xml:space="preserve"> </w:t>
      </w:r>
      <w:r>
        <w:t xml:space="preserve">以弗所书 4:9-10。</w:t>
      </w:r>
    </w:p>
  </w:footnote>
  <w:footnote w:id="1152">
    <w:p>
      <w:pPr>
        <w:pStyle w:val="FootnoteText"/>
      </w:pPr>
      <w:r>
        <w:rPr>
          <w:rStyle w:val="FootnoteReference"/>
        </w:rPr>
        <w:footnoteRef/>
      </w:r>
      <w:r>
        <w:t xml:space="preserve"> </w:t>
      </w:r>
      <w:r>
        <w:t xml:space="preserve">《罗马弥撒经书》，复活节守夜礼 18，《欢呼颂》。</w:t>
      </w:r>
    </w:p>
  </w:footnote>
  <w:footnote w:id="1153">
    <w:p>
      <w:pPr>
        <w:pStyle w:val="FootnoteText"/>
      </w:pPr>
      <w:r>
        <w:rPr>
          <w:rStyle w:val="FootnoteReference"/>
        </w:rPr>
        <w:footnoteRef/>
      </w:r>
      <w:r>
        <w:t xml:space="preserve"> </w:t>
      </w:r>
      <w:r>
        <w:t xml:space="preserve">徒 3:15；罗 8:11；林前 15:20；参希 13:20。</w:t>
      </w:r>
    </w:p>
  </w:footnote>
  <w:footnote w:id="1154">
    <w:p>
      <w:pPr>
        <w:pStyle w:val="FootnoteText"/>
      </w:pPr>
      <w:r>
        <w:rPr>
          <w:rStyle w:val="FootnoteReference"/>
        </w:rPr>
        <w:footnoteRef/>
      </w:r>
      <w:r>
        <w:t xml:space="preserve"> </w:t>
      </w:r>
      <w:r>
        <w:t xml:space="preserve">参彼前 3:18-19。</w:t>
      </w:r>
    </w:p>
  </w:footnote>
  <w:footnote w:id="1155">
    <w:p>
      <w:pPr>
        <w:pStyle w:val="FootnoteText"/>
      </w:pPr>
      <w:r>
        <w:rPr>
          <w:rStyle w:val="FootnoteReference"/>
        </w:rPr>
        <w:footnoteRef/>
      </w:r>
      <w:r>
        <w:t xml:space="preserve"> </w:t>
      </w:r>
      <w:r>
        <w:t xml:space="preserve">参腓 2:10；徒 2:24；启 1:18；弗 4:9；诗 6:6；88:11-13。</w:t>
      </w:r>
    </w:p>
  </w:footnote>
  <w:footnote w:id="1156">
    <w:p>
      <w:pPr>
        <w:pStyle w:val="FootnoteText"/>
      </w:pPr>
      <w:r>
        <w:rPr>
          <w:rStyle w:val="FootnoteReference"/>
        </w:rPr>
        <w:footnoteRef/>
      </w:r>
      <w:r>
        <w:t xml:space="preserve"> </w:t>
      </w:r>
      <w:r>
        <w:t xml:space="preserve">参诗 89:49；撒上 28:19；结 32:17-32；路 16:22-26。</w:t>
      </w:r>
    </w:p>
  </w:footnote>
  <w:footnote w:id="1157">
    <w:p>
      <w:pPr>
        <w:pStyle w:val="FootnoteText"/>
      </w:pPr>
      <w:r>
        <w:rPr>
          <w:rStyle w:val="FootnoteReference"/>
        </w:rPr>
        <w:footnoteRef/>
      </w:r>
      <w:r>
        <w:t xml:space="preserve"> </w:t>
      </w:r>
      <w:r>
        <w:t xml:space="preserve">《罗马教理问答》I，6，3。</w:t>
      </w:r>
    </w:p>
  </w:footnote>
  <w:footnote w:id="1158">
    <w:p>
      <w:pPr>
        <w:pStyle w:val="FootnoteText"/>
      </w:pPr>
      <w:r>
        <w:rPr>
          <w:rStyle w:val="FootnoteReference"/>
        </w:rPr>
        <w:footnoteRef/>
      </w:r>
      <w:r>
        <w:t xml:space="preserve"> </w:t>
      </w:r>
      <w:r>
        <w:t xml:space="preserve">参罗马大公会议（745）：DS587；本笃十二世，《Cum dudum》（1341）：DS1011；克勉六世，《Super quibusdam》（1351）：DS1077；托利多四世大公会议（625）：DS485；太 27:52-53。</w:t>
      </w:r>
    </w:p>
  </w:footnote>
  <w:footnote w:id="1159">
    <w:p>
      <w:pPr>
        <w:pStyle w:val="FootnoteText"/>
      </w:pPr>
      <w:r>
        <w:rPr>
          <w:rStyle w:val="FootnoteReference"/>
        </w:rPr>
        <w:footnoteRef/>
      </w:r>
      <w:r>
        <w:t xml:space="preserve"> </w:t>
      </w:r>
      <w:r>
        <w:t xml:space="preserve">彼前 4:6。</w:t>
      </w:r>
    </w:p>
  </w:footnote>
  <w:footnote w:id="1160">
    <w:p>
      <w:pPr>
        <w:pStyle w:val="FootnoteText"/>
      </w:pPr>
      <w:r>
        <w:rPr>
          <w:rStyle w:val="FootnoteReference"/>
        </w:rPr>
        <w:footnoteRef/>
      </w:r>
      <w:r>
        <w:t xml:space="preserve"> </w:t>
      </w:r>
      <w:r>
        <w:t xml:space="preserve">约 5:25；参太 12:40；罗 10:7；弗 4:9。</w:t>
      </w:r>
    </w:p>
  </w:footnote>
  <w:footnote w:id="1161">
    <w:p>
      <w:pPr>
        <w:pStyle w:val="FootnoteText"/>
      </w:pPr>
      <w:r>
        <w:rPr>
          <w:rStyle w:val="FootnoteReference"/>
        </w:rPr>
        <w:footnoteRef/>
      </w:r>
      <w:r>
        <w:t xml:space="preserve"> </w:t>
      </w:r>
      <w:r>
        <w:t xml:space="preserve">希 2:14-15；参徒 3:15。</w:t>
      </w:r>
    </w:p>
  </w:footnote>
  <w:footnote w:id="1162">
    <w:p>
      <w:pPr>
        <w:pStyle w:val="FootnoteText"/>
      </w:pPr>
      <w:r>
        <w:rPr>
          <w:rStyle w:val="FootnoteReference"/>
        </w:rPr>
        <w:footnoteRef/>
      </w:r>
      <w:r>
        <w:t xml:space="preserve"> </w:t>
      </w:r>
      <w:r>
        <w:t xml:space="preserve">启 1:18；腓 2:10。</w:t>
      </w:r>
    </w:p>
  </w:footnote>
  <w:footnote w:id="1163">
    <w:p>
      <w:pPr>
        <w:pStyle w:val="FootnoteText"/>
      </w:pPr>
      <w:r>
        <w:rPr>
          <w:rStyle w:val="FootnoteReference"/>
        </w:rPr>
        <w:footnoteRef/>
      </w:r>
      <w:r>
        <w:t xml:space="preserve"> </w:t>
      </w:r>
      <w:r>
        <w:t xml:space="preserve">《古圣周六颂词》：PG 43，440A，452C；《日课》，圣周六，朝颂。</w:t>
      </w:r>
    </w:p>
  </w:footnote>
  <w:footnote w:id="1166">
    <w:p>
      <w:pPr>
        <w:pStyle w:val="FootnoteText"/>
      </w:pPr>
      <w:r>
        <w:rPr>
          <w:rStyle w:val="FootnoteReference"/>
        </w:rPr>
        <w:footnoteRef/>
      </w:r>
      <w:r>
        <w:t xml:space="preserve"> </w:t>
      </w:r>
      <w:r>
        <w:t xml:space="preserve">使 13:32-33。</w:t>
      </w:r>
    </w:p>
  </w:footnote>
  <w:footnote w:id="1167">
    <w:p>
      <w:pPr>
        <w:pStyle w:val="FootnoteText"/>
      </w:pPr>
      <w:r>
        <w:rPr>
          <w:rStyle w:val="FootnoteReference"/>
        </w:rPr>
        <w:footnoteRef/>
      </w:r>
      <w:r>
        <w:t xml:space="preserve"> </w:t>
      </w:r>
      <w:r>
        <w:t xml:space="preserve">拜占庭礼仪，复活节经句。</w:t>
      </w:r>
    </w:p>
  </w:footnote>
  <w:footnote w:id="1168">
    <w:p>
      <w:pPr>
        <w:pStyle w:val="FootnoteText"/>
      </w:pPr>
      <w:r>
        <w:rPr>
          <w:rStyle w:val="FootnoteReference"/>
        </w:rPr>
        <w:footnoteRef/>
      </w:r>
      <w:r>
        <w:t xml:space="preserve"> </w:t>
      </w:r>
      <w:r>
        <w:t xml:space="preserve">林前 15:3-4。</w:t>
      </w:r>
    </w:p>
  </w:footnote>
  <w:footnote w:id="1169">
    <w:p>
      <w:pPr>
        <w:pStyle w:val="FootnoteText"/>
      </w:pPr>
      <w:r>
        <w:rPr>
          <w:rStyle w:val="FootnoteReference"/>
        </w:rPr>
        <w:footnoteRef/>
      </w:r>
      <w:r>
        <w:t xml:space="preserve"> </w:t>
      </w:r>
      <w:r>
        <w:t xml:space="preserve">参徒 9:3-18。</w:t>
      </w:r>
    </w:p>
  </w:footnote>
  <w:footnote w:id="1170">
    <w:p>
      <w:pPr>
        <w:pStyle w:val="FootnoteText"/>
      </w:pPr>
      <w:r>
        <w:rPr>
          <w:rStyle w:val="FootnoteReference"/>
        </w:rPr>
        <w:footnoteRef/>
      </w:r>
      <w:r>
        <w:t xml:space="preserve"> </w:t>
      </w:r>
      <w:r>
        <w:t xml:space="preserve">路 24:5-6。</w:t>
      </w:r>
    </w:p>
  </w:footnote>
  <w:footnote w:id="1171">
    <w:p>
      <w:pPr>
        <w:pStyle w:val="FootnoteText"/>
      </w:pPr>
      <w:r>
        <w:rPr>
          <w:rStyle w:val="FootnoteReference"/>
        </w:rPr>
        <w:footnoteRef/>
      </w:r>
      <w:r>
        <w:t xml:space="preserve"> </w:t>
      </w:r>
      <w:r>
        <w:t xml:space="preserve">参约 20:13；太 28:11-15。</w:t>
      </w:r>
    </w:p>
  </w:footnote>
  <w:footnote w:id="1172">
    <w:p>
      <w:pPr>
        <w:pStyle w:val="FootnoteText"/>
      </w:pPr>
      <w:r>
        <w:rPr>
          <w:rStyle w:val="FootnoteReference"/>
        </w:rPr>
        <w:footnoteRef/>
      </w:r>
      <w:r>
        <w:t xml:space="preserve"> </w:t>
      </w:r>
      <w:r>
        <w:t xml:space="preserve">参路 24:3,12,22-23。</w:t>
      </w:r>
    </w:p>
  </w:footnote>
  <w:footnote w:id="1173">
    <w:p>
      <w:pPr>
        <w:pStyle w:val="FootnoteText"/>
      </w:pPr>
      <w:r>
        <w:rPr>
          <w:rStyle w:val="FootnoteReference"/>
        </w:rPr>
        <w:footnoteRef/>
      </w:r>
      <w:r>
        <w:t xml:space="preserve"> </w:t>
      </w:r>
      <w:r>
        <w:t xml:space="preserve">约 20:2,6,8。</w:t>
      </w:r>
    </w:p>
  </w:footnote>
  <w:footnote w:id="1174">
    <w:p>
      <w:pPr>
        <w:pStyle w:val="FootnoteText"/>
      </w:pPr>
      <w:r>
        <w:rPr>
          <w:rStyle w:val="FootnoteReference"/>
        </w:rPr>
        <w:footnoteRef/>
      </w:r>
      <w:r>
        <w:t xml:space="preserve"> </w:t>
      </w:r>
      <w:r>
        <w:t xml:space="preserve">参约 11:44；20:5-7。</w:t>
      </w:r>
    </w:p>
  </w:footnote>
  <w:footnote w:id="1175">
    <w:p>
      <w:pPr>
        <w:pStyle w:val="FootnoteText"/>
      </w:pPr>
      <w:r>
        <w:rPr>
          <w:rStyle w:val="FootnoteReference"/>
        </w:rPr>
        <w:footnoteRef/>
      </w:r>
      <w:r>
        <w:t xml:space="preserve"> </w:t>
      </w:r>
      <w:r>
        <w:t xml:space="preserve">可 16:1；路 24:1；约 19:31,42。</w:t>
      </w:r>
    </w:p>
  </w:footnote>
  <w:footnote w:id="1176">
    <w:p>
      <w:pPr>
        <w:pStyle w:val="FootnoteText"/>
      </w:pPr>
      <w:r>
        <w:rPr>
          <w:rStyle w:val="FootnoteReference"/>
        </w:rPr>
        <w:footnoteRef/>
      </w:r>
      <w:r>
        <w:t xml:space="preserve"> </w:t>
      </w:r>
      <w:r>
        <w:t xml:space="preserve">参路 24:9-10；太 28:9-10；约 20:11-18。</w:t>
      </w:r>
    </w:p>
  </w:footnote>
  <w:footnote w:id="1177">
    <w:p>
      <w:pPr>
        <w:pStyle w:val="FootnoteText"/>
      </w:pPr>
      <w:r>
        <w:rPr>
          <w:rStyle w:val="FootnoteReference"/>
        </w:rPr>
        <w:footnoteRef/>
      </w:r>
      <w:r>
        <w:t xml:space="preserve"> </w:t>
      </w:r>
      <w:r>
        <w:t xml:space="preserve">参林前 15:5；路 22:31-32。</w:t>
      </w:r>
    </w:p>
  </w:footnote>
  <w:footnote w:id="1178">
    <w:p>
      <w:pPr>
        <w:pStyle w:val="FootnoteText"/>
      </w:pPr>
      <w:r>
        <w:rPr>
          <w:rStyle w:val="FootnoteReference"/>
        </w:rPr>
        <w:footnoteRef/>
      </w:r>
      <w:r>
        <w:t xml:space="preserve"> </w:t>
      </w:r>
      <w:r>
        <w:t xml:space="preserve">路 24:34,36。</w:t>
      </w:r>
    </w:p>
  </w:footnote>
  <w:footnote w:id="1179">
    <w:p>
      <w:pPr>
        <w:pStyle w:val="FootnoteText"/>
      </w:pPr>
      <w:r>
        <w:rPr>
          <w:rStyle w:val="FootnoteReference"/>
        </w:rPr>
        <w:footnoteRef/>
      </w:r>
      <w:r>
        <w:t xml:space="preserve"> </w:t>
      </w:r>
      <w:r>
        <w:t xml:space="preserve">林前 15:4-8；参徒 1:22。</w:t>
      </w:r>
    </w:p>
  </w:footnote>
  <w:footnote w:id="1180">
    <w:p>
      <w:pPr>
        <w:pStyle w:val="FootnoteText"/>
      </w:pPr>
      <w:r>
        <w:rPr>
          <w:rStyle w:val="FootnoteReference"/>
        </w:rPr>
        <w:footnoteRef/>
      </w:r>
      <w:r>
        <w:t xml:space="preserve"> </w:t>
      </w:r>
      <w:r>
        <w:t xml:space="preserve">参路 22:31-32。</w:t>
      </w:r>
    </w:p>
  </w:footnote>
  <w:footnote w:id="1181">
    <w:p>
      <w:pPr>
        <w:pStyle w:val="FootnoteText"/>
      </w:pPr>
      <w:r>
        <w:rPr>
          <w:rStyle w:val="FootnoteReference"/>
        </w:rPr>
        <w:footnoteRef/>
      </w:r>
      <w:r>
        <w:t xml:space="preserve"> </w:t>
      </w:r>
      <w:r>
        <w:t xml:space="preserve">路 24:17；参约 20:19。</w:t>
      </w:r>
    </w:p>
  </w:footnote>
  <w:footnote w:id="1182">
    <w:p>
      <w:pPr>
        <w:pStyle w:val="FootnoteText"/>
      </w:pPr>
      <w:r>
        <w:rPr>
          <w:rStyle w:val="FootnoteReference"/>
        </w:rPr>
        <w:footnoteRef/>
      </w:r>
      <w:r>
        <w:t xml:space="preserve"> </w:t>
      </w:r>
      <w:r>
        <w:t xml:space="preserve">路 24:11；参可 16:11,13。</w:t>
      </w:r>
    </w:p>
  </w:footnote>
  <w:footnote w:id="1183">
    <w:p>
      <w:pPr>
        <w:pStyle w:val="FootnoteText"/>
      </w:pPr>
      <w:r>
        <w:rPr>
          <w:rStyle w:val="FootnoteReference"/>
        </w:rPr>
        <w:footnoteRef/>
      </w:r>
      <w:r>
        <w:t xml:space="preserve"> </w:t>
      </w:r>
      <w:r>
        <w:t xml:space="preserve">可 16:14。</w:t>
      </w:r>
    </w:p>
  </w:footnote>
  <w:footnote w:id="1184">
    <w:p>
      <w:pPr>
        <w:pStyle w:val="FootnoteText"/>
      </w:pPr>
      <w:r>
        <w:rPr>
          <w:rStyle w:val="FootnoteReference"/>
        </w:rPr>
        <w:footnoteRef/>
      </w:r>
      <w:r>
        <w:t xml:space="preserve"> </w:t>
      </w:r>
      <w:r>
        <w:t xml:space="preserve">路 24:38-41。</w:t>
      </w:r>
    </w:p>
  </w:footnote>
  <w:footnote w:id="1185">
    <w:p>
      <w:pPr>
        <w:pStyle w:val="FootnoteText"/>
      </w:pPr>
      <w:r>
        <w:rPr>
          <w:rStyle w:val="FootnoteReference"/>
        </w:rPr>
        <w:footnoteRef/>
      </w:r>
      <w:r>
        <w:t xml:space="preserve"> </w:t>
      </w:r>
      <w:r>
        <w:t xml:space="preserve">参约 20:24-27；太 28:17。</w:t>
      </w:r>
    </w:p>
  </w:footnote>
  <w:footnote w:id="1186">
    <w:p>
      <w:pPr>
        <w:pStyle w:val="FootnoteText"/>
      </w:pPr>
      <w:r>
        <w:rPr>
          <w:rStyle w:val="FootnoteReference"/>
        </w:rPr>
        <w:footnoteRef/>
      </w:r>
      <w:r>
        <w:t xml:space="preserve"> </w:t>
      </w:r>
      <w:r>
        <w:t xml:space="preserve">参路 24:30，39-40，41-43；约 20:20，27；21:9，13-15。</w:t>
      </w:r>
    </w:p>
  </w:footnote>
  <w:footnote w:id="1187">
    <w:p>
      <w:pPr>
        <w:pStyle w:val="FootnoteText"/>
      </w:pPr>
      <w:r>
        <w:rPr>
          <w:rStyle w:val="FootnoteReference"/>
        </w:rPr>
        <w:footnoteRef/>
      </w:r>
      <w:r>
        <w:t xml:space="preserve"> </w:t>
      </w:r>
      <w:r>
        <w:t xml:space="preserve">参太 28:9，16-17；路 24:15，36；约 20:14，17，19，26；21:4。</w:t>
      </w:r>
    </w:p>
  </w:footnote>
  <w:footnote w:id="1188">
    <w:p>
      <w:pPr>
        <w:pStyle w:val="FootnoteText"/>
      </w:pPr>
      <w:r>
        <w:rPr>
          <w:rStyle w:val="FootnoteReference"/>
        </w:rPr>
        <w:footnoteRef/>
      </w:r>
      <w:r>
        <w:t xml:space="preserve"> </w:t>
      </w:r>
      <w:r>
        <w:t xml:space="preserve">参可 16:12；约 20:14-16；21:4，7。</w:t>
      </w:r>
    </w:p>
  </w:footnote>
  <w:footnote w:id="1189">
    <w:p>
      <w:pPr>
        <w:pStyle w:val="FootnoteText"/>
      </w:pPr>
      <w:r>
        <w:rPr>
          <w:rStyle w:val="FootnoteReference"/>
        </w:rPr>
        <w:footnoteRef/>
      </w:r>
      <w:r>
        <w:t xml:space="preserve"> </w:t>
      </w:r>
      <w:r>
        <w:t xml:space="preserve">参林前 15:35-50。</w:t>
      </w:r>
    </w:p>
  </w:footnote>
  <w:footnote w:id="1190">
    <w:p>
      <w:pPr>
        <w:pStyle w:val="FootnoteText"/>
      </w:pPr>
      <w:r>
        <w:rPr>
          <w:rStyle w:val="FootnoteReference"/>
        </w:rPr>
        <w:footnoteRef/>
      </w:r>
      <w:r>
        <w:t xml:space="preserve"> </w:t>
      </w:r>
      <w:r>
        <w:t xml:space="preserve">「噢，真正有福的夜晚，唯独配知道基督从阴间复活的时间和时辰！」</w:t>
      </w:r>
    </w:p>
  </w:footnote>
  <w:footnote w:id="1191">
    <w:p>
      <w:pPr>
        <w:pStyle w:val="FootnoteText"/>
      </w:pPr>
      <w:r>
        <w:rPr>
          <w:rStyle w:val="FootnoteReference"/>
        </w:rPr>
        <w:footnoteRef/>
      </w:r>
      <w:r>
        <w:t xml:space="preserve"> </w:t>
      </w:r>
      <w:r>
        <w:t xml:space="preserve">徒 13:31；参约 14:22。</w:t>
      </w:r>
    </w:p>
  </w:footnote>
  <w:footnote w:id="1193">
    <w:p>
      <w:pPr>
        <w:pStyle w:val="FootnoteText"/>
      </w:pPr>
      <w:r>
        <w:rPr>
          <w:rStyle w:val="FootnoteReference"/>
        </w:rPr>
        <w:footnoteRef/>
      </w:r>
      <w:r>
        <w:t xml:space="preserve"> </w:t>
      </w:r>
      <w:r>
        <w:t xml:space="preserve">罗 1:3-4；参徒 2:24。</w:t>
      </w:r>
    </w:p>
  </w:footnote>
  <w:footnote w:id="1194">
    <w:p>
      <w:pPr>
        <w:pStyle w:val="FootnoteText"/>
      </w:pPr>
      <w:r>
        <w:rPr>
          <w:rStyle w:val="FootnoteReference"/>
        </w:rPr>
        <w:footnoteRef/>
      </w:r>
      <w:r>
        <w:t xml:space="preserve"> </w:t>
      </w:r>
      <w:r>
        <w:t xml:space="preserve">参罗 6:4；林后 13:4；腓 3:10；弗 1:19-22；来 7:16。</w:t>
      </w:r>
    </w:p>
  </w:footnote>
  <w:footnote w:id="1195">
    <w:p>
      <w:pPr>
        <w:pStyle w:val="FootnoteText"/>
      </w:pPr>
      <w:r>
        <w:rPr>
          <w:rStyle w:val="FootnoteReference"/>
        </w:rPr>
        <w:footnoteRef/>
      </w:r>
      <w:r>
        <w:t xml:space="preserve"> </w:t>
      </w:r>
      <w:r>
        <w:t xml:space="preserve">参可 8:31；9:9-31；10:34。</w:t>
      </w:r>
    </w:p>
  </w:footnote>
  <w:footnote w:id="1196">
    <w:p>
      <w:pPr>
        <w:pStyle w:val="FootnoteText"/>
      </w:pPr>
      <w:r>
        <w:rPr>
          <w:rStyle w:val="FootnoteReference"/>
        </w:rPr>
        <w:footnoteRef/>
      </w:r>
      <w:r>
        <w:t xml:space="preserve"> </w:t>
      </w:r>
      <w:r>
        <w:t xml:space="preserve">约 10:17-18。</w:t>
      </w:r>
    </w:p>
  </w:footnote>
  <w:footnote w:id="1197">
    <w:p>
      <w:pPr>
        <w:pStyle w:val="FootnoteText"/>
      </w:pPr>
      <w:r>
        <w:rPr>
          <w:rStyle w:val="FootnoteReference"/>
        </w:rPr>
        <w:footnoteRef/>
      </w:r>
      <w:r>
        <w:t xml:space="preserve"> </w:t>
      </w:r>
      <w:r>
        <w:t xml:space="preserve">帖前 4:14。</w:t>
      </w:r>
    </w:p>
  </w:footnote>
  <w:footnote w:id="1198">
    <w:p>
      <w:pPr>
        <w:pStyle w:val="FootnoteText"/>
      </w:pPr>
      <w:r>
        <w:rPr>
          <w:rStyle w:val="FootnoteReference"/>
        </w:rPr>
        <w:footnoteRef/>
      </w:r>
      <w:r>
        <w:t xml:space="preserve"> </w:t>
      </w:r>
      <w:r>
        <w:t xml:space="preserve">尼撒的额我略，《论基督的复活》，第一篇：PG 46,617B；另参 DS 325; 359; 369。</w:t>
      </w:r>
    </w:p>
  </w:footnote>
  <w:footnote w:id="1200">
    <w:p>
      <w:pPr>
        <w:pStyle w:val="FootnoteText"/>
      </w:pPr>
      <w:r>
        <w:rPr>
          <w:rStyle w:val="FootnoteReference"/>
        </w:rPr>
        <w:footnoteRef/>
      </w:r>
      <w:r>
        <w:t xml:space="preserve"> </w:t>
      </w:r>
      <w:r>
        <w:t xml:space="preserve">林前 15:14。</w:t>
      </w:r>
    </w:p>
  </w:footnote>
  <w:footnote w:id="1201">
    <w:p>
      <w:pPr>
        <w:pStyle w:val="FootnoteText"/>
      </w:pPr>
      <w:r>
        <w:rPr>
          <w:rStyle w:val="FootnoteReference"/>
        </w:rPr>
        <w:footnoteRef/>
      </w:r>
      <w:r>
        <w:t xml:space="preserve"> </w:t>
      </w:r>
      <w:r>
        <w:t xml:space="preserve">参太 28:6；可 16:7；路 24:6-7，26-27，44-48。</w:t>
      </w:r>
    </w:p>
  </w:footnote>
  <w:footnote w:id="1202">
    <w:p>
      <w:pPr>
        <w:pStyle w:val="FootnoteText"/>
      </w:pPr>
      <w:r>
        <w:rPr>
          <w:rStyle w:val="FootnoteReference"/>
        </w:rPr>
        <w:footnoteRef/>
      </w:r>
      <w:r>
        <w:t xml:space="preserve"> </w:t>
      </w:r>
      <w:r>
        <w:t xml:space="preserve">参林前 15:3-4；参尼西亚信经。</w:t>
      </w:r>
    </w:p>
  </w:footnote>
  <w:footnote w:id="1203">
    <w:p>
      <w:pPr>
        <w:pStyle w:val="FootnoteText"/>
      </w:pPr>
      <w:r>
        <w:rPr>
          <w:rStyle w:val="FootnoteReference"/>
        </w:rPr>
        <w:footnoteRef/>
      </w:r>
      <w:r>
        <w:t xml:space="preserve"> </w:t>
      </w:r>
      <w:r>
        <w:t xml:space="preserve">约 8:28。</w:t>
      </w:r>
    </w:p>
  </w:footnote>
  <w:footnote w:id="1204">
    <w:p>
      <w:pPr>
        <w:pStyle w:val="FootnoteText"/>
      </w:pPr>
      <w:r>
        <w:rPr>
          <w:rStyle w:val="FootnoteReference"/>
        </w:rPr>
        <w:footnoteRef/>
      </w:r>
      <w:r>
        <w:t xml:space="preserve"> </w:t>
      </w:r>
      <w:r>
        <w:t xml:space="preserve">徒 13:32-33；参诗 2:7。</w:t>
      </w:r>
    </w:p>
  </w:footnote>
  <w:footnote w:id="1205">
    <w:p>
      <w:pPr>
        <w:pStyle w:val="FootnoteText"/>
      </w:pPr>
      <w:r>
        <w:rPr>
          <w:rStyle w:val="FootnoteReference"/>
        </w:rPr>
        <w:footnoteRef/>
      </w:r>
      <w:r>
        <w:t xml:space="preserve"> </w:t>
      </w:r>
      <w:r>
        <w:t xml:space="preserve">罗 6:4；参 4:25。</w:t>
      </w:r>
    </w:p>
  </w:footnote>
  <w:footnote w:id="1206">
    <w:p>
      <w:pPr>
        <w:pStyle w:val="FootnoteText"/>
      </w:pPr>
      <w:r>
        <w:rPr>
          <w:rStyle w:val="FootnoteReference"/>
        </w:rPr>
        <w:footnoteRef/>
      </w:r>
      <w:r>
        <w:t xml:space="preserve"> </w:t>
      </w:r>
      <w:r>
        <w:t xml:space="preserve">参弗 2:4-5；彼前 1:3。</w:t>
      </w:r>
    </w:p>
  </w:footnote>
  <w:footnote w:id="1207">
    <w:p>
      <w:pPr>
        <w:pStyle w:val="FootnoteText"/>
      </w:pPr>
      <w:r>
        <w:rPr>
          <w:rStyle w:val="FootnoteReference"/>
        </w:rPr>
        <w:footnoteRef/>
      </w:r>
      <w:r>
        <w:t xml:space="preserve"> </w:t>
      </w:r>
      <w:r>
        <w:t xml:space="preserve">太 28:10；约 20:17。</w:t>
      </w:r>
    </w:p>
  </w:footnote>
  <w:footnote w:id="1208">
    <w:p>
      <w:pPr>
        <w:pStyle w:val="FootnoteText"/>
      </w:pPr>
      <w:r>
        <w:rPr>
          <w:rStyle w:val="FootnoteReference"/>
        </w:rPr>
        <w:footnoteRef/>
      </w:r>
      <w:r>
        <w:t xml:space="preserve"> </w:t>
      </w:r>
      <w:r>
        <w:t xml:space="preserve">林前 15:20-22。</w:t>
      </w:r>
    </w:p>
  </w:footnote>
  <w:footnote w:id="1209">
    <w:p>
      <w:pPr>
        <w:pStyle w:val="FootnoteText"/>
      </w:pPr>
      <w:r>
        <w:rPr>
          <w:rStyle w:val="FootnoteReference"/>
        </w:rPr>
        <w:footnoteRef/>
      </w:r>
      <w:r>
        <w:t xml:space="preserve"> </w:t>
      </w:r>
      <w:r>
        <w:t xml:space="preserve">来 6:5。</w:t>
      </w:r>
    </w:p>
  </w:footnote>
  <w:footnote w:id="1210">
    <w:p>
      <w:pPr>
        <w:pStyle w:val="FootnoteText"/>
      </w:pPr>
      <w:r>
        <w:rPr>
          <w:rStyle w:val="FootnoteReference"/>
        </w:rPr>
        <w:footnoteRef/>
      </w:r>
      <w:r>
        <w:t xml:space="preserve"> </w:t>
      </w:r>
      <w:r>
        <w:t xml:space="preserve">林后 5:15；参西 3:1-3。</w:t>
      </w:r>
    </w:p>
  </w:footnote>
  <w:footnote w:id="1215">
    <w:p>
      <w:pPr>
        <w:pStyle w:val="FootnoteText"/>
      </w:pPr>
      <w:r>
        <w:rPr>
          <w:rStyle w:val="FootnoteReference"/>
        </w:rPr>
        <w:footnoteRef/>
      </w:r>
      <w:r>
        <w:t xml:space="preserve"> </w:t>
      </w:r>
      <w:r>
        <w:t xml:space="preserve">可 16:19。</w:t>
      </w:r>
    </w:p>
  </w:footnote>
  <w:footnote w:id="1216">
    <w:p>
      <w:pPr>
        <w:pStyle w:val="FootnoteText"/>
      </w:pPr>
      <w:r>
        <w:rPr>
          <w:rStyle w:val="FootnoteReference"/>
        </w:rPr>
        <w:footnoteRef/>
      </w:r>
      <w:r>
        <w:t xml:space="preserve"> </w:t>
      </w:r>
      <w:r>
        <w:t xml:space="preserve">参路 24:31；约 20:19，26。</w:t>
      </w:r>
    </w:p>
  </w:footnote>
  <w:footnote w:id="1217">
    <w:p>
      <w:pPr>
        <w:pStyle w:val="FootnoteText"/>
      </w:pPr>
      <w:r>
        <w:rPr>
          <w:rStyle w:val="FootnoteReference"/>
        </w:rPr>
        <w:footnoteRef/>
      </w:r>
      <w:r>
        <w:t xml:space="preserve"> </w:t>
      </w:r>
      <w:r>
        <w:t xml:space="preserve">参徒 1:3；10:41；可 16:12；路 24:15；约 20:14-15；21:4。</w:t>
      </w:r>
    </w:p>
  </w:footnote>
  <w:footnote w:id="1218">
    <w:p>
      <w:pPr>
        <w:pStyle w:val="FootnoteText"/>
      </w:pPr>
      <w:r>
        <w:rPr>
          <w:rStyle w:val="FootnoteReference"/>
        </w:rPr>
        <w:footnoteRef/>
      </w:r>
      <w:r>
        <w:t xml:space="preserve"> </w:t>
      </w:r>
      <w:r>
        <w:t xml:space="preserve">参徒 1:9；2:33；7:56；路 9:34-35；24:51；出 13:22；可 16:19；诗 110:1。</w:t>
      </w:r>
    </w:p>
  </w:footnote>
  <w:footnote w:id="1219">
    <w:p>
      <w:pPr>
        <w:pStyle w:val="FootnoteText"/>
      </w:pPr>
      <w:r>
        <w:rPr>
          <w:rStyle w:val="FootnoteReference"/>
        </w:rPr>
        <w:footnoteRef/>
      </w:r>
      <w:r>
        <w:t xml:space="preserve"> </w:t>
      </w:r>
      <w:r>
        <w:t xml:space="preserve">林前 15:8；参 9:1；加 1:16。</w:t>
      </w:r>
    </w:p>
  </w:footnote>
  <w:footnote w:id="1220">
    <w:p>
      <w:pPr>
        <w:pStyle w:val="FootnoteText"/>
      </w:pPr>
      <w:r>
        <w:rPr>
          <w:rStyle w:val="FootnoteReference"/>
        </w:rPr>
        <w:footnoteRef/>
      </w:r>
      <w:r>
        <w:t xml:space="preserve"> </w:t>
      </w:r>
      <w:r>
        <w:t xml:space="preserve">约 20:17。</w:t>
      </w:r>
    </w:p>
  </w:footnote>
  <w:footnote w:id="1221">
    <w:p>
      <w:pPr>
        <w:pStyle w:val="FootnoteText"/>
      </w:pPr>
      <w:r>
        <w:rPr>
          <w:rStyle w:val="FootnoteReference"/>
        </w:rPr>
        <w:footnoteRef/>
      </w:r>
      <w:r>
        <w:t xml:space="preserve"> </w:t>
      </w:r>
      <w:r>
        <w:t xml:space="preserve">参约 16:28。</w:t>
      </w:r>
    </w:p>
  </w:footnote>
  <w:footnote w:id="1222">
    <w:p>
      <w:pPr>
        <w:pStyle w:val="FootnoteText"/>
      </w:pPr>
      <w:r>
        <w:rPr>
          <w:rStyle w:val="FootnoteReference"/>
        </w:rPr>
        <w:footnoteRef/>
      </w:r>
      <w:r>
        <w:t xml:space="preserve"> </w:t>
      </w:r>
      <w:r>
        <w:t xml:space="preserve">约 3:13；参弗 4:8-10。</w:t>
      </w:r>
    </w:p>
  </w:footnote>
  <w:footnote w:id="1223">
    <w:p>
      <w:pPr>
        <w:pStyle w:val="FootnoteText"/>
      </w:pPr>
      <w:r>
        <w:rPr>
          <w:rStyle w:val="FootnoteReference"/>
        </w:rPr>
        <w:footnoteRef/>
      </w:r>
      <w:r>
        <w:t xml:space="preserve"> </w:t>
      </w:r>
      <w:r>
        <w:t xml:space="preserve">约 14:2。</w:t>
      </w:r>
    </w:p>
  </w:footnote>
  <w:footnote w:id="1224">
    <w:p>
      <w:pPr>
        <w:pStyle w:val="FootnoteText"/>
      </w:pPr>
      <w:r>
        <w:rPr>
          <w:rStyle w:val="FootnoteReference"/>
        </w:rPr>
        <w:footnoteRef/>
      </w:r>
      <w:r>
        <w:t xml:space="preserve"> </w:t>
      </w:r>
      <w:r>
        <w:t xml:space="preserve">罗马弥撒经，升天节前夕：「但为叫我们这些肢体深信必跟随我们的元首基督所先到达的地方。」</w:t>
      </w:r>
    </w:p>
  </w:footnote>
  <w:footnote w:id="1225">
    <w:p>
      <w:pPr>
        <w:pStyle w:val="FootnoteText"/>
      </w:pPr>
      <w:r>
        <w:rPr>
          <w:rStyle w:val="FootnoteReference"/>
        </w:rPr>
        <w:footnoteRef/>
      </w:r>
      <w:r>
        <w:t xml:space="preserve"> </w:t>
      </w:r>
      <w:r>
        <w:t xml:space="preserve">约 12:32。</w:t>
      </w:r>
    </w:p>
  </w:footnote>
  <w:footnote w:id="1226">
    <w:p>
      <w:pPr>
        <w:pStyle w:val="FootnoteText"/>
      </w:pPr>
      <w:r>
        <w:rPr>
          <w:rStyle w:val="FootnoteReference"/>
        </w:rPr>
        <w:footnoteRef/>
      </w:r>
      <w:r>
        <w:t xml:space="preserve"> </w:t>
      </w:r>
      <w:r>
        <w:t xml:space="preserve">希 9:24。</w:t>
      </w:r>
    </w:p>
  </w:footnote>
  <w:footnote w:id="1227">
    <w:p>
      <w:pPr>
        <w:pStyle w:val="FootnoteText"/>
      </w:pPr>
      <w:r>
        <w:rPr>
          <w:rStyle w:val="FootnoteReference"/>
        </w:rPr>
        <w:footnoteRef/>
      </w:r>
      <w:r>
        <w:t xml:space="preserve"> </w:t>
      </w:r>
      <w:r>
        <w:t xml:space="preserve">希 7:25。</w:t>
      </w:r>
    </w:p>
  </w:footnote>
  <w:footnote w:id="1228">
    <w:p>
      <w:pPr>
        <w:pStyle w:val="FootnoteText"/>
      </w:pPr>
      <w:r>
        <w:rPr>
          <w:rStyle w:val="FootnoteReference"/>
        </w:rPr>
        <w:footnoteRef/>
      </w:r>
      <w:r>
        <w:t xml:space="preserve"> </w:t>
      </w:r>
      <w:r>
        <w:t xml:space="preserve">希 9:11；参启 4:6-11。</w:t>
      </w:r>
    </w:p>
  </w:footnote>
  <w:footnote w:id="1229">
    <w:p>
      <w:pPr>
        <w:pStyle w:val="FootnoteText"/>
      </w:pPr>
      <w:r>
        <w:rPr>
          <w:rStyle w:val="FootnoteReference"/>
        </w:rPr>
        <w:footnoteRef/>
      </w:r>
      <w:r>
        <w:t xml:space="preserve"> </w:t>
      </w:r>
      <w:r>
        <w:t xml:space="preserve">大马士革的约翰，《正统信仰》4,2:PG 94,1104C。</w:t>
      </w:r>
    </w:p>
  </w:footnote>
  <w:footnote w:id="1230">
    <w:p>
      <w:pPr>
        <w:pStyle w:val="FootnoteText"/>
      </w:pPr>
      <w:r>
        <w:rPr>
          <w:rStyle w:val="FootnoteReference"/>
        </w:rPr>
        <w:footnoteRef/>
      </w:r>
      <w:r>
        <w:t xml:space="preserve"> </w:t>
      </w:r>
      <w:r>
        <w:t xml:space="preserve">但 7:14。</w:t>
      </w:r>
    </w:p>
  </w:footnote>
  <w:footnote w:id="1231">
    <w:p>
      <w:pPr>
        <w:pStyle w:val="FootnoteText"/>
      </w:pPr>
      <w:r>
        <w:rPr>
          <w:rStyle w:val="FootnoteReference"/>
        </w:rPr>
        <w:footnoteRef/>
      </w:r>
      <w:r>
        <w:t xml:space="preserve"> </w:t>
      </w:r>
      <w:r>
        <w:t xml:space="preserve">尼西亚信经。</w:t>
      </w:r>
    </w:p>
  </w:footnote>
  <w:footnote w:id="1234">
    <w:p>
      <w:pPr>
        <w:pStyle w:val="FootnoteText"/>
      </w:pPr>
      <w:r>
        <w:rPr>
          <w:rStyle w:val="FootnoteReference"/>
        </w:rPr>
        <w:footnoteRef/>
      </w:r>
      <w:r>
        <w:t xml:space="preserve"> </w:t>
      </w:r>
      <w:r>
        <w:t xml:space="preserve">罗 14:9。</w:t>
      </w:r>
    </w:p>
  </w:footnote>
  <w:footnote w:id="1235">
    <w:p>
      <w:pPr>
        <w:pStyle w:val="FootnoteText"/>
      </w:pPr>
      <w:r>
        <w:rPr>
          <w:rStyle w:val="FootnoteReference"/>
        </w:rPr>
        <w:footnoteRef/>
      </w:r>
      <w:r>
        <w:t xml:space="preserve"> </w:t>
      </w:r>
      <w:r>
        <w:t xml:space="preserve">弗 1:20-22。</w:t>
      </w:r>
    </w:p>
  </w:footnote>
  <w:footnote w:id="1236">
    <w:p>
      <w:pPr>
        <w:pStyle w:val="FootnoteText"/>
      </w:pPr>
      <w:r>
        <w:rPr>
          <w:rStyle w:val="FootnoteReference"/>
        </w:rPr>
        <w:footnoteRef/>
      </w:r>
      <w:r>
        <w:t xml:space="preserve"> </w:t>
      </w:r>
      <w:r>
        <w:t xml:space="preserve">弗 1:10；参 4:10；林前 15:24,27-28。</w:t>
      </w:r>
    </w:p>
  </w:footnote>
  <w:footnote w:id="1237">
    <w:p>
      <w:pPr>
        <w:pStyle w:val="FootnoteText"/>
      </w:pPr>
      <w:r>
        <w:rPr>
          <w:rStyle w:val="FootnoteReference"/>
        </w:rPr>
        <w:footnoteRef/>
      </w:r>
      <w:r>
        <w:t xml:space="preserve"> </w:t>
      </w:r>
      <w:r>
        <w:t xml:space="preserve">弗 1:22。</w:t>
      </w:r>
    </w:p>
  </w:footnote>
  <w:footnote w:id="1238">
    <w:p>
      <w:pPr>
        <w:pStyle w:val="FootnoteText"/>
      </w:pPr>
      <w:r>
        <w:rPr>
          <w:rStyle w:val="FootnoteReference"/>
        </w:rPr>
        <w:footnoteRef/>
      </w:r>
      <w:r>
        <w:t xml:space="preserve"> </w:t>
      </w:r>
      <w:r>
        <w:t xml:space="preserve">LG 3; 5；参弗 4:11-13。</w:t>
      </w:r>
    </w:p>
  </w:footnote>
  <w:footnote w:id="1239">
    <w:p>
      <w:pPr>
        <w:pStyle w:val="FootnoteText"/>
      </w:pPr>
      <w:r>
        <w:rPr>
          <w:rStyle w:val="FootnoteReference"/>
        </w:rPr>
        <w:footnoteRef/>
      </w:r>
      <w:r>
        <w:t xml:space="preserve"> </w:t>
      </w:r>
      <w:r>
        <w:t xml:space="preserve">约一 2:18；参彼前 4:7。</w:t>
      </w:r>
    </w:p>
  </w:footnote>
  <w:footnote w:id="1240">
    <w:p>
      <w:pPr>
        <w:pStyle w:val="FootnoteText"/>
      </w:pPr>
      <w:r>
        <w:rPr>
          <w:rStyle w:val="FootnoteReference"/>
        </w:rPr>
        <w:footnoteRef/>
      </w:r>
      <w:r>
        <w:t xml:space="preserve"> </w:t>
      </w:r>
      <w:r>
        <w:t xml:space="preserve">LG 48 §3；参林前 10:11。</w:t>
      </w:r>
    </w:p>
  </w:footnote>
  <w:footnote w:id="1241">
    <w:p>
      <w:pPr>
        <w:pStyle w:val="FootnoteText"/>
      </w:pPr>
      <w:r>
        <w:rPr>
          <w:rStyle w:val="FootnoteReference"/>
        </w:rPr>
        <w:footnoteRef/>
      </w:r>
      <w:r>
        <w:t xml:space="preserve"> </w:t>
      </w:r>
      <w:r>
        <w:t xml:space="preserve">参可 16:17-18,20。</w:t>
      </w:r>
    </w:p>
  </w:footnote>
  <w:footnote w:id="1242">
    <w:p>
      <w:pPr>
        <w:pStyle w:val="FootnoteText"/>
      </w:pPr>
      <w:r>
        <w:rPr>
          <w:rStyle w:val="FootnoteReference"/>
        </w:rPr>
        <w:footnoteRef/>
      </w:r>
      <w:r>
        <w:t xml:space="preserve"> </w:t>
      </w:r>
      <w:r>
        <w:t xml:space="preserve">路 21:27；参太 25:31。</w:t>
      </w:r>
    </w:p>
  </w:footnote>
  <w:footnote w:id="1243">
    <w:p>
      <w:pPr>
        <w:pStyle w:val="FootnoteText"/>
      </w:pPr>
      <w:r>
        <w:rPr>
          <w:rStyle w:val="FootnoteReference"/>
        </w:rPr>
        <w:footnoteRef/>
      </w:r>
      <w:r>
        <w:t xml:space="preserve"> </w:t>
      </w:r>
      <w:r>
        <w:t xml:space="preserve">参帖后 2:7。</w:t>
      </w:r>
    </w:p>
  </w:footnote>
  <w:footnote w:id="1244">
    <w:p>
      <w:pPr>
        <w:pStyle w:val="FootnoteText"/>
      </w:pPr>
      <w:r>
        <w:rPr>
          <w:rStyle w:val="FootnoteReference"/>
        </w:rPr>
        <w:footnoteRef/>
      </w:r>
      <w:r>
        <w:t xml:space="preserve"> </w:t>
      </w:r>
      <w:r>
        <w:t xml:space="preserve">LG 48 §3；参彼后 3:13；罗 8:19-22；林前 15:28。</w:t>
      </w:r>
    </w:p>
  </w:footnote>
  <w:footnote w:id="1245">
    <w:p>
      <w:pPr>
        <w:pStyle w:val="FootnoteText"/>
      </w:pPr>
      <w:r>
        <w:rPr>
          <w:rStyle w:val="FootnoteReference"/>
        </w:rPr>
        <w:footnoteRef/>
      </w:r>
      <w:r>
        <w:t xml:space="preserve"> </w:t>
      </w:r>
      <w:r>
        <w:t xml:space="preserve">参林前 11:26；彼后 3:11-12。</w:t>
      </w:r>
    </w:p>
  </w:footnote>
  <w:footnote w:id="1246">
    <w:p>
      <w:pPr>
        <w:pStyle w:val="FootnoteText"/>
      </w:pPr>
      <w:r>
        <w:rPr>
          <w:rStyle w:val="FootnoteReference"/>
        </w:rPr>
        <w:footnoteRef/>
      </w:r>
      <w:r>
        <w:t xml:space="preserve"> </w:t>
      </w:r>
      <w:r>
        <w:t xml:space="preserve">林前 16:22；启 22:17,20。</w:t>
      </w:r>
    </w:p>
  </w:footnote>
  <w:footnote w:id="1247">
    <w:p>
      <w:pPr>
        <w:pStyle w:val="FootnoteText"/>
      </w:pPr>
      <w:r>
        <w:rPr>
          <w:rStyle w:val="FootnoteReference"/>
        </w:rPr>
        <w:footnoteRef/>
      </w:r>
      <w:r>
        <w:t xml:space="preserve"> </w:t>
      </w:r>
      <w:r>
        <w:t xml:space="preserve">参徒 1:6-7。</w:t>
      </w:r>
    </w:p>
  </w:footnote>
  <w:footnote w:id="1248">
    <w:p>
      <w:pPr>
        <w:pStyle w:val="FootnoteText"/>
      </w:pPr>
      <w:r>
        <w:rPr>
          <w:rStyle w:val="FootnoteReference"/>
        </w:rPr>
        <w:footnoteRef/>
      </w:r>
      <w:r>
        <w:t xml:space="preserve"> </w:t>
      </w:r>
      <w:r>
        <w:t xml:space="preserve">参赛 11:1-9。</w:t>
      </w:r>
    </w:p>
  </w:footnote>
  <w:footnote w:id="1249">
    <w:p>
      <w:pPr>
        <w:pStyle w:val="FootnoteText"/>
      </w:pPr>
      <w:r>
        <w:rPr>
          <w:rStyle w:val="FootnoteReference"/>
        </w:rPr>
        <w:footnoteRef/>
      </w:r>
      <w:r>
        <w:t xml:space="preserve"> </w:t>
      </w:r>
      <w:r>
        <w:t xml:space="preserve">参徒 1:8；林前 7:26；弗 5:16；彼前 4:17。</w:t>
      </w:r>
    </w:p>
  </w:footnote>
  <w:footnote w:id="1250">
    <w:p>
      <w:pPr>
        <w:pStyle w:val="FootnoteText"/>
      </w:pPr>
      <w:r>
        <w:rPr>
          <w:rStyle w:val="FootnoteReference"/>
        </w:rPr>
        <w:footnoteRef/>
      </w:r>
      <w:r>
        <w:t xml:space="preserve"> </w:t>
      </w:r>
      <w:r>
        <w:t xml:space="preserve">参太 25:1,13；可 13:33-37；约一 2:18；4:3；提前 4:1。</w:t>
      </w:r>
    </w:p>
  </w:footnote>
  <w:footnote w:id="1251">
    <w:p>
      <w:pPr>
        <w:pStyle w:val="FootnoteText"/>
      </w:pPr>
      <w:r>
        <w:rPr>
          <w:rStyle w:val="FootnoteReference"/>
        </w:rPr>
        <w:footnoteRef/>
      </w:r>
      <w:r>
        <w:t xml:space="preserve"> </w:t>
      </w:r>
      <w:r>
        <w:t xml:space="preserve">参启 22:20。</w:t>
      </w:r>
    </w:p>
  </w:footnote>
  <w:footnote w:id="1252">
    <w:p>
      <w:pPr>
        <w:pStyle w:val="FootnoteText"/>
      </w:pPr>
      <w:r>
        <w:rPr>
          <w:rStyle w:val="FootnoteReference"/>
        </w:rPr>
        <w:footnoteRef/>
      </w:r>
      <w:r>
        <w:t xml:space="preserve"> </w:t>
      </w:r>
      <w:r>
        <w:t xml:space="preserve">徒 1:7；参可 13:32。</w:t>
      </w:r>
    </w:p>
  </w:footnote>
  <w:footnote w:id="1253">
    <w:p>
      <w:pPr>
        <w:pStyle w:val="FootnoteText"/>
      </w:pPr>
      <w:r>
        <w:rPr>
          <w:rStyle w:val="FootnoteReference"/>
        </w:rPr>
        <w:footnoteRef/>
      </w:r>
      <w:r>
        <w:t xml:space="preserve"> </w:t>
      </w:r>
      <w:r>
        <w:t xml:space="preserve">参太 24:44；帖前 5:2；帖后 2:3-12。</w:t>
      </w:r>
    </w:p>
  </w:footnote>
  <w:footnote w:id="1254">
    <w:p>
      <w:pPr>
        <w:pStyle w:val="FootnoteText"/>
      </w:pPr>
      <w:r>
        <w:rPr>
          <w:rStyle w:val="FootnoteReference"/>
        </w:rPr>
        <w:footnoteRef/>
      </w:r>
      <w:r>
        <w:t xml:space="preserve"> </w:t>
      </w:r>
      <w:r>
        <w:t xml:space="preserve">罗 11:20-26；参太 23:39。</w:t>
      </w:r>
    </w:p>
  </w:footnote>
  <w:footnote w:id="1255">
    <w:p>
      <w:pPr>
        <w:pStyle w:val="FootnoteText"/>
      </w:pPr>
      <w:r>
        <w:rPr>
          <w:rStyle w:val="FootnoteReference"/>
        </w:rPr>
        <w:footnoteRef/>
      </w:r>
      <w:r>
        <w:t xml:space="preserve"> </w:t>
      </w:r>
      <w:r>
        <w:t xml:space="preserve">徒 3:19-21。</w:t>
      </w:r>
    </w:p>
  </w:footnote>
  <w:footnote w:id="1256">
    <w:p>
      <w:pPr>
        <w:pStyle w:val="FootnoteText"/>
      </w:pPr>
      <w:r>
        <w:rPr>
          <w:rStyle w:val="FootnoteReference"/>
        </w:rPr>
        <w:footnoteRef/>
      </w:r>
      <w:r>
        <w:t xml:space="preserve"> </w:t>
      </w:r>
      <w:r>
        <w:t xml:space="preserve">罗 11:15。</w:t>
      </w:r>
    </w:p>
  </w:footnote>
  <w:footnote w:id="1257">
    <w:p>
      <w:pPr>
        <w:pStyle w:val="FootnoteText"/>
      </w:pPr>
      <w:r>
        <w:rPr>
          <w:rStyle w:val="FootnoteReference"/>
        </w:rPr>
        <w:footnoteRef/>
      </w:r>
      <w:r>
        <w:t xml:space="preserve"> </w:t>
      </w:r>
      <w:r>
        <w:t xml:space="preserve">罗 11:12，25；参路 21:24。</w:t>
      </w:r>
    </w:p>
  </w:footnote>
  <w:footnote w:id="1258">
    <w:p>
      <w:pPr>
        <w:pStyle w:val="FootnoteText"/>
      </w:pPr>
      <w:r>
        <w:rPr>
          <w:rStyle w:val="FootnoteReference"/>
        </w:rPr>
        <w:footnoteRef/>
      </w:r>
      <w:r>
        <w:t xml:space="preserve"> </w:t>
      </w:r>
      <w:r>
        <w:t xml:space="preserve">弗 4:13；林前 15:28。</w:t>
      </w:r>
    </w:p>
  </w:footnote>
  <w:footnote w:id="1260">
    <w:p>
      <w:pPr>
        <w:pStyle w:val="FootnoteText"/>
      </w:pPr>
      <w:r>
        <w:rPr>
          <w:rStyle w:val="FootnoteReference"/>
        </w:rPr>
        <w:footnoteRef/>
      </w:r>
      <w:r>
        <w:t xml:space="preserve"> </w:t>
      </w:r>
      <w:r>
        <w:t xml:space="preserve">参路 18:8；太 24:12。</w:t>
      </w:r>
    </w:p>
  </w:footnote>
  <w:footnote w:id="1261">
    <w:p>
      <w:pPr>
        <w:pStyle w:val="FootnoteText"/>
      </w:pPr>
      <w:r>
        <w:rPr>
          <w:rStyle w:val="FootnoteReference"/>
        </w:rPr>
        <w:footnoteRef/>
      </w:r>
      <w:r>
        <w:t xml:space="preserve"> </w:t>
      </w:r>
      <w:r>
        <w:t xml:space="preserve">参路 21:12；约 15:19-20。</w:t>
      </w:r>
    </w:p>
  </w:footnote>
  <w:footnote w:id="1262">
    <w:p>
      <w:pPr>
        <w:pStyle w:val="FootnoteText"/>
      </w:pPr>
      <w:r>
        <w:rPr>
          <w:rStyle w:val="FootnoteReference"/>
        </w:rPr>
        <w:footnoteRef/>
      </w:r>
      <w:r>
        <w:t xml:space="preserve"> </w:t>
      </w:r>
      <w:r>
        <w:t xml:space="preserve">参帖后 2:4-12；帖前 5:2-3；约二 7；约一 2:18，22。</w:t>
      </w:r>
    </w:p>
  </w:footnote>
  <w:footnote w:id="1263">
    <w:p>
      <w:pPr>
        <w:pStyle w:val="FootnoteText"/>
      </w:pPr>
      <w:r>
        <w:rPr>
          <w:rStyle w:val="FootnoteReference"/>
        </w:rPr>
        <w:footnoteRef/>
      </w:r>
      <w:r>
        <w:t xml:space="preserve"> </w:t>
      </w:r>
      <w:r>
        <w:t xml:space="preserve">参 DS 3839。</w:t>
      </w:r>
    </w:p>
  </w:footnote>
  <w:footnote w:id="1264">
    <w:p>
      <w:pPr>
        <w:pStyle w:val="FootnoteText"/>
      </w:pPr>
      <w:r>
        <w:rPr>
          <w:rStyle w:val="FootnoteReference"/>
        </w:rPr>
        <w:footnoteRef/>
      </w:r>
      <w:r>
        <w:t xml:space="preserve"> </w:t>
      </w:r>
      <w:r>
        <w:t xml:space="preserve">庇护十一世，Divini Redemptoris，谴责这种「赎回卑微者的假冒品」的「虚假神秘主义」；参 GS 20-21。</w:t>
      </w:r>
    </w:p>
  </w:footnote>
  <w:footnote w:id="1265">
    <w:p>
      <w:pPr>
        <w:pStyle w:val="FootnoteText"/>
      </w:pPr>
      <w:r>
        <w:rPr>
          <w:rStyle w:val="FootnoteReference"/>
        </w:rPr>
        <w:footnoteRef/>
      </w:r>
      <w:r>
        <w:t xml:space="preserve"> </w:t>
      </w:r>
      <w:r>
        <w:t xml:space="preserve">参启 19:1-9。</w:t>
      </w:r>
    </w:p>
  </w:footnote>
  <w:footnote w:id="1266">
    <w:p>
      <w:pPr>
        <w:pStyle w:val="FootnoteText"/>
      </w:pPr>
      <w:r>
        <w:rPr>
          <w:rStyle w:val="FootnoteReference"/>
        </w:rPr>
        <w:footnoteRef/>
      </w:r>
      <w:r>
        <w:t xml:space="preserve"> </w:t>
      </w:r>
      <w:r>
        <w:t xml:space="preserve">参启 13:8；20:7-10；21:2-4。</w:t>
      </w:r>
    </w:p>
  </w:footnote>
  <w:footnote w:id="1267">
    <w:p>
      <w:pPr>
        <w:pStyle w:val="FootnoteText"/>
      </w:pPr>
      <w:r>
        <w:rPr>
          <w:rStyle w:val="FootnoteReference"/>
        </w:rPr>
        <w:footnoteRef/>
      </w:r>
      <w:r>
        <w:t xml:space="preserve"> </w:t>
      </w:r>
      <w:r>
        <w:t xml:space="preserve">参启 20:12；彼后 3:12-13。</w:t>
      </w:r>
    </w:p>
  </w:footnote>
  <w:footnote w:id="1270">
    <w:p>
      <w:pPr>
        <w:pStyle w:val="FootnoteText"/>
      </w:pPr>
      <w:r>
        <w:rPr>
          <w:rStyle w:val="FootnoteReference"/>
        </w:rPr>
        <w:footnoteRef/>
      </w:r>
      <w:r>
        <w:t xml:space="preserve"> </w:t>
      </w:r>
      <w:r>
        <w:t xml:space="preserve">参但 7:10；珥 3-4；玛 3:19；太 3:7-12。</w:t>
      </w:r>
    </w:p>
  </w:footnote>
  <w:footnote w:id="1271">
    <w:p>
      <w:pPr>
        <w:pStyle w:val="FootnoteText"/>
      </w:pPr>
      <w:r>
        <w:rPr>
          <w:rStyle w:val="FootnoteReference"/>
        </w:rPr>
        <w:footnoteRef/>
      </w:r>
      <w:r>
        <w:t xml:space="preserve"> </w:t>
      </w:r>
      <w:r>
        <w:t xml:space="preserve">参可 12:38-40；路 12:1-3；约 3:20-21；罗 2:16；林前 4:5。</w:t>
      </w:r>
    </w:p>
  </w:footnote>
  <w:footnote w:id="1272">
    <w:p>
      <w:pPr>
        <w:pStyle w:val="FootnoteText"/>
      </w:pPr>
      <w:r>
        <w:rPr>
          <w:rStyle w:val="FootnoteReference"/>
        </w:rPr>
        <w:footnoteRef/>
      </w:r>
      <w:r>
        <w:t xml:space="preserve"> </w:t>
      </w:r>
      <w:r>
        <w:t xml:space="preserve">参太 11:20-24；12:41-42。</w:t>
      </w:r>
    </w:p>
  </w:footnote>
  <w:footnote w:id="1273">
    <w:p>
      <w:pPr>
        <w:pStyle w:val="FootnoteText"/>
      </w:pPr>
      <w:r>
        <w:rPr>
          <w:rStyle w:val="FootnoteReference"/>
        </w:rPr>
        <w:footnoteRef/>
      </w:r>
      <w:r>
        <w:t xml:space="preserve"> </w:t>
      </w:r>
      <w:r>
        <w:t xml:space="preserve">参太 5:22；7:1-5。</w:t>
      </w:r>
    </w:p>
  </w:footnote>
  <w:footnote w:id="1274">
    <w:p>
      <w:pPr>
        <w:pStyle w:val="FootnoteText"/>
      </w:pPr>
      <w:r>
        <w:rPr>
          <w:rStyle w:val="FootnoteReference"/>
        </w:rPr>
        <w:footnoteRef/>
      </w:r>
      <w:r>
        <w:t xml:space="preserve"> </w:t>
      </w:r>
      <w:r>
        <w:t xml:space="preserve">太 25:40。</w:t>
      </w:r>
    </w:p>
  </w:footnote>
  <w:footnote w:id="1275">
    <w:p>
      <w:pPr>
        <w:pStyle w:val="FootnoteText"/>
      </w:pPr>
      <w:r>
        <w:rPr>
          <w:rStyle w:val="FootnoteReference"/>
        </w:rPr>
        <w:footnoteRef/>
      </w:r>
      <w:r>
        <w:t xml:space="preserve"> </w:t>
      </w:r>
      <w:r>
        <w:t xml:space="preserve">约 5:22；参 5:27；太 25:31；徒 10:42；17:31；提后 4:1。</w:t>
      </w:r>
    </w:p>
  </w:footnote>
  <w:footnote w:id="1276">
    <w:p>
      <w:pPr>
        <w:pStyle w:val="FootnoteText"/>
      </w:pPr>
      <w:r>
        <w:rPr>
          <w:rStyle w:val="FootnoteReference"/>
        </w:rPr>
        <w:footnoteRef/>
      </w:r>
      <w:r>
        <w:t xml:space="preserve"> </w:t>
      </w:r>
      <w:r>
        <w:t xml:space="preserve">参路 21:12；约 15:19-20。</w:t>
      </w:r>
    </w:p>
  </w:footnote>
  <w:footnote w:id="1277">
    <w:p>
      <w:pPr>
        <w:pStyle w:val="FootnoteText"/>
      </w:pPr>
      <w:r>
        <w:rPr>
          <w:rStyle w:val="FootnoteReference"/>
        </w:rPr>
        <w:footnoteRef/>
      </w:r>
      <w:r>
        <w:t xml:space="preserve"> </w:t>
      </w:r>
      <w:r>
        <w:t xml:space="preserve">参约 3:18；12:48；太 12:32；林前 3:12-15；希 6:4-6；10:26-31。</w:t>
      </w:r>
    </w:p>
  </w:footnote>
  <w:footnote w:id="1282">
    <w:p>
      <w:pPr>
        <w:pStyle w:val="FootnoteText"/>
      </w:pPr>
      <w:r>
        <w:rPr>
          <w:rStyle w:val="FootnoteReference"/>
        </w:rPr>
        <w:footnoteRef/>
      </w:r>
      <w:r>
        <w:t xml:space="preserve"> </w:t>
      </w:r>
      <w:r>
        <w:t xml:space="preserve">林前 12:3。</w:t>
      </w:r>
    </w:p>
  </w:footnote>
  <w:footnote w:id="1283">
    <w:p>
      <w:pPr>
        <w:pStyle w:val="FootnoteText"/>
      </w:pPr>
      <w:r>
        <w:rPr>
          <w:rStyle w:val="FootnoteReference"/>
        </w:rPr>
        <w:footnoteRef/>
      </w:r>
      <w:r>
        <w:t xml:space="preserve"> </w:t>
      </w:r>
      <w:r>
        <w:t xml:space="preserve">加 4:6。</w:t>
      </w:r>
    </w:p>
  </w:footnote>
  <w:footnote w:id="1284">
    <w:p>
      <w:pPr>
        <w:pStyle w:val="FootnoteText"/>
      </w:pPr>
      <w:r>
        <w:rPr>
          <w:rStyle w:val="FootnoteReference"/>
        </w:rPr>
        <w:footnoteRef/>
      </w:r>
      <w:r>
        <w:t xml:space="preserve"> </w:t>
      </w:r>
      <w:r>
        <w:t xml:space="preserve">圣爱任纽，《使徒宣讲的论证》7：SCh 62, 41-42。</w:t>
      </w:r>
    </w:p>
  </w:footnote>
  <w:footnote w:id="1285">
    <w:p>
      <w:pPr>
        <w:pStyle w:val="FootnoteText"/>
      </w:pPr>
      <w:r>
        <w:rPr>
          <w:rStyle w:val="FootnoteReference"/>
        </w:rPr>
        <w:footnoteRef/>
      </w:r>
      <w:r>
        <w:t xml:space="preserve"> </w:t>
      </w:r>
      <w:r>
        <w:t xml:space="preserve">约 17:3。</w:t>
      </w:r>
    </w:p>
  </w:footnote>
  <w:footnote w:id="1286">
    <w:p>
      <w:pPr>
        <w:pStyle w:val="FootnoteText"/>
      </w:pPr>
      <w:r>
        <w:rPr>
          <w:rStyle w:val="FootnoteReference"/>
        </w:rPr>
        <w:footnoteRef/>
      </w:r>
      <w:r>
        <w:t xml:space="preserve"> </w:t>
      </w:r>
      <w:r>
        <w:t xml:space="preserve">纳齐安的圣额我略，《神学演讲》5，26（即演讲 31，26）：PG 36，161-163。</w:t>
      </w:r>
    </w:p>
  </w:footnote>
  <w:footnote w:id="1287">
    <w:p>
      <w:pPr>
        <w:pStyle w:val="FootnoteText"/>
      </w:pPr>
      <w:r>
        <w:rPr>
          <w:rStyle w:val="FootnoteReference"/>
        </w:rPr>
        <w:footnoteRef/>
      </w:r>
      <w:r>
        <w:t xml:space="preserve"> </w:t>
      </w:r>
      <w:r>
        <w:t xml:space="preserve">尼西亚信经；见上文 465 段。</w:t>
      </w:r>
    </w:p>
  </w:footnote>
  <w:footnote w:id="1288">
    <w:p>
      <w:pPr>
        <w:pStyle w:val="FootnoteText"/>
      </w:pPr>
      <w:r>
        <w:rPr>
          <w:rStyle w:val="FootnoteReference"/>
        </w:rPr>
        <w:footnoteRef/>
      </w:r>
      <w:r>
        <w:t xml:space="preserve"> </w:t>
      </w:r>
      <w:r>
        <w:t xml:space="preserve">林前 2:11。</w:t>
      </w:r>
    </w:p>
  </w:footnote>
  <w:footnote w:id="1289">
    <w:p>
      <w:pPr>
        <w:pStyle w:val="FootnoteText"/>
      </w:pPr>
      <w:r>
        <w:rPr>
          <w:rStyle w:val="FootnoteReference"/>
        </w:rPr>
        <w:footnoteRef/>
      </w:r>
      <w:r>
        <w:t xml:space="preserve"> </w:t>
      </w:r>
      <w:r>
        <w:t xml:space="preserve">约 16:13。</w:t>
      </w:r>
    </w:p>
  </w:footnote>
  <w:footnote w:id="1290">
    <w:p>
      <w:pPr>
        <w:pStyle w:val="FootnoteText"/>
      </w:pPr>
      <w:r>
        <w:rPr>
          <w:rStyle w:val="FootnoteReference"/>
        </w:rPr>
        <w:footnoteRef/>
      </w:r>
      <w:r>
        <w:t xml:space="preserve"> </w:t>
      </w:r>
      <w:r>
        <w:t xml:space="preserve">约 14:17。</w:t>
      </w:r>
    </w:p>
  </w:footnote>
  <w:footnote w:id="1291">
    <w:p>
      <w:pPr>
        <w:pStyle w:val="FootnoteText"/>
      </w:pPr>
      <w:r>
        <w:rPr>
          <w:rStyle w:val="FootnoteReference"/>
        </w:rPr>
        <w:footnoteRef/>
      </w:r>
      <w:r>
        <w:t xml:space="preserve"> </w:t>
      </w:r>
      <w:r>
        <w:t xml:space="preserve">加 4:6。</w:t>
      </w:r>
    </w:p>
  </w:footnote>
  <w:footnote w:id="1292">
    <w:p>
      <w:pPr>
        <w:pStyle w:val="FootnoteText"/>
      </w:pPr>
      <w:r>
        <w:rPr>
          <w:rStyle w:val="FootnoteReference"/>
        </w:rPr>
        <w:footnoteRef/>
      </w:r>
      <w:r>
        <w:t xml:space="preserve"> </w:t>
      </w:r>
      <w:r>
        <w:t xml:space="preserve">约 3:34。</w:t>
      </w:r>
    </w:p>
  </w:footnote>
  <w:footnote w:id="1293">
    <w:p>
      <w:pPr>
        <w:pStyle w:val="FootnoteText"/>
      </w:pPr>
      <w:r>
        <w:rPr>
          <w:rStyle w:val="FootnoteReference"/>
        </w:rPr>
        <w:footnoteRef/>
      </w:r>
      <w:r>
        <w:t xml:space="preserve"> </w:t>
      </w:r>
      <w:r>
        <w:t xml:space="preserve">约 7:39。</w:t>
      </w:r>
    </w:p>
  </w:footnote>
  <w:footnote w:id="1294">
    <w:p>
      <w:pPr>
        <w:pStyle w:val="FootnoteText"/>
      </w:pPr>
      <w:r>
        <w:rPr>
          <w:rStyle w:val="FootnoteReference"/>
        </w:rPr>
        <w:footnoteRef/>
      </w:r>
      <w:r>
        <w:t xml:space="preserve"> </w:t>
      </w:r>
      <w:r>
        <w:t xml:space="preserve">约 17:22。</w:t>
      </w:r>
    </w:p>
  </w:footnote>
  <w:footnote w:id="1295">
    <w:p>
      <w:pPr>
        <w:pStyle w:val="FootnoteText"/>
      </w:pPr>
      <w:r>
        <w:rPr>
          <w:rStyle w:val="FootnoteReference"/>
        </w:rPr>
        <w:footnoteRef/>
      </w:r>
      <w:r>
        <w:t xml:space="preserve"> </w:t>
      </w:r>
      <w:r>
        <w:t xml:space="preserve">约 16:14。</w:t>
      </w:r>
    </w:p>
  </w:footnote>
  <w:footnote w:id="1296">
    <w:p>
      <w:pPr>
        <w:pStyle w:val="FootnoteText"/>
      </w:pPr>
      <w:r>
        <w:rPr>
          <w:rStyle w:val="FootnoteReference"/>
        </w:rPr>
        <w:footnoteRef/>
      </w:r>
      <w:r>
        <w:t xml:space="preserve"> </w:t>
      </w:r>
      <w:r>
        <w:t xml:space="preserve">尼撒的额我略，论圣灵，16:PG 45,1321A-B。</w:t>
      </w:r>
    </w:p>
  </w:footnote>
  <w:footnote w:id="1298">
    <w:p>
      <w:pPr>
        <w:pStyle w:val="FootnoteText"/>
      </w:pPr>
      <w:r>
        <w:rPr>
          <w:rStyle w:val="FootnoteReference"/>
        </w:rPr>
        <w:footnoteRef/>
      </w:r>
      <w:r>
        <w:t xml:space="preserve"> </w:t>
      </w:r>
      <w:r>
        <w:t xml:space="preserve">太 28:19。</w:t>
      </w:r>
    </w:p>
  </w:footnote>
  <w:footnote w:id="1299">
    <w:p>
      <w:pPr>
        <w:pStyle w:val="FootnoteText"/>
      </w:pPr>
      <w:r>
        <w:rPr>
          <w:rStyle w:val="FootnoteReference"/>
        </w:rPr>
        <w:footnoteRef/>
      </w:r>
      <w:r>
        <w:t xml:space="preserve"> </w:t>
      </w:r>
      <w:r>
        <w:t xml:space="preserve">约 3:5-8。</w:t>
      </w:r>
    </w:p>
  </w:footnote>
  <w:footnote w:id="1301">
    <w:p>
      <w:pPr>
        <w:pStyle w:val="FootnoteText"/>
      </w:pPr>
      <w:r>
        <w:rPr>
          <w:rStyle w:val="FootnoteReference"/>
        </w:rPr>
        <w:footnoteRef/>
      </w:r>
      <w:r>
        <w:t xml:space="preserve"> </w:t>
      </w:r>
      <w:r>
        <w:t xml:space="preserve">约 14:16，26；15:26；16:7。</w:t>
      </w:r>
    </w:p>
  </w:footnote>
  <w:footnote w:id="1302">
    <w:p>
      <w:pPr>
        <w:pStyle w:val="FootnoteText"/>
      </w:pPr>
      <w:r>
        <w:rPr>
          <w:rStyle w:val="FootnoteReference"/>
        </w:rPr>
        <w:footnoteRef/>
      </w:r>
      <w:r>
        <w:t xml:space="preserve"> </w:t>
      </w:r>
      <w:r>
        <w:t xml:space="preserve">约一 2:1。</w:t>
      </w:r>
    </w:p>
  </w:footnote>
  <w:footnote w:id="1303">
    <w:p>
      <w:pPr>
        <w:pStyle w:val="FootnoteText"/>
      </w:pPr>
      <w:r>
        <w:rPr>
          <w:rStyle w:val="FootnoteReference"/>
        </w:rPr>
        <w:footnoteRef/>
      </w:r>
      <w:r>
        <w:t xml:space="preserve"> </w:t>
      </w:r>
      <w:r>
        <w:t xml:space="preserve">约 16:13。</w:t>
      </w:r>
    </w:p>
  </w:footnote>
  <w:footnote w:id="1304">
    <w:p>
      <w:pPr>
        <w:pStyle w:val="FootnoteText"/>
      </w:pPr>
      <w:r>
        <w:rPr>
          <w:rStyle w:val="FootnoteReference"/>
        </w:rPr>
        <w:footnoteRef/>
      </w:r>
      <w:r>
        <w:t xml:space="preserve"> </w:t>
      </w:r>
      <w:r>
        <w:t xml:space="preserve">加 3:14；弗 1:13。</w:t>
      </w:r>
    </w:p>
  </w:footnote>
  <w:footnote w:id="1305">
    <w:p>
      <w:pPr>
        <w:pStyle w:val="FootnoteText"/>
      </w:pPr>
      <w:r>
        <w:rPr>
          <w:rStyle w:val="FootnoteReference"/>
        </w:rPr>
        <w:footnoteRef/>
      </w:r>
      <w:r>
        <w:t xml:space="preserve"> </w:t>
      </w:r>
      <w:r>
        <w:t xml:space="preserve">罗 8:15；加 4:6。</w:t>
      </w:r>
    </w:p>
  </w:footnote>
  <w:footnote w:id="1306">
    <w:p>
      <w:pPr>
        <w:pStyle w:val="FootnoteText"/>
      </w:pPr>
      <w:r>
        <w:rPr>
          <w:rStyle w:val="FootnoteReference"/>
        </w:rPr>
        <w:footnoteRef/>
      </w:r>
      <w:r>
        <w:t xml:space="preserve"> </w:t>
      </w:r>
      <w:r>
        <w:t xml:space="preserve">罗 8:9。</w:t>
      </w:r>
    </w:p>
  </w:footnote>
  <w:footnote w:id="1307">
    <w:p>
      <w:pPr>
        <w:pStyle w:val="FootnoteText"/>
      </w:pPr>
      <w:r>
        <w:rPr>
          <w:rStyle w:val="FootnoteReference"/>
        </w:rPr>
        <w:footnoteRef/>
      </w:r>
      <w:r>
        <w:t xml:space="preserve"> </w:t>
      </w:r>
      <w:r>
        <w:t xml:space="preserve">林后 3:17。</w:t>
      </w:r>
    </w:p>
  </w:footnote>
  <w:footnote w:id="1308">
    <w:p>
      <w:pPr>
        <w:pStyle w:val="FootnoteText"/>
      </w:pPr>
      <w:r>
        <w:rPr>
          <w:rStyle w:val="FootnoteReference"/>
        </w:rPr>
        <w:footnoteRef/>
      </w:r>
      <w:r>
        <w:t xml:space="preserve"> </w:t>
      </w:r>
      <w:r>
        <w:t xml:space="preserve">罗 8:9，14；15:19；林前 6:11；7:40。</w:t>
      </w:r>
    </w:p>
  </w:footnote>
  <w:footnote w:id="1309">
    <w:p>
      <w:pPr>
        <w:pStyle w:val="FootnoteText"/>
      </w:pPr>
      <w:r>
        <w:rPr>
          <w:rStyle w:val="FootnoteReference"/>
        </w:rPr>
        <w:footnoteRef/>
      </w:r>
      <w:r>
        <w:t xml:space="preserve"> </w:t>
      </w:r>
      <w:r>
        <w:t xml:space="preserve">彼前 4:14。</w:t>
      </w:r>
    </w:p>
  </w:footnote>
  <w:footnote w:id="1311">
    <w:p>
      <w:pPr>
        <w:pStyle w:val="FootnoteText"/>
      </w:pPr>
      <w:r>
        <w:rPr>
          <w:rStyle w:val="FootnoteReference"/>
        </w:rPr>
        <w:footnoteRef/>
      </w:r>
      <w:r>
        <w:t xml:space="preserve"> </w:t>
      </w:r>
      <w:r>
        <w:t xml:space="preserve">林前 12:13。</w:t>
      </w:r>
    </w:p>
  </w:footnote>
  <w:footnote w:id="1312">
    <w:p>
      <w:pPr>
        <w:pStyle w:val="FootnoteText"/>
      </w:pPr>
      <w:r>
        <w:rPr>
          <w:rStyle w:val="FootnoteReference"/>
        </w:rPr>
        <w:footnoteRef/>
      </w:r>
      <w:r>
        <w:t xml:space="preserve"> </w:t>
      </w:r>
      <w:r>
        <w:t xml:space="preserve">约 19:34；约一 5:8。</w:t>
      </w:r>
    </w:p>
  </w:footnote>
  <w:footnote w:id="1313">
    <w:p>
      <w:pPr>
        <w:pStyle w:val="FootnoteText"/>
      </w:pPr>
      <w:r>
        <w:rPr>
          <w:rStyle w:val="FootnoteReference"/>
        </w:rPr>
        <w:footnoteRef/>
      </w:r>
      <w:r>
        <w:t xml:space="preserve"> </w:t>
      </w:r>
      <w:r>
        <w:t xml:space="preserve">约 4:10-14；738；出 17:1-6；赛 55:1；亚 14:8；林前 10:4；启 21:6；22:17。</w:t>
      </w:r>
    </w:p>
  </w:footnote>
  <w:footnote w:id="1314">
    <w:p>
      <w:pPr>
        <w:pStyle w:val="FootnoteText"/>
      </w:pPr>
      <w:r>
        <w:rPr>
          <w:rStyle w:val="FootnoteReference"/>
        </w:rPr>
        <w:footnoteRef/>
      </w:r>
      <w:r>
        <w:t xml:space="preserve"> </w:t>
      </w:r>
      <w:r>
        <w:t xml:space="preserve">约一 2:20,27；林后 1:21。</w:t>
      </w:r>
    </w:p>
  </w:footnote>
  <w:footnote w:id="1315">
    <w:p>
      <w:pPr>
        <w:pStyle w:val="FootnoteText"/>
      </w:pPr>
      <w:r>
        <w:rPr>
          <w:rStyle w:val="FootnoteReference"/>
        </w:rPr>
        <w:footnoteRef/>
      </w:r>
      <w:r>
        <w:t xml:space="preserve"> </w:t>
      </w:r>
      <w:r>
        <w:t xml:space="preserve">出 30:22-32；撒上 16:13。</w:t>
      </w:r>
    </w:p>
  </w:footnote>
  <w:footnote w:id="1316">
    <w:p>
      <w:pPr>
        <w:pStyle w:val="FootnoteText"/>
      </w:pPr>
      <w:r>
        <w:rPr>
          <w:rStyle w:val="FootnoteReference"/>
        </w:rPr>
        <w:footnoteRef/>
      </w:r>
      <w:r>
        <w:t xml:space="preserve"> </w:t>
      </w:r>
      <w:r>
        <w:t xml:space="preserve">路 4:18-19；赛 61:1。</w:t>
      </w:r>
    </w:p>
  </w:footnote>
  <w:footnote w:id="1317">
    <w:p>
      <w:pPr>
        <w:pStyle w:val="FootnoteText"/>
      </w:pPr>
      <w:r>
        <w:rPr>
          <w:rStyle w:val="FootnoteReference"/>
        </w:rPr>
        <w:footnoteRef/>
      </w:r>
      <w:r>
        <w:t xml:space="preserve"> </w:t>
      </w:r>
      <w:r>
        <w:t xml:space="preserve">路 2:11,26-27。</w:t>
      </w:r>
    </w:p>
  </w:footnote>
  <w:footnote w:id="1318">
    <w:p>
      <w:pPr>
        <w:pStyle w:val="FootnoteText"/>
      </w:pPr>
      <w:r>
        <w:rPr>
          <w:rStyle w:val="FootnoteReference"/>
        </w:rPr>
        <w:footnoteRef/>
      </w:r>
      <w:r>
        <w:t xml:space="preserve"> </w:t>
      </w:r>
      <w:r>
        <w:t xml:space="preserve">路 4:1；6:19；8:46。</w:t>
      </w:r>
    </w:p>
  </w:footnote>
  <w:footnote w:id="1319">
    <w:p>
      <w:pPr>
        <w:pStyle w:val="FootnoteText"/>
      </w:pPr>
      <w:r>
        <w:rPr>
          <w:rStyle w:val="FootnoteReference"/>
        </w:rPr>
        <w:footnoteRef/>
      </w:r>
      <w:r>
        <w:t xml:space="preserve"> </w:t>
      </w:r>
      <w:r>
        <w:t xml:space="preserve">罗 1:4；8:11。</w:t>
      </w:r>
    </w:p>
  </w:footnote>
  <w:footnote w:id="1320">
    <w:p>
      <w:pPr>
        <w:pStyle w:val="FootnoteText"/>
      </w:pPr>
      <w:r>
        <w:rPr>
          <w:rStyle w:val="FootnoteReference"/>
        </w:rPr>
        <w:footnoteRef/>
      </w:r>
      <w:r>
        <w:t xml:space="preserve"> </w:t>
      </w:r>
      <w:r>
        <w:t xml:space="preserve">弗 4:13；徒 2:36。</w:t>
      </w:r>
    </w:p>
  </w:footnote>
  <w:footnote w:id="1321">
    <w:p>
      <w:pPr>
        <w:pStyle w:val="FootnoteText"/>
      </w:pPr>
      <w:r>
        <w:rPr>
          <w:rStyle w:val="FootnoteReference"/>
        </w:rPr>
        <w:footnoteRef/>
      </w:r>
      <w:r>
        <w:t xml:space="preserve"> </w:t>
      </w:r>
      <w:r>
        <w:t xml:space="preserve">德 48:1；列上 18:38-39。</w:t>
      </w:r>
    </w:p>
  </w:footnote>
  <w:footnote w:id="1322">
    <w:p>
      <w:pPr>
        <w:pStyle w:val="FootnoteText"/>
      </w:pPr>
      <w:r>
        <w:rPr>
          <w:rStyle w:val="FootnoteReference"/>
        </w:rPr>
        <w:footnoteRef/>
      </w:r>
      <w:r>
        <w:t xml:space="preserve"> </w:t>
      </w:r>
      <w:r>
        <w:t xml:space="preserve">路 1:17；3:16。</w:t>
      </w:r>
    </w:p>
  </w:footnote>
  <w:footnote w:id="1323">
    <w:p>
      <w:pPr>
        <w:pStyle w:val="FootnoteText"/>
      </w:pPr>
      <w:r>
        <w:rPr>
          <w:rStyle w:val="FootnoteReference"/>
        </w:rPr>
        <w:footnoteRef/>
      </w:r>
      <w:r>
        <w:t xml:space="preserve"> </w:t>
      </w:r>
      <w:r>
        <w:t xml:space="preserve">路 12:49。</w:t>
      </w:r>
    </w:p>
  </w:footnote>
  <w:footnote w:id="1324">
    <w:p>
      <w:pPr>
        <w:pStyle w:val="FootnoteText"/>
      </w:pPr>
      <w:r>
        <w:rPr>
          <w:rStyle w:val="FootnoteReference"/>
        </w:rPr>
        <w:footnoteRef/>
      </w:r>
      <w:r>
        <w:t xml:space="preserve"> </w:t>
      </w:r>
      <w:r>
        <w:t xml:space="preserve">徒 2:3-4。</w:t>
      </w:r>
    </w:p>
  </w:footnote>
  <w:footnote w:id="1325">
    <w:p>
      <w:pPr>
        <w:pStyle w:val="FootnoteText"/>
      </w:pPr>
      <w:r>
        <w:rPr>
          <w:rStyle w:val="FootnoteReference"/>
        </w:rPr>
        <w:footnoteRef/>
      </w:r>
      <w:r>
        <w:t xml:space="preserve"> </w:t>
      </w:r>
      <w:r>
        <w:t xml:space="preserve">十字若望，《爱的活焰》，载于《十字若望文集》，K. Kavanaugh, OCD, and O. Rodriguez, OCD 译（华盛顿特区：加尔默罗研究所，1979），577 页起。</w:t>
      </w:r>
    </w:p>
  </w:footnote>
  <w:footnote w:id="1326">
    <w:p>
      <w:pPr>
        <w:pStyle w:val="FootnoteText"/>
      </w:pPr>
      <w:r>
        <w:rPr>
          <w:rStyle w:val="FootnoteReference"/>
        </w:rPr>
        <w:footnoteRef/>
      </w:r>
      <w:r>
        <w:t xml:space="preserve"> </w:t>
      </w:r>
      <w:r>
        <w:t xml:space="preserve">帖前 5:1。</w:t>
      </w:r>
    </w:p>
  </w:footnote>
  <w:footnote w:id="1327">
    <w:p>
      <w:pPr>
        <w:pStyle w:val="FootnoteText"/>
      </w:pPr>
      <w:r>
        <w:rPr>
          <w:rStyle w:val="FootnoteReference"/>
        </w:rPr>
        <w:footnoteRef/>
      </w:r>
      <w:r>
        <w:t xml:space="preserve"> </w:t>
      </w:r>
      <w:r>
        <w:t xml:space="preserve">出 24:15-18。</w:t>
      </w:r>
    </w:p>
  </w:footnote>
  <w:footnote w:id="1328">
    <w:p>
      <w:pPr>
        <w:pStyle w:val="FootnoteText"/>
      </w:pPr>
      <w:r>
        <w:rPr>
          <w:rStyle w:val="FootnoteReference"/>
        </w:rPr>
        <w:footnoteRef/>
      </w:r>
      <w:r>
        <w:t xml:space="preserve"> </w:t>
      </w:r>
      <w:r>
        <w:t xml:space="preserve">出 33:9-10。</w:t>
      </w:r>
    </w:p>
  </w:footnote>
  <w:footnote w:id="1329">
    <w:p>
      <w:pPr>
        <w:pStyle w:val="FootnoteText"/>
      </w:pPr>
      <w:r>
        <w:rPr>
          <w:rStyle w:val="FootnoteReference"/>
        </w:rPr>
        <w:footnoteRef/>
      </w:r>
      <w:r>
        <w:t xml:space="preserve"> </w:t>
      </w:r>
      <w:r>
        <w:t xml:space="preserve">出 40:36-38；林前 10:1-2。</w:t>
      </w:r>
    </w:p>
  </w:footnote>
  <w:footnote w:id="1330">
    <w:p>
      <w:pPr>
        <w:pStyle w:val="FootnoteText"/>
      </w:pPr>
      <w:r>
        <w:rPr>
          <w:rStyle w:val="FootnoteReference"/>
        </w:rPr>
        <w:footnoteRef/>
      </w:r>
      <w:r>
        <w:t xml:space="preserve"> </w:t>
      </w:r>
      <w:r>
        <w:t xml:space="preserve">列上 8:10-12。</w:t>
      </w:r>
    </w:p>
  </w:footnote>
  <w:footnote w:id="1331">
    <w:p>
      <w:pPr>
        <w:pStyle w:val="FootnoteText"/>
      </w:pPr>
      <w:r>
        <w:rPr>
          <w:rStyle w:val="FootnoteReference"/>
        </w:rPr>
        <w:footnoteRef/>
      </w:r>
      <w:r>
        <w:t xml:space="preserve"> </w:t>
      </w:r>
      <w:r>
        <w:t xml:space="preserve">路 1:35。</w:t>
      </w:r>
    </w:p>
  </w:footnote>
  <w:footnote w:id="1332">
    <w:p>
      <w:pPr>
        <w:pStyle w:val="FootnoteText"/>
      </w:pPr>
      <w:r>
        <w:rPr>
          <w:rStyle w:val="FootnoteReference"/>
        </w:rPr>
        <w:footnoteRef/>
      </w:r>
      <w:r>
        <w:t xml:space="preserve"> </w:t>
      </w:r>
      <w:r>
        <w:t xml:space="preserve">路 9:34-35。</w:t>
      </w:r>
    </w:p>
  </w:footnote>
  <w:footnote w:id="1333">
    <w:p>
      <w:pPr>
        <w:pStyle w:val="FootnoteText"/>
      </w:pPr>
      <w:r>
        <w:rPr>
          <w:rStyle w:val="FootnoteReference"/>
        </w:rPr>
        <w:footnoteRef/>
      </w:r>
      <w:r>
        <w:t xml:space="preserve"> </w:t>
      </w:r>
      <w:r>
        <w:t xml:space="preserve">徒 1:9；路 21:27。</w:t>
      </w:r>
    </w:p>
  </w:footnote>
  <w:footnote w:id="1334">
    <w:p>
      <w:pPr>
        <w:pStyle w:val="FootnoteText"/>
      </w:pPr>
      <w:r>
        <w:rPr>
          <w:rStyle w:val="FootnoteReference"/>
        </w:rPr>
        <w:footnoteRef/>
      </w:r>
      <w:r>
        <w:t xml:space="preserve"> </w:t>
      </w:r>
      <w:r>
        <w:t xml:space="preserve">约 6:27；林后 1:22；弗 1:13；4:3。</w:t>
      </w:r>
    </w:p>
  </w:footnote>
  <w:footnote w:id="1335">
    <w:p>
      <w:pPr>
        <w:pStyle w:val="FootnoteText"/>
      </w:pPr>
      <w:r>
        <w:rPr>
          <w:rStyle w:val="FootnoteReference"/>
        </w:rPr>
        <w:footnoteRef/>
      </w:r>
      <w:r>
        <w:t xml:space="preserve"> </w:t>
      </w:r>
      <w:r>
        <w:t xml:space="preserve">可 6:5；8:23；10:16。</w:t>
      </w:r>
    </w:p>
  </w:footnote>
  <w:footnote w:id="1336">
    <w:p>
      <w:pPr>
        <w:pStyle w:val="FootnoteText"/>
      </w:pPr>
      <w:r>
        <w:rPr>
          <w:rStyle w:val="FootnoteReference"/>
        </w:rPr>
        <w:footnoteRef/>
      </w:r>
      <w:r>
        <w:t xml:space="preserve"> </w:t>
      </w:r>
      <w:r>
        <w:t xml:space="preserve">可 16:18；徒 5:12；14:3。</w:t>
      </w:r>
    </w:p>
  </w:footnote>
  <w:footnote w:id="1337">
    <w:p>
      <w:pPr>
        <w:pStyle w:val="FootnoteText"/>
      </w:pPr>
      <w:r>
        <w:rPr>
          <w:rStyle w:val="FootnoteReference"/>
        </w:rPr>
        <w:footnoteRef/>
      </w:r>
      <w:r>
        <w:t xml:space="preserve"> </w:t>
      </w:r>
      <w:r>
        <w:t xml:space="preserve">徒 8:17-19；13:3；19:6。</w:t>
      </w:r>
    </w:p>
  </w:footnote>
  <w:footnote w:id="1338">
    <w:p>
      <w:pPr>
        <w:pStyle w:val="FootnoteText"/>
      </w:pPr>
      <w:r>
        <w:rPr>
          <w:rStyle w:val="FootnoteReference"/>
        </w:rPr>
        <w:footnoteRef/>
      </w:r>
      <w:r>
        <w:t xml:space="preserve"> </w:t>
      </w:r>
      <w:r>
        <w:t xml:space="preserve">希 6:2。</w:t>
      </w:r>
    </w:p>
  </w:footnote>
  <w:footnote w:id="1339">
    <w:p>
      <w:pPr>
        <w:pStyle w:val="FootnoteText"/>
      </w:pPr>
      <w:r>
        <w:rPr>
          <w:rStyle w:val="FootnoteReference"/>
        </w:rPr>
        <w:footnoteRef/>
      </w:r>
      <w:r>
        <w:t xml:space="preserve"> </w:t>
      </w:r>
      <w:r>
        <w:t xml:space="preserve">路 11:20。</w:t>
      </w:r>
    </w:p>
  </w:footnote>
  <w:footnote w:id="1340">
    <w:p>
      <w:pPr>
        <w:pStyle w:val="FootnoteText"/>
      </w:pPr>
      <w:r>
        <w:rPr>
          <w:rStyle w:val="FootnoteReference"/>
        </w:rPr>
        <w:footnoteRef/>
      </w:r>
      <w:r>
        <w:t xml:space="preserve"> </w:t>
      </w:r>
      <w:r>
        <w:t xml:space="preserve">出 31:18；林后 3:3。</w:t>
      </w:r>
    </w:p>
  </w:footnote>
  <w:footnote w:id="1341">
    <w:p>
      <w:pPr>
        <w:pStyle w:val="FootnoteText"/>
      </w:pPr>
      <w:r>
        <w:rPr>
          <w:rStyle w:val="FootnoteReference"/>
        </w:rPr>
        <w:footnoteRef/>
      </w:r>
      <w:r>
        <w:t xml:space="preserve"> </w:t>
      </w:r>
      <w:r>
        <w:t xml:space="preserve">LH，耶稣升天后的复活期，晚祷圣诗：</w:t>
      </w:r>
      <w:r>
        <w:rPr>
          <w:i/>
          <w:iCs/>
        </w:rPr>
        <w:t xml:space="preserve">digitus paternae dexterae</w:t>
      </w:r>
      <w:r>
        <w:t xml:space="preserve">。</w:t>
      </w:r>
    </w:p>
  </w:footnote>
  <w:footnote w:id="1342">
    <w:p>
      <w:pPr>
        <w:pStyle w:val="FootnoteText"/>
      </w:pPr>
      <w:r>
        <w:rPr>
          <w:rStyle w:val="FootnoteReference"/>
        </w:rPr>
        <w:footnoteRef/>
      </w:r>
      <w:r>
        <w:t xml:space="preserve"> </w:t>
      </w:r>
      <w:r>
        <w:t xml:space="preserve">创 8:8-12。</w:t>
      </w:r>
    </w:p>
  </w:footnote>
  <w:footnote w:id="1343">
    <w:p>
      <w:pPr>
        <w:pStyle w:val="FootnoteText"/>
      </w:pPr>
      <w:r>
        <w:rPr>
          <w:rStyle w:val="FootnoteReference"/>
        </w:rPr>
        <w:footnoteRef/>
      </w:r>
      <w:r>
        <w:t xml:space="preserve"> </w:t>
      </w:r>
      <w:r>
        <w:t xml:space="preserve">太 3:16 及对观经文。</w:t>
      </w:r>
    </w:p>
  </w:footnote>
  <w:footnote w:id="1346">
    <w:p>
      <w:pPr>
        <w:pStyle w:val="FootnoteText"/>
      </w:pPr>
      <w:r>
        <w:rPr>
          <w:rStyle w:val="FootnoteReference"/>
        </w:rPr>
        <w:footnoteRef/>
      </w:r>
      <w:r>
        <w:t xml:space="preserve"> </w:t>
      </w:r>
      <w:r>
        <w:t xml:space="preserve">加 4:4。</w:t>
      </w:r>
    </w:p>
  </w:footnote>
  <w:footnote w:id="1347">
    <w:p>
      <w:pPr>
        <w:pStyle w:val="FootnoteText"/>
      </w:pPr>
      <w:r>
        <w:rPr>
          <w:rStyle w:val="FootnoteReference"/>
        </w:rPr>
        <w:footnoteRef/>
      </w:r>
      <w:r>
        <w:t xml:space="preserve"> </w:t>
      </w:r>
      <w:r>
        <w:t xml:space="preserve">林后 3:14；约 5:39，46。</w:t>
      </w:r>
    </w:p>
  </w:footnote>
  <w:footnote w:id="1348">
    <w:p>
      <w:pPr>
        <w:pStyle w:val="FootnoteText"/>
      </w:pPr>
      <w:r>
        <w:rPr>
          <w:rStyle w:val="FootnoteReference"/>
        </w:rPr>
        <w:footnoteRef/>
      </w:r>
      <w:r>
        <w:t xml:space="preserve"> </w:t>
      </w:r>
      <w:r>
        <w:t xml:space="preserve">路 24:44。</w:t>
      </w:r>
    </w:p>
  </w:footnote>
  <w:footnote w:id="1349">
    <w:p>
      <w:pPr>
        <w:pStyle w:val="FootnoteText"/>
      </w:pPr>
      <w:r>
        <w:rPr>
          <w:rStyle w:val="FootnoteReference"/>
        </w:rPr>
        <w:footnoteRef/>
      </w:r>
      <w:r>
        <w:t xml:space="preserve"> </w:t>
      </w:r>
      <w:r>
        <w:t xml:space="preserve">诗 33:6；104:30；创 1:2；2:7；传 3:20-21；结 37:10。</w:t>
      </w:r>
    </w:p>
  </w:footnote>
  <w:footnote w:id="1350">
    <w:p>
      <w:pPr>
        <w:pStyle w:val="FootnoteText"/>
      </w:pPr>
      <w:r>
        <w:rPr>
          <w:rStyle w:val="FootnoteReference"/>
        </w:rPr>
        <w:footnoteRef/>
      </w:r>
      <w:r>
        <w:t xml:space="preserve"> </w:t>
      </w:r>
      <w:r>
        <w:t xml:space="preserve">拜占庭礼仪，第二调式主日，晨祷</w:t>
      </w:r>
      <w:r>
        <w:rPr>
          <w:i/>
          <w:iCs/>
        </w:rPr>
        <w:t xml:space="preserve">troparion</w:t>
      </w:r>
      <w:r>
        <w:t xml:space="preserve">。</w:t>
      </w:r>
    </w:p>
  </w:footnote>
  <w:footnote w:id="1351">
    <w:p>
      <w:pPr>
        <w:pStyle w:val="FootnoteText"/>
      </w:pPr>
      <w:r>
        <w:rPr>
          <w:rStyle w:val="FootnoteReference"/>
        </w:rPr>
        <w:footnoteRef/>
      </w:r>
      <w:r>
        <w:t xml:space="preserve"> </w:t>
      </w:r>
      <w:r>
        <w:t xml:space="preserve">圣爱任纽，《使徒的证明》11:SCh 62,48-49。</w:t>
      </w:r>
    </w:p>
  </w:footnote>
  <w:footnote w:id="1353">
    <w:p>
      <w:pPr>
        <w:pStyle w:val="FootnoteText"/>
      </w:pPr>
      <w:r>
        <w:rPr>
          <w:rStyle w:val="FootnoteReference"/>
        </w:rPr>
        <w:footnoteRef/>
      </w:r>
      <w:r>
        <w:t xml:space="preserve"> </w:t>
      </w:r>
      <w:r>
        <w:t xml:space="preserve">罗 3:23。</w:t>
      </w:r>
    </w:p>
  </w:footnote>
  <w:footnote w:id="1354">
    <w:p>
      <w:pPr>
        <w:pStyle w:val="FootnoteText"/>
      </w:pPr>
      <w:r>
        <w:rPr>
          <w:rStyle w:val="FootnoteReference"/>
        </w:rPr>
        <w:footnoteRef/>
      </w:r>
      <w:r>
        <w:t xml:space="preserve"> </w:t>
      </w:r>
      <w:r>
        <w:t xml:space="preserve">约 1:14；斐 2:7。</w:t>
      </w:r>
    </w:p>
  </w:footnote>
  <w:footnote w:id="1355">
    <w:p>
      <w:pPr>
        <w:pStyle w:val="FootnoteText"/>
      </w:pPr>
      <w:r>
        <w:rPr>
          <w:rStyle w:val="FootnoteReference"/>
        </w:rPr>
        <w:footnoteRef/>
      </w:r>
      <w:r>
        <w:t xml:space="preserve"> </w:t>
      </w:r>
      <w:r>
        <w:t xml:space="preserve">创 18:1-15；路 1:26-38,54-55；约 1:12-13；罗 4:16-21。</w:t>
      </w:r>
    </w:p>
  </w:footnote>
  <w:footnote w:id="1356">
    <w:p>
      <w:pPr>
        <w:pStyle w:val="FootnoteText"/>
      </w:pPr>
      <w:r>
        <w:rPr>
          <w:rStyle w:val="FootnoteReference"/>
        </w:rPr>
        <w:footnoteRef/>
      </w:r>
      <w:r>
        <w:t xml:space="preserve"> </w:t>
      </w:r>
      <w:r>
        <w:t xml:space="preserve">创 12:3；加 3:16。</w:t>
      </w:r>
    </w:p>
  </w:footnote>
  <w:footnote w:id="1357">
    <w:p>
      <w:pPr>
        <w:pStyle w:val="FootnoteText"/>
      </w:pPr>
      <w:r>
        <w:rPr>
          <w:rStyle w:val="FootnoteReference"/>
        </w:rPr>
        <w:footnoteRef/>
      </w:r>
      <w:r>
        <w:t xml:space="preserve"> </w:t>
      </w:r>
      <w:r>
        <w:t xml:space="preserve">约 11:52。</w:t>
      </w:r>
    </w:p>
  </w:footnote>
  <w:footnote w:id="1358">
    <w:p>
      <w:pPr>
        <w:pStyle w:val="FootnoteText"/>
      </w:pPr>
      <w:r>
        <w:rPr>
          <w:rStyle w:val="FootnoteReference"/>
        </w:rPr>
        <w:footnoteRef/>
      </w:r>
      <w:r>
        <w:t xml:space="preserve"> </w:t>
      </w:r>
      <w:r>
        <w:t xml:space="preserve">弗 1:13-14；创 22:17-19；路 1:73；约 3:16；罗 8:32；加 3:14。</w:t>
      </w:r>
    </w:p>
  </w:footnote>
  <w:footnote w:id="1360">
    <w:p>
      <w:pPr>
        <w:pStyle w:val="FootnoteText"/>
      </w:pPr>
      <w:r>
        <w:rPr>
          <w:rStyle w:val="FootnoteReference"/>
        </w:rPr>
        <w:footnoteRef/>
      </w:r>
      <w:r>
        <w:t xml:space="preserve"> </w:t>
      </w:r>
      <w:r>
        <w:t xml:space="preserve">出 19-20；申 1-11；29-30。</w:t>
      </w:r>
    </w:p>
  </w:footnote>
  <w:footnote w:id="1361">
    <w:p>
      <w:pPr>
        <w:pStyle w:val="FootnoteText"/>
      </w:pPr>
      <w:r>
        <w:rPr>
          <w:rStyle w:val="FootnoteReference"/>
        </w:rPr>
        <w:footnoteRef/>
      </w:r>
      <w:r>
        <w:t xml:space="preserve"> </w:t>
      </w:r>
      <w:r>
        <w:t xml:space="preserve">加 3:24。</w:t>
      </w:r>
    </w:p>
  </w:footnote>
  <w:footnote w:id="1362">
    <w:p>
      <w:pPr>
        <w:pStyle w:val="FootnoteText"/>
      </w:pPr>
      <w:r>
        <w:rPr>
          <w:rStyle w:val="FootnoteReference"/>
        </w:rPr>
        <w:footnoteRef/>
      </w:r>
      <w:r>
        <w:t xml:space="preserve"> </w:t>
      </w:r>
      <w:r>
        <w:t xml:space="preserve">罗 3:20。</w:t>
      </w:r>
    </w:p>
  </w:footnote>
  <w:footnote w:id="1364">
    <w:p>
      <w:pPr>
        <w:pStyle w:val="FootnoteText"/>
      </w:pPr>
      <w:r>
        <w:rPr>
          <w:rStyle w:val="FootnoteReference"/>
        </w:rPr>
        <w:footnoteRef/>
      </w:r>
      <w:r>
        <w:t xml:space="preserve"> </w:t>
      </w:r>
      <w:r>
        <w:t xml:space="preserve">出 19:5-6；彼前 2:9。</w:t>
      </w:r>
    </w:p>
  </w:footnote>
  <w:footnote w:id="1365">
    <w:p>
      <w:pPr>
        <w:pStyle w:val="FootnoteText"/>
      </w:pPr>
      <w:r>
        <w:rPr>
          <w:rStyle w:val="FootnoteReference"/>
        </w:rPr>
        <w:footnoteRef/>
      </w:r>
      <w:r>
        <w:t xml:space="preserve"> </w:t>
      </w:r>
      <w:r>
        <w:t xml:space="preserve">撒下 7；诗 89；路 1:32-33。</w:t>
      </w:r>
    </w:p>
  </w:footnote>
  <w:footnote w:id="1366">
    <w:p>
      <w:pPr>
        <w:pStyle w:val="FootnoteText"/>
      </w:pPr>
      <w:r>
        <w:rPr>
          <w:rStyle w:val="FootnoteReference"/>
        </w:rPr>
        <w:footnoteRef/>
      </w:r>
      <w:r>
        <w:t xml:space="preserve"> </w:t>
      </w:r>
      <w:r>
        <w:t xml:space="preserve">路 24：26。</w:t>
      </w:r>
    </w:p>
  </w:footnote>
  <w:footnote w:id="1368">
    <w:p>
      <w:pPr>
        <w:pStyle w:val="FootnoteText"/>
      </w:pPr>
      <w:r>
        <w:rPr>
          <w:rStyle w:val="FootnoteReference"/>
        </w:rPr>
        <w:footnoteRef/>
      </w:r>
      <w:r>
        <w:t xml:space="preserve"> </w:t>
      </w:r>
      <w:r>
        <w:t xml:space="preserve">赛 43：19。</w:t>
      </w:r>
    </w:p>
  </w:footnote>
  <w:footnote w:id="1369">
    <w:p>
      <w:pPr>
        <w:pStyle w:val="FootnoteText"/>
      </w:pPr>
      <w:r>
        <w:rPr>
          <w:rStyle w:val="FootnoteReference"/>
        </w:rPr>
        <w:footnoteRef/>
      </w:r>
      <w:r>
        <w:t xml:space="preserve"> </w:t>
      </w:r>
      <w:r>
        <w:t xml:space="preserve">番 2：3；路 2：25，38。</w:t>
      </w:r>
    </w:p>
  </w:footnote>
  <w:footnote w:id="1370">
    <w:p>
      <w:pPr>
        <w:pStyle w:val="FootnoteText"/>
      </w:pPr>
      <w:r>
        <w:rPr>
          <w:rStyle w:val="FootnoteReference"/>
        </w:rPr>
        <w:footnoteRef/>
      </w:r>
      <w:r>
        <w:t xml:space="preserve"> </w:t>
      </w:r>
      <w:r>
        <w:t xml:space="preserve">约 12:41；赛 6-12。</w:t>
      </w:r>
    </w:p>
  </w:footnote>
  <w:footnote w:id="1371">
    <w:p>
      <w:pPr>
        <w:pStyle w:val="FootnoteText"/>
      </w:pPr>
      <w:r>
        <w:rPr>
          <w:rStyle w:val="FootnoteReference"/>
        </w:rPr>
        <w:footnoteRef/>
      </w:r>
      <w:r>
        <w:t xml:space="preserve"> </w:t>
      </w:r>
      <w:r>
        <w:t xml:space="preserve">赛 11:1-2。</w:t>
      </w:r>
    </w:p>
  </w:footnote>
  <w:footnote w:id="1372">
    <w:p>
      <w:pPr>
        <w:pStyle w:val="FootnoteText"/>
      </w:pPr>
      <w:r>
        <w:rPr>
          <w:rStyle w:val="FootnoteReference"/>
        </w:rPr>
        <w:footnoteRef/>
      </w:r>
      <w:r>
        <w:t xml:space="preserve"> </w:t>
      </w:r>
      <w:r>
        <w:t xml:space="preserve">赛 42:1-9；太 12:18-21；约 1:32-34；接着赛 49:1-6；太 3:17；路 2:32；最后赛 50:4-10 和赛 52:13-53:12。</w:t>
      </w:r>
    </w:p>
  </w:footnote>
  <w:footnote w:id="1373">
    <w:p>
      <w:pPr>
        <w:pStyle w:val="FootnoteText"/>
      </w:pPr>
      <w:r>
        <w:rPr>
          <w:rStyle w:val="FootnoteReference"/>
        </w:rPr>
        <w:footnoteRef/>
      </w:r>
      <w:r>
        <w:t xml:space="preserve"> </w:t>
      </w:r>
      <w:r>
        <w:t xml:space="preserve">斐 2:7。</w:t>
      </w:r>
    </w:p>
  </w:footnote>
  <w:footnote w:id="1374">
    <w:p>
      <w:pPr>
        <w:pStyle w:val="FootnoteText"/>
      </w:pPr>
      <w:r>
        <w:rPr>
          <w:rStyle w:val="FootnoteReference"/>
        </w:rPr>
        <w:footnoteRef/>
      </w:r>
      <w:r>
        <w:t xml:space="preserve"> </w:t>
      </w:r>
      <w:r>
        <w:t xml:space="preserve">赛 61:1-2；路 4:18-19。</w:t>
      </w:r>
    </w:p>
  </w:footnote>
  <w:footnote w:id="1375">
    <w:p>
      <w:pPr>
        <w:pStyle w:val="FootnoteText"/>
      </w:pPr>
      <w:r>
        <w:rPr>
          <w:rStyle w:val="FootnoteReference"/>
        </w:rPr>
        <w:footnoteRef/>
      </w:r>
      <w:r>
        <w:t xml:space="preserve"> </w:t>
      </w:r>
      <w:r>
        <w:t xml:space="preserve">结 11:19；36:25-28；37:1-14；耶 31:31-34；珥 3:1-5。</w:t>
      </w:r>
    </w:p>
  </w:footnote>
  <w:footnote w:id="1376">
    <w:p>
      <w:pPr>
        <w:pStyle w:val="FootnoteText"/>
      </w:pPr>
      <w:r>
        <w:rPr>
          <w:rStyle w:val="FootnoteReference"/>
        </w:rPr>
        <w:footnoteRef/>
      </w:r>
      <w:r>
        <w:t xml:space="preserve"> </w:t>
      </w:r>
      <w:r>
        <w:t xml:space="preserve">徒 2:17-21。</w:t>
      </w:r>
    </w:p>
  </w:footnote>
  <w:footnote w:id="1377">
    <w:p>
      <w:pPr>
        <w:pStyle w:val="FootnoteText"/>
      </w:pPr>
      <w:r>
        <w:rPr>
          <w:rStyle w:val="FootnoteReference"/>
        </w:rPr>
        <w:footnoteRef/>
      </w:r>
      <w:r>
        <w:t xml:space="preserve"> </w:t>
      </w:r>
      <w:r>
        <w:t xml:space="preserve">番 2:3；诗 22:27；34:3；赛 49:13；61:1；等等。</w:t>
      </w:r>
    </w:p>
  </w:footnote>
  <w:footnote w:id="1378">
    <w:p>
      <w:pPr>
        <w:pStyle w:val="FootnoteText"/>
      </w:pPr>
      <w:r>
        <w:rPr>
          <w:rStyle w:val="FootnoteReference"/>
        </w:rPr>
        <w:footnoteRef/>
      </w:r>
      <w:r>
        <w:t xml:space="preserve"> </w:t>
      </w:r>
      <w:r>
        <w:t xml:space="preserve">路 1:17。</w:t>
      </w:r>
    </w:p>
  </w:footnote>
  <w:footnote w:id="1381">
    <w:p>
      <w:pPr>
        <w:pStyle w:val="FootnoteText"/>
      </w:pPr>
      <w:r>
        <w:rPr>
          <w:rStyle w:val="FootnoteReference"/>
        </w:rPr>
        <w:footnoteRef/>
      </w:r>
      <w:r>
        <w:t xml:space="preserve"> </w:t>
      </w:r>
      <w:r>
        <w:t xml:space="preserve">约 1:6。</w:t>
      </w:r>
    </w:p>
  </w:footnote>
  <w:footnote w:id="1382">
    <w:p>
      <w:pPr>
        <w:pStyle w:val="FootnoteText"/>
      </w:pPr>
      <w:r>
        <w:rPr>
          <w:rStyle w:val="FootnoteReference"/>
        </w:rPr>
        <w:footnoteRef/>
      </w:r>
      <w:r>
        <w:t xml:space="preserve"> </w:t>
      </w:r>
      <w:r>
        <w:t xml:space="preserve">路 1:15，41。</w:t>
      </w:r>
    </w:p>
  </w:footnote>
  <w:footnote w:id="1383">
    <w:p>
      <w:pPr>
        <w:pStyle w:val="FootnoteText"/>
      </w:pPr>
      <w:r>
        <w:rPr>
          <w:rStyle w:val="FootnoteReference"/>
        </w:rPr>
        <w:footnoteRef/>
      </w:r>
      <w:r>
        <w:t xml:space="preserve"> </w:t>
      </w:r>
      <w:r>
        <w:t xml:space="preserve">路 1:68。</w:t>
      </w:r>
    </w:p>
  </w:footnote>
  <w:footnote w:id="1384">
    <w:p>
      <w:pPr>
        <w:pStyle w:val="FootnoteText"/>
      </w:pPr>
      <w:r>
        <w:rPr>
          <w:rStyle w:val="FootnoteReference"/>
        </w:rPr>
        <w:footnoteRef/>
      </w:r>
      <w:r>
        <w:t xml:space="preserve"> </w:t>
      </w:r>
      <w:r>
        <w:t xml:space="preserve">太 17:10-13；路 1:78。</w:t>
      </w:r>
    </w:p>
  </w:footnote>
  <w:footnote w:id="1385">
    <w:p>
      <w:pPr>
        <w:pStyle w:val="FootnoteText"/>
      </w:pPr>
      <w:r>
        <w:rPr>
          <w:rStyle w:val="FootnoteReference"/>
        </w:rPr>
        <w:footnoteRef/>
      </w:r>
      <w:r>
        <w:t xml:space="preserve"> </w:t>
      </w:r>
      <w:r>
        <w:t xml:space="preserve">路 1:17。</w:t>
      </w:r>
    </w:p>
  </w:footnote>
  <w:footnote w:id="1386">
    <w:p>
      <w:pPr>
        <w:pStyle w:val="FootnoteText"/>
      </w:pPr>
      <w:r>
        <w:rPr>
          <w:rStyle w:val="FootnoteReference"/>
        </w:rPr>
        <w:footnoteRef/>
      </w:r>
      <w:r>
        <w:t xml:space="preserve"> </w:t>
      </w:r>
      <w:r>
        <w:t xml:space="preserve">路 7:26。</w:t>
      </w:r>
    </w:p>
  </w:footnote>
  <w:footnote w:id="1387">
    <w:p>
      <w:pPr>
        <w:pStyle w:val="FootnoteText"/>
      </w:pPr>
      <w:r>
        <w:rPr>
          <w:rStyle w:val="FootnoteReference"/>
        </w:rPr>
        <w:footnoteRef/>
      </w:r>
      <w:r>
        <w:t xml:space="preserve"> </w:t>
      </w:r>
      <w:r>
        <w:t xml:space="preserve">太 11:13-14。</w:t>
      </w:r>
    </w:p>
  </w:footnote>
  <w:footnote w:id="1388">
    <w:p>
      <w:pPr>
        <w:pStyle w:val="FootnoteText"/>
      </w:pPr>
      <w:r>
        <w:rPr>
          <w:rStyle w:val="FootnoteReference"/>
        </w:rPr>
        <w:footnoteRef/>
      </w:r>
      <w:r>
        <w:t xml:space="preserve"> </w:t>
      </w:r>
      <w:r>
        <w:t xml:space="preserve">约 1:23；赛 40:1-3。</w:t>
      </w:r>
    </w:p>
  </w:footnote>
  <w:footnote w:id="1389">
    <w:p>
      <w:pPr>
        <w:pStyle w:val="FootnoteText"/>
      </w:pPr>
      <w:r>
        <w:rPr>
          <w:rStyle w:val="FootnoteReference"/>
        </w:rPr>
        <w:footnoteRef/>
      </w:r>
      <w:r>
        <w:t xml:space="preserve"> </w:t>
      </w:r>
      <w:r>
        <w:t xml:space="preserve">约 1:7；约 15:26；5:35。</w:t>
      </w:r>
    </w:p>
  </w:footnote>
  <w:footnote w:id="1390">
    <w:p>
      <w:pPr>
        <w:pStyle w:val="FootnoteText"/>
      </w:pPr>
      <w:r>
        <w:rPr>
          <w:rStyle w:val="FootnoteReference"/>
        </w:rPr>
        <w:footnoteRef/>
      </w:r>
      <w:r>
        <w:t xml:space="preserve"> </w:t>
      </w:r>
      <w:r>
        <w:t xml:space="preserve">彼前 1:10-12。</w:t>
      </w:r>
    </w:p>
  </w:footnote>
  <w:footnote w:id="1391">
    <w:p>
      <w:pPr>
        <w:pStyle w:val="FootnoteText"/>
      </w:pPr>
      <w:r>
        <w:rPr>
          <w:rStyle w:val="FootnoteReference"/>
        </w:rPr>
        <w:footnoteRef/>
      </w:r>
      <w:r>
        <w:t xml:space="preserve"> </w:t>
      </w:r>
      <w:r>
        <w:t xml:space="preserve">约 1:33-36。</w:t>
      </w:r>
    </w:p>
  </w:footnote>
  <w:footnote w:id="1392">
    <w:p>
      <w:pPr>
        <w:pStyle w:val="FootnoteText"/>
      </w:pPr>
      <w:r>
        <w:rPr>
          <w:rStyle w:val="FootnoteReference"/>
        </w:rPr>
        <w:footnoteRef/>
      </w:r>
      <w:r>
        <w:t xml:space="preserve"> </w:t>
      </w:r>
      <w:r>
        <w:t xml:space="preserve">约 3:5。</w:t>
      </w:r>
    </w:p>
  </w:footnote>
  <w:footnote w:id="1394">
    <w:p>
      <w:pPr>
        <w:pStyle w:val="FootnoteText"/>
      </w:pPr>
      <w:r>
        <w:rPr>
          <w:rStyle w:val="FootnoteReference"/>
        </w:rPr>
        <w:footnoteRef/>
      </w:r>
      <w:r>
        <w:t xml:space="preserve"> </w:t>
      </w:r>
      <w:r>
        <w:t xml:space="preserve">箴 8:1-9:6；德 24。</w:t>
      </w:r>
    </w:p>
  </w:footnote>
  <w:footnote w:id="1395">
    <w:p>
      <w:pPr>
        <w:pStyle w:val="FootnoteText"/>
      </w:pPr>
      <w:r>
        <w:rPr>
          <w:rStyle w:val="FootnoteReference"/>
        </w:rPr>
        <w:footnoteRef/>
      </w:r>
      <w:r>
        <w:t xml:space="preserve"> </w:t>
      </w:r>
      <w:r>
        <w:t xml:space="preserve">西 2:9。</w:t>
      </w:r>
    </w:p>
  </w:footnote>
  <w:footnote w:id="1396">
    <w:p>
      <w:pPr>
        <w:pStyle w:val="FootnoteText"/>
      </w:pPr>
      <w:r>
        <w:rPr>
          <w:rStyle w:val="FootnoteReference"/>
        </w:rPr>
        <w:footnoteRef/>
      </w:r>
      <w:r>
        <w:t xml:space="preserve"> </w:t>
      </w:r>
      <w:r>
        <w:t xml:space="preserve">番 3:14；亚 2:14。</w:t>
      </w:r>
    </w:p>
  </w:footnote>
  <w:footnote w:id="1397">
    <w:p>
      <w:pPr>
        <w:pStyle w:val="FootnoteText"/>
      </w:pPr>
      <w:r>
        <w:rPr>
          <w:rStyle w:val="FootnoteReference"/>
        </w:rPr>
        <w:footnoteRef/>
      </w:r>
      <w:r>
        <w:t xml:space="preserve"> </w:t>
      </w:r>
      <w:r>
        <w:t xml:space="preserve">路 1:46-55。</w:t>
      </w:r>
    </w:p>
  </w:footnote>
  <w:footnote w:id="1398">
    <w:p>
      <w:pPr>
        <w:pStyle w:val="FootnoteText"/>
      </w:pPr>
      <w:r>
        <w:rPr>
          <w:rStyle w:val="FootnoteReference"/>
        </w:rPr>
        <w:footnoteRef/>
      </w:r>
      <w:r>
        <w:t xml:space="preserve"> </w:t>
      </w:r>
      <w:r>
        <w:t xml:space="preserve">路 1:26-38；罗 4:18-21；加 4:26-28。</w:t>
      </w:r>
    </w:p>
  </w:footnote>
  <w:footnote w:id="1399">
    <w:p>
      <w:pPr>
        <w:pStyle w:val="FootnoteText"/>
      </w:pPr>
      <w:r>
        <w:rPr>
          <w:rStyle w:val="FootnoteReference"/>
        </w:rPr>
        <w:footnoteRef/>
      </w:r>
      <w:r>
        <w:t xml:space="preserve"> </w:t>
      </w:r>
      <w:r>
        <w:t xml:space="preserve">路 1:15-19；太 2:11。</w:t>
      </w:r>
    </w:p>
  </w:footnote>
  <w:footnote w:id="1400">
    <w:p>
      <w:pPr>
        <w:pStyle w:val="FootnoteText"/>
      </w:pPr>
      <w:r>
        <w:rPr>
          <w:rStyle w:val="FootnoteReference"/>
        </w:rPr>
        <w:footnoteRef/>
      </w:r>
      <w:r>
        <w:t xml:space="preserve"> </w:t>
      </w:r>
      <w:r>
        <w:t xml:space="preserve">路 2:14。</w:t>
      </w:r>
    </w:p>
  </w:footnote>
  <w:footnote w:id="1401">
    <w:p>
      <w:pPr>
        <w:pStyle w:val="FootnoteText"/>
      </w:pPr>
      <w:r>
        <w:rPr>
          <w:rStyle w:val="FootnoteReference"/>
        </w:rPr>
        <w:footnoteRef/>
      </w:r>
      <w:r>
        <w:t xml:space="preserve"> </w:t>
      </w:r>
      <w:r>
        <w:t xml:space="preserve">约 19:25-27。</w:t>
      </w:r>
    </w:p>
  </w:footnote>
  <w:footnote w:id="1402">
    <w:p>
      <w:pPr>
        <w:pStyle w:val="FootnoteText"/>
      </w:pPr>
      <w:r>
        <w:rPr>
          <w:rStyle w:val="FootnoteReference"/>
        </w:rPr>
        <w:footnoteRef/>
      </w:r>
      <w:r>
        <w:t xml:space="preserve"> </w:t>
      </w:r>
      <w:r>
        <w:t xml:space="preserve">徒 1:14。</w:t>
      </w:r>
    </w:p>
  </w:footnote>
  <w:footnote w:id="1404">
    <w:p>
      <w:pPr>
        <w:pStyle w:val="FootnoteText"/>
      </w:pPr>
      <w:r>
        <w:rPr>
          <w:rStyle w:val="FootnoteReference"/>
        </w:rPr>
        <w:footnoteRef/>
      </w:r>
      <w:r>
        <w:t xml:space="preserve"> </w:t>
      </w:r>
      <w:r>
        <w:t xml:space="preserve">约 6:27、51、62-63。</w:t>
      </w:r>
    </w:p>
  </w:footnote>
  <w:footnote w:id="1405">
    <w:p>
      <w:pPr>
        <w:pStyle w:val="FootnoteText"/>
      </w:pPr>
      <w:r>
        <w:rPr>
          <w:rStyle w:val="FootnoteReference"/>
        </w:rPr>
        <w:footnoteRef/>
      </w:r>
      <w:r>
        <w:t xml:space="preserve"> </w:t>
      </w:r>
      <w:r>
        <w:t xml:space="preserve">约 3:5-8。</w:t>
      </w:r>
    </w:p>
  </w:footnote>
  <w:footnote w:id="1406">
    <w:p>
      <w:pPr>
        <w:pStyle w:val="FootnoteText"/>
      </w:pPr>
      <w:r>
        <w:rPr>
          <w:rStyle w:val="FootnoteReference"/>
        </w:rPr>
        <w:footnoteRef/>
      </w:r>
      <w:r>
        <w:t xml:space="preserve"> </w:t>
      </w:r>
      <w:r>
        <w:t xml:space="preserve">约 4:10、14、23-24。</w:t>
      </w:r>
    </w:p>
  </w:footnote>
  <w:footnote w:id="1407">
    <w:p>
      <w:pPr>
        <w:pStyle w:val="FootnoteText"/>
      </w:pPr>
      <w:r>
        <w:rPr>
          <w:rStyle w:val="FootnoteReference"/>
        </w:rPr>
        <w:footnoteRef/>
      </w:r>
      <w:r>
        <w:t xml:space="preserve"> </w:t>
      </w:r>
      <w:r>
        <w:t xml:space="preserve">约 7:37-39。</w:t>
      </w:r>
    </w:p>
  </w:footnote>
  <w:footnote w:id="1408">
    <w:p>
      <w:pPr>
        <w:pStyle w:val="FootnoteText"/>
      </w:pPr>
      <w:r>
        <w:rPr>
          <w:rStyle w:val="FootnoteReference"/>
        </w:rPr>
        <w:footnoteRef/>
      </w:r>
      <w:r>
        <w:t xml:space="preserve"> </w:t>
      </w:r>
      <w:r>
        <w:t xml:space="preserve">路 11:13。</w:t>
      </w:r>
    </w:p>
  </w:footnote>
  <w:footnote w:id="1409">
    <w:p>
      <w:pPr>
        <w:pStyle w:val="FootnoteText"/>
      </w:pPr>
      <w:r>
        <w:rPr>
          <w:rStyle w:val="FootnoteReference"/>
        </w:rPr>
        <w:footnoteRef/>
      </w:r>
      <w:r>
        <w:t xml:space="preserve"> </w:t>
      </w:r>
      <w:r>
        <w:t xml:space="preserve">太 10:19-20。</w:t>
      </w:r>
    </w:p>
  </w:footnote>
  <w:footnote w:id="1410">
    <w:p>
      <w:pPr>
        <w:pStyle w:val="FootnoteText"/>
      </w:pPr>
      <w:r>
        <w:rPr>
          <w:rStyle w:val="FootnoteReference"/>
        </w:rPr>
        <w:footnoteRef/>
      </w:r>
      <w:r>
        <w:t xml:space="preserve"> </w:t>
      </w:r>
      <w:r>
        <w:t xml:space="preserve">约 14:16-17、26；15:26；16:7-15；17:26。</w:t>
      </w:r>
    </w:p>
  </w:footnote>
  <w:footnote w:id="1411">
    <w:p>
      <w:pPr>
        <w:pStyle w:val="FootnoteText"/>
      </w:pPr>
      <w:r>
        <w:rPr>
          <w:rStyle w:val="FootnoteReference"/>
        </w:rPr>
        <w:footnoteRef/>
      </w:r>
      <w:r>
        <w:t xml:space="preserve"> </w:t>
      </w:r>
      <w:r>
        <w:t xml:space="preserve">约 13:1；17:1。</w:t>
      </w:r>
    </w:p>
  </w:footnote>
  <w:footnote w:id="1412">
    <w:p>
      <w:pPr>
        <w:pStyle w:val="FootnoteText"/>
      </w:pPr>
      <w:r>
        <w:rPr>
          <w:rStyle w:val="FootnoteReference"/>
        </w:rPr>
        <w:footnoteRef/>
      </w:r>
      <w:r>
        <w:t xml:space="preserve"> </w:t>
      </w:r>
      <w:r>
        <w:t xml:space="preserve">路 23:46；约 19:30。</w:t>
      </w:r>
    </w:p>
  </w:footnote>
  <w:footnote w:id="1413">
    <w:p>
      <w:pPr>
        <w:pStyle w:val="FootnoteText"/>
      </w:pPr>
      <w:r>
        <w:rPr>
          <w:rStyle w:val="FootnoteReference"/>
        </w:rPr>
        <w:footnoteRef/>
      </w:r>
      <w:r>
        <w:t xml:space="preserve"> </w:t>
      </w:r>
      <w:r>
        <w:t xml:space="preserve">罗 6:4。</w:t>
      </w:r>
    </w:p>
  </w:footnote>
  <w:footnote w:id="1414">
    <w:p>
      <w:pPr>
        <w:pStyle w:val="FootnoteText"/>
      </w:pPr>
      <w:r>
        <w:rPr>
          <w:rStyle w:val="FootnoteReference"/>
        </w:rPr>
        <w:footnoteRef/>
      </w:r>
      <w:r>
        <w:t xml:space="preserve"> </w:t>
      </w:r>
      <w:r>
        <w:t xml:space="preserve">约 20:22。</w:t>
      </w:r>
    </w:p>
  </w:footnote>
  <w:footnote w:id="1415">
    <w:p>
      <w:pPr>
        <w:pStyle w:val="FootnoteText"/>
      </w:pPr>
      <w:r>
        <w:rPr>
          <w:rStyle w:val="FootnoteReference"/>
        </w:rPr>
        <w:footnoteRef/>
      </w:r>
      <w:r>
        <w:t xml:space="preserve"> </w:t>
      </w:r>
      <w:r>
        <w:t xml:space="preserve">约 20:21；太 28:19；路 24:47-48；徒 1:8。</w:t>
      </w:r>
    </w:p>
  </w:footnote>
  <w:footnote w:id="1418">
    <w:p>
      <w:pPr>
        <w:pStyle w:val="FootnoteText"/>
      </w:pPr>
      <w:r>
        <w:rPr>
          <w:rStyle w:val="FootnoteReference"/>
        </w:rPr>
        <w:footnoteRef/>
      </w:r>
      <w:r>
        <w:t xml:space="preserve"> </w:t>
      </w:r>
      <w:r>
        <w:t xml:space="preserve">徒 2:33-36。</w:t>
      </w:r>
    </w:p>
  </w:footnote>
  <w:footnote w:id="1419">
    <w:p>
      <w:pPr>
        <w:pStyle w:val="FootnoteText"/>
      </w:pPr>
      <w:r>
        <w:rPr>
          <w:rStyle w:val="FootnoteReference"/>
        </w:rPr>
        <w:footnoteRef/>
      </w:r>
      <w:r>
        <w:t xml:space="preserve"> </w:t>
      </w:r>
      <w:r>
        <w:t xml:space="preserve">拜占庭礼仪，五旬节晚祷，</w:t>
      </w:r>
      <w:r>
        <w:rPr>
          <w:i/>
          <w:iCs/>
        </w:rPr>
        <w:t xml:space="preserve">颂歌</w:t>
      </w:r>
      <w:r>
        <w:t xml:space="preserve">，圣餐礼后复颂。</w:t>
      </w:r>
    </w:p>
  </w:footnote>
  <w:footnote w:id="1421">
    <w:p>
      <w:pPr>
        <w:pStyle w:val="FootnoteText"/>
      </w:pPr>
      <w:r>
        <w:rPr>
          <w:rStyle w:val="FootnoteReference"/>
        </w:rPr>
        <w:footnoteRef/>
      </w:r>
      <w:r>
        <w:t xml:space="preserve"> </w:t>
      </w:r>
      <w:r>
        <w:t xml:space="preserve">约一 4:8，1。</w:t>
      </w:r>
    </w:p>
  </w:footnote>
  <w:footnote w:id="1422">
    <w:p>
      <w:pPr>
        <w:pStyle w:val="FootnoteText"/>
      </w:pPr>
      <w:r>
        <w:rPr>
          <w:rStyle w:val="FootnoteReference"/>
        </w:rPr>
        <w:footnoteRef/>
      </w:r>
      <w:r>
        <w:t xml:space="preserve"> </w:t>
      </w:r>
      <w:r>
        <w:t xml:space="preserve">罗 5:5。</w:t>
      </w:r>
    </w:p>
  </w:footnote>
  <w:footnote w:id="1423">
    <w:p>
      <w:pPr>
        <w:pStyle w:val="FootnoteText"/>
      </w:pPr>
      <w:r>
        <w:rPr>
          <w:rStyle w:val="FootnoteReference"/>
        </w:rPr>
        <w:footnoteRef/>
      </w:r>
      <w:r>
        <w:t xml:space="preserve"> </w:t>
      </w:r>
      <w:r>
        <w:t xml:space="preserve">林后 13:14。</w:t>
      </w:r>
    </w:p>
  </w:footnote>
  <w:footnote w:id="1424">
    <w:p>
      <w:pPr>
        <w:pStyle w:val="FootnoteText"/>
      </w:pPr>
      <w:r>
        <w:rPr>
          <w:rStyle w:val="FootnoteReference"/>
        </w:rPr>
        <w:footnoteRef/>
      </w:r>
      <w:r>
        <w:t xml:space="preserve"> </w:t>
      </w:r>
      <w:r>
        <w:t xml:space="preserve">约一 4:12；罗 8:23；林后 1:21。</w:t>
      </w:r>
    </w:p>
  </w:footnote>
  <w:footnote w:id="1425">
    <w:p>
      <w:pPr>
        <w:pStyle w:val="FootnoteText"/>
      </w:pPr>
      <w:r>
        <w:rPr>
          <w:rStyle w:val="FootnoteReference"/>
        </w:rPr>
        <w:footnoteRef/>
      </w:r>
      <w:r>
        <w:t xml:space="preserve"> </w:t>
      </w:r>
      <w:r>
        <w:t xml:space="preserve">徒 1:8；林前 13。</w:t>
      </w:r>
    </w:p>
  </w:footnote>
  <w:footnote w:id="1426">
    <w:p>
      <w:pPr>
        <w:pStyle w:val="FootnoteText"/>
      </w:pPr>
      <w:r>
        <w:rPr>
          <w:rStyle w:val="FootnoteReference"/>
        </w:rPr>
        <w:footnoteRef/>
      </w:r>
      <w:r>
        <w:t xml:space="preserve"> </w:t>
      </w:r>
      <w:r>
        <w:t xml:space="preserve">加 5:22-23。</w:t>
      </w:r>
    </w:p>
  </w:footnote>
  <w:footnote w:id="1427">
    <w:p>
      <w:pPr>
        <w:pStyle w:val="FootnoteText"/>
      </w:pPr>
      <w:r>
        <w:rPr>
          <w:rStyle w:val="FootnoteReference"/>
        </w:rPr>
        <w:footnoteRef/>
      </w:r>
      <w:r>
        <w:t xml:space="preserve"> </w:t>
      </w:r>
      <w:r>
        <w:t xml:space="preserve">加 5:25；太 16:24-26。</w:t>
      </w:r>
    </w:p>
  </w:footnote>
  <w:footnote w:id="1428">
    <w:p>
      <w:pPr>
        <w:pStyle w:val="FootnoteText"/>
      </w:pPr>
      <w:r>
        <w:rPr>
          <w:rStyle w:val="FootnoteReference"/>
        </w:rPr>
        <w:footnoteRef/>
      </w:r>
      <w:r>
        <w:t xml:space="preserve"> </w:t>
      </w:r>
      <w:r>
        <w:t xml:space="preserve">圣巴西略，《论圣灵》，15,36:PG 32,132。</w:t>
      </w:r>
    </w:p>
  </w:footnote>
  <w:footnote w:id="1430">
    <w:p>
      <w:pPr>
        <w:pStyle w:val="FootnoteText"/>
      </w:pPr>
      <w:r>
        <w:rPr>
          <w:rStyle w:val="FootnoteReference"/>
        </w:rPr>
        <w:footnoteRef/>
      </w:r>
      <w:r>
        <w:t xml:space="preserve"> </w:t>
      </w:r>
      <w:r>
        <w:t xml:space="preserve">约 15:8，16。</w:t>
      </w:r>
    </w:p>
  </w:footnote>
  <w:footnote w:id="1431">
    <w:p>
      <w:pPr>
        <w:pStyle w:val="FootnoteText"/>
      </w:pPr>
      <w:r>
        <w:rPr>
          <w:rStyle w:val="FootnoteReference"/>
        </w:rPr>
        <w:footnoteRef/>
      </w:r>
      <w:r>
        <w:t xml:space="preserve"> </w:t>
      </w:r>
      <w:r>
        <w:t xml:space="preserve">亚历山大的圣区利罗，《约翰福音注释》，11,11:PG 74,561。</w:t>
      </w:r>
    </w:p>
  </w:footnote>
  <w:footnote w:id="1432">
    <w:p>
      <w:pPr>
        <w:pStyle w:val="FootnoteText"/>
      </w:pPr>
      <w:r>
        <w:rPr>
          <w:rStyle w:val="FootnoteReference"/>
        </w:rPr>
        <w:footnoteRef/>
      </w:r>
      <w:r>
        <w:t xml:space="preserve"> </w:t>
      </w:r>
      <w:r>
        <w:t xml:space="preserve">罗 8:26。</w:t>
      </w:r>
    </w:p>
  </w:footnote>
  <w:footnote w:id="1437">
    <w:p>
      <w:pPr>
        <w:pStyle w:val="FootnoteText"/>
      </w:pPr>
      <w:r>
        <w:rPr>
          <w:rStyle w:val="FootnoteReference"/>
        </w:rPr>
        <w:footnoteRef/>
      </w:r>
      <w:r>
        <w:t xml:space="preserve"> </w:t>
      </w:r>
      <w:r>
        <w:t xml:space="preserve">LG 1；参见可 16:15。</w:t>
      </w:r>
    </w:p>
  </w:footnote>
  <w:footnote w:id="1438">
    <w:p>
      <w:pPr>
        <w:pStyle w:val="FootnoteText"/>
      </w:pPr>
      <w:r>
        <w:rPr>
          <w:rStyle w:val="FootnoteReference"/>
        </w:rPr>
        <w:footnoteRef/>
      </w:r>
      <w:r>
        <w:t xml:space="preserve"> </w:t>
      </w:r>
      <w:r>
        <w:t xml:space="preserve">罗马教理 I,10,1。</w:t>
      </w:r>
    </w:p>
  </w:footnote>
  <w:footnote w:id="1439">
    <w:p>
      <w:pPr>
        <w:pStyle w:val="FootnoteText"/>
      </w:pPr>
      <w:r>
        <w:rPr>
          <w:rStyle w:val="FootnoteReference"/>
        </w:rPr>
        <w:footnoteRef/>
      </w:r>
      <w:r>
        <w:t xml:space="preserve"> </w:t>
      </w:r>
      <w:r>
        <w:t xml:space="preserve">圣希波律陀，《使徒传统》35：SCh 11,118。</w:t>
      </w:r>
    </w:p>
  </w:footnote>
  <w:footnote w:id="1440">
    <w:p>
      <w:pPr>
        <w:pStyle w:val="FootnoteText"/>
      </w:pPr>
      <w:r>
        <w:rPr>
          <w:rStyle w:val="FootnoteReference"/>
        </w:rPr>
        <w:footnoteRef/>
      </w:r>
      <w:r>
        <w:t xml:space="preserve"> </w:t>
      </w:r>
      <w:r>
        <w:t xml:space="preserve">罗马教理 I,10,22。</w:t>
      </w:r>
    </w:p>
  </w:footnote>
  <w:footnote w:id="1441">
    <w:p>
      <w:pPr>
        <w:pStyle w:val="FootnoteText"/>
      </w:pPr>
      <w:r>
        <w:rPr>
          <w:rStyle w:val="FootnoteReference"/>
        </w:rPr>
        <w:footnoteRef/>
      </w:r>
      <w:r>
        <w:t xml:space="preserve"> </w:t>
      </w:r>
      <w:r>
        <w:t xml:space="preserve">参见《使徒行传》19:39。</w:t>
      </w:r>
    </w:p>
  </w:footnote>
  <w:footnote w:id="1442">
    <w:p>
      <w:pPr>
        <w:pStyle w:val="FootnoteText"/>
      </w:pPr>
      <w:r>
        <w:rPr>
          <w:rStyle w:val="FootnoteReference"/>
        </w:rPr>
        <w:footnoteRef/>
      </w:r>
      <w:r>
        <w:t xml:space="preserve"> </w:t>
      </w:r>
      <w:r>
        <w:t xml:space="preserve">参见《出埃及记》19。</w:t>
      </w:r>
    </w:p>
  </w:footnote>
  <w:footnote w:id="1443">
    <w:p>
      <w:pPr>
        <w:pStyle w:val="FootnoteText"/>
      </w:pPr>
      <w:r>
        <w:rPr>
          <w:rStyle w:val="FootnoteReference"/>
        </w:rPr>
        <w:footnoteRef/>
      </w:r>
      <w:r>
        <w:t xml:space="preserve"> </w:t>
      </w:r>
      <w:r>
        <w:t xml:space="preserve">参见《哥林多前书》11:18；14:19，28，34，35。</w:t>
      </w:r>
    </w:p>
  </w:footnote>
  <w:footnote w:id="1444">
    <w:p>
      <w:pPr>
        <w:pStyle w:val="FootnoteText"/>
      </w:pPr>
      <w:r>
        <w:rPr>
          <w:rStyle w:val="FootnoteReference"/>
        </w:rPr>
        <w:footnoteRef/>
      </w:r>
      <w:r>
        <w:t xml:space="preserve"> </w:t>
      </w:r>
      <w:r>
        <w:t xml:space="preserve">参见《哥林多前书》1:2；16:1。</w:t>
      </w:r>
    </w:p>
  </w:footnote>
  <w:footnote w:id="1445">
    <w:p>
      <w:pPr>
        <w:pStyle w:val="FootnoteText"/>
      </w:pPr>
      <w:r>
        <w:rPr>
          <w:rStyle w:val="FootnoteReference"/>
        </w:rPr>
        <w:footnoteRef/>
      </w:r>
      <w:r>
        <w:t xml:space="preserve"> </w:t>
      </w:r>
      <w:r>
        <w:t xml:space="preserve">参见《哥林多前书》15:9；《加拉太书》1:13；《腓立比书》3:6。</w:t>
      </w:r>
    </w:p>
  </w:footnote>
  <w:footnote w:id="1446">
    <w:p>
      <w:pPr>
        <w:pStyle w:val="FootnoteText"/>
      </w:pPr>
      <w:r>
        <w:rPr>
          <w:rStyle w:val="FootnoteReference"/>
        </w:rPr>
        <w:footnoteRef/>
      </w:r>
      <w:r>
        <w:t xml:space="preserve"> </w:t>
      </w:r>
      <w:r>
        <w:t xml:space="preserve">参见《以弗所书》1:22；《歌罗西书》1:18；《教会宪章》9。</w:t>
      </w:r>
    </w:p>
  </w:footnote>
  <w:footnote w:id="1447">
    <w:p>
      <w:pPr>
        <w:pStyle w:val="FootnoteText"/>
      </w:pPr>
      <w:r>
        <w:rPr>
          <w:rStyle w:val="FootnoteReference"/>
        </w:rPr>
        <w:footnoteRef/>
      </w:r>
      <w:r>
        <w:t xml:space="preserve"> </w:t>
      </w:r>
      <w:r>
        <w:t xml:space="preserve">《教会宪章》6。</w:t>
      </w:r>
    </w:p>
  </w:footnote>
  <w:footnote w:id="1448">
    <w:p>
      <w:pPr>
        <w:pStyle w:val="FootnoteText"/>
      </w:pPr>
      <w:r>
        <w:rPr>
          <w:rStyle w:val="FootnoteReference"/>
        </w:rPr>
        <w:footnoteRef/>
      </w:r>
      <w:r>
        <w:t xml:space="preserve"> </w:t>
      </w:r>
      <w:r>
        <w:t xml:space="preserve">《教会宪章》6；参见《约翰福音》10:1-10；《以赛亚书》40:11；《以西结书》34:11-31；《约翰福音》10:11；《彼得前书》5:4；《约翰福音》10:11-16。</w:t>
      </w:r>
    </w:p>
  </w:footnote>
  <w:footnote w:id="1449">
    <w:p>
      <w:pPr>
        <w:pStyle w:val="FootnoteText"/>
      </w:pPr>
      <w:r>
        <w:rPr>
          <w:rStyle w:val="FootnoteReference"/>
        </w:rPr>
        <w:footnoteRef/>
      </w:r>
      <w:r>
        <w:t xml:space="preserve"> </w:t>
      </w:r>
      <w:r>
        <w:t xml:space="preserve">《教会宪章》6；参见《哥林多前书》39；《罗马书》11:13-26；《马太福音》21:32-43 及其对观经文；《以赛亚书》51-7；《约翰福音》15:1-5。</w:t>
      </w:r>
    </w:p>
  </w:footnote>
  <w:footnote w:id="1450">
    <w:p>
      <w:pPr>
        <w:pStyle w:val="FootnoteText"/>
      </w:pPr>
      <w:r>
        <w:rPr>
          <w:rStyle w:val="FootnoteReference"/>
        </w:rPr>
        <w:footnoteRef/>
      </w:r>
      <w:r>
        <w:t xml:space="preserve"> </w:t>
      </w:r>
      <w:r>
        <w:t xml:space="preserve">《教会宪章》6；参见《哥林多前书》3:9；《马太福音》21:42 及其对观经文；《使徒行传》4:11；《彼得前书》2:7；《诗篇》118:22；《哥林多前书》3:11；《提摩太前书》3:15；《以弗所书》2:19-22；《启示录》21:3；《彼得前书》2:5；《启示录》21:1-2。</w:t>
      </w:r>
    </w:p>
  </w:footnote>
  <w:footnote w:id="1451">
    <w:p>
      <w:pPr>
        <w:pStyle w:val="FootnoteText"/>
      </w:pPr>
      <w:r>
        <w:rPr>
          <w:rStyle w:val="FootnoteReference"/>
        </w:rPr>
        <w:footnoteRef/>
      </w:r>
      <w:r>
        <w:t xml:space="preserve"> </w:t>
      </w:r>
      <w:r>
        <w:t xml:space="preserve">《教会宪章》6；参见《加拉太书》4:26；《启示录》12:17；19:7；21:2，9；22:17；《以弗所书》5:25-26，29。</w:t>
      </w:r>
    </w:p>
  </w:footnote>
  <w:footnote w:id="1453">
    <w:p>
      <w:pPr>
        <w:pStyle w:val="FootnoteText"/>
      </w:pPr>
      <w:r>
        <w:rPr>
          <w:rStyle w:val="FootnoteReference"/>
        </w:rPr>
        <w:footnoteRef/>
      </w:r>
      <w:r>
        <w:t xml:space="preserve"> </w:t>
      </w:r>
      <w:r>
        <w:t xml:space="preserve">《教会宪章》2。</w:t>
      </w:r>
    </w:p>
  </w:footnote>
  <w:footnote w:id="1454">
    <w:p>
      <w:pPr>
        <w:pStyle w:val="FootnoteText"/>
      </w:pPr>
      <w:r>
        <w:rPr>
          <w:rStyle w:val="FootnoteReference"/>
        </w:rPr>
        <w:footnoteRef/>
      </w:r>
      <w:r>
        <w:t xml:space="preserve"> </w:t>
      </w:r>
      <w:r>
        <w:t xml:space="preserve">《教会宪章》2。</w:t>
      </w:r>
    </w:p>
  </w:footnote>
  <w:footnote w:id="1455">
    <w:p>
      <w:pPr>
        <w:pStyle w:val="FootnoteText"/>
      </w:pPr>
      <w:r>
        <w:rPr>
          <w:rStyle w:val="FootnoteReference"/>
        </w:rPr>
        <w:footnoteRef/>
      </w:r>
      <w:r>
        <w:t xml:space="preserve"> </w:t>
      </w:r>
      <w:r>
        <w:t xml:space="preserve">《教会宪章》2。</w:t>
      </w:r>
    </w:p>
  </w:footnote>
  <w:footnote w:id="1456">
    <w:p>
      <w:pPr>
        <w:pStyle w:val="FootnoteText"/>
      </w:pPr>
      <w:r>
        <w:rPr>
          <w:rStyle w:val="FootnoteReference"/>
        </w:rPr>
        <w:footnoteRef/>
      </w:r>
      <w:r>
        <w:t xml:space="preserve"> </w:t>
      </w:r>
      <w:r>
        <w:t xml:space="preserve">《黑马牧人书》，异象 2,4,1：PG 2,899；参见阿里斯提德，《护教》16,6；圣游斯丁，《护教》2,7：PG 6,456；特土良，《护教》31,3；32,1：PL 1,508-509。</w:t>
      </w:r>
    </w:p>
  </w:footnote>
  <w:footnote w:id="1457">
    <w:p>
      <w:pPr>
        <w:pStyle w:val="FootnoteText"/>
      </w:pPr>
      <w:r>
        <w:rPr>
          <w:rStyle w:val="FootnoteReference"/>
        </w:rPr>
        <w:footnoteRef/>
      </w:r>
      <w:r>
        <w:t xml:space="preserve"> </w:t>
      </w:r>
      <w:r>
        <w:t xml:space="preserve">参见圣厄比法纽，《驳异集》1,1,5：PG 41,181C。</w:t>
      </w:r>
    </w:p>
  </w:footnote>
  <w:footnote w:id="1458">
    <w:p>
      <w:pPr>
        <w:pStyle w:val="FootnoteText"/>
      </w:pPr>
      <w:r>
        <w:rPr>
          <w:rStyle w:val="FootnoteReference"/>
        </w:rPr>
        <w:footnoteRef/>
      </w:r>
      <w:r>
        <w:t xml:space="preserve"> </w:t>
      </w:r>
      <w:r>
        <w:t xml:space="preserve">亚历山大的克莱门，《训导》1,6,27：PG 8,281。</w:t>
      </w:r>
    </w:p>
  </w:footnote>
  <w:footnote w:id="1459">
    <w:p>
      <w:pPr>
        <w:pStyle w:val="FootnoteText"/>
      </w:pPr>
      <w:r>
        <w:rPr>
          <w:rStyle w:val="FootnoteReference"/>
        </w:rPr>
        <w:footnoteRef/>
      </w:r>
      <w:r>
        <w:t xml:space="preserve"> </w:t>
      </w:r>
      <w:r>
        <w:t xml:space="preserve">《使徒行传》10:35；参见《教会宪章》9；13；16。</w:t>
      </w:r>
    </w:p>
  </w:footnote>
  <w:footnote w:id="1460">
    <w:p>
      <w:pPr>
        <w:pStyle w:val="FootnoteText"/>
      </w:pPr>
      <w:r>
        <w:rPr>
          <w:rStyle w:val="FootnoteReference"/>
        </w:rPr>
        <w:footnoteRef/>
      </w:r>
      <w:r>
        <w:t xml:space="preserve"> </w:t>
      </w:r>
      <w:r>
        <w:t xml:space="preserve">参见《创世记》12:2；15:5-6。</w:t>
      </w:r>
    </w:p>
  </w:footnote>
  <w:footnote w:id="1461">
    <w:p>
      <w:pPr>
        <w:pStyle w:val="FootnoteText"/>
      </w:pPr>
      <w:r>
        <w:rPr>
          <w:rStyle w:val="FootnoteReference"/>
        </w:rPr>
        <w:footnoteRef/>
      </w:r>
      <w:r>
        <w:t xml:space="preserve"> </w:t>
      </w:r>
      <w:r>
        <w:t xml:space="preserve">参见《出埃及记》19:5-6；《申命记》7:6；《以赛亚书》2:2-5；《弥迦书》4:1-4。</w:t>
      </w:r>
    </w:p>
  </w:footnote>
  <w:footnote w:id="1462">
    <w:p>
      <w:pPr>
        <w:pStyle w:val="FootnoteText"/>
      </w:pPr>
      <w:r>
        <w:rPr>
          <w:rStyle w:val="FootnoteReference"/>
        </w:rPr>
        <w:footnoteRef/>
      </w:r>
      <w:r>
        <w:t xml:space="preserve"> </w:t>
      </w:r>
      <w:r>
        <w:t xml:space="preserve">《教会宪章》9；参见《何西阿书》1；《以赛亚书》1:2-4；《耶利米书》2；31:31-34；《以赛亚书》55:3。</w:t>
      </w:r>
    </w:p>
  </w:footnote>
  <w:footnote w:id="1463">
    <w:p>
      <w:pPr>
        <w:pStyle w:val="FootnoteText"/>
      </w:pPr>
      <w:r>
        <w:rPr>
          <w:rStyle w:val="FootnoteReference"/>
        </w:rPr>
        <w:footnoteRef/>
      </w:r>
      <w:r>
        <w:t xml:space="preserve"> </w:t>
      </w:r>
      <w:r>
        <w:t xml:space="preserve">参见《教会宪章》3；《传教工作法令》3。</w:t>
      </w:r>
    </w:p>
  </w:footnote>
  <w:footnote w:id="1464">
    <w:p>
      <w:pPr>
        <w:pStyle w:val="FootnoteText"/>
      </w:pPr>
      <w:r>
        <w:rPr>
          <w:rStyle w:val="FootnoteReference"/>
        </w:rPr>
        <w:footnoteRef/>
      </w:r>
      <w:r>
        <w:t xml:space="preserve"> </w:t>
      </w:r>
      <w:r>
        <w:t xml:space="preserve">《教会宪章》5。</w:t>
      </w:r>
    </w:p>
  </w:footnote>
  <w:footnote w:id="1465">
    <w:p>
      <w:pPr>
        <w:pStyle w:val="FootnoteText"/>
      </w:pPr>
      <w:r>
        <w:rPr>
          <w:rStyle w:val="FootnoteReference"/>
        </w:rPr>
        <w:footnoteRef/>
      </w:r>
      <w:r>
        <w:t xml:space="preserve"> </w:t>
      </w:r>
      <w:r>
        <w:t xml:space="preserve">《教会宪章》3。</w:t>
      </w:r>
    </w:p>
  </w:footnote>
  <w:footnote w:id="1466">
    <w:p>
      <w:pPr>
        <w:pStyle w:val="FootnoteText"/>
      </w:pPr>
      <w:r>
        <w:rPr>
          <w:rStyle w:val="FootnoteReference"/>
        </w:rPr>
        <w:footnoteRef/>
      </w:r>
      <w:r>
        <w:t xml:space="preserve"> </w:t>
      </w:r>
      <w:r>
        <w:t xml:space="preserve">《教会宪章》5。</w:t>
      </w:r>
    </w:p>
  </w:footnote>
  <w:footnote w:id="1467">
    <w:p>
      <w:pPr>
        <w:pStyle w:val="FootnoteText"/>
      </w:pPr>
      <w:r>
        <w:rPr>
          <w:rStyle w:val="FootnoteReference"/>
        </w:rPr>
        <w:footnoteRef/>
      </w:r>
      <w:r>
        <w:t xml:space="preserve"> </w:t>
      </w:r>
      <w:r>
        <w:t xml:space="preserve">《教会宪章》5。</w:t>
      </w:r>
    </w:p>
  </w:footnote>
  <w:footnote w:id="1468">
    <w:p>
      <w:pPr>
        <w:pStyle w:val="FootnoteText"/>
      </w:pPr>
      <w:r>
        <w:rPr>
          <w:rStyle w:val="FootnoteReference"/>
        </w:rPr>
        <w:footnoteRef/>
      </w:r>
      <w:r>
        <w:t xml:space="preserve"> </w:t>
      </w:r>
      <w:r>
        <w:t xml:space="preserve">《路加福音》12:32；参见《马太福音》10:16；26:31；《约翰福音》10:1-21。</w:t>
      </w:r>
    </w:p>
  </w:footnote>
  <w:footnote w:id="1469">
    <w:p>
      <w:pPr>
        <w:pStyle w:val="FootnoteText"/>
      </w:pPr>
      <w:r>
        <w:rPr>
          <w:rStyle w:val="FootnoteReference"/>
        </w:rPr>
        <w:footnoteRef/>
      </w:r>
      <w:r>
        <w:t xml:space="preserve"> </w:t>
      </w:r>
      <w:r>
        <w:t xml:space="preserve">参见《马太福音》12:49。</w:t>
      </w:r>
    </w:p>
  </w:footnote>
  <w:footnote w:id="1470">
    <w:p>
      <w:pPr>
        <w:pStyle w:val="FootnoteText"/>
      </w:pPr>
      <w:r>
        <w:rPr>
          <w:rStyle w:val="FootnoteReference"/>
        </w:rPr>
        <w:footnoteRef/>
      </w:r>
      <w:r>
        <w:t xml:space="preserve"> </w:t>
      </w:r>
      <w:r>
        <w:t xml:space="preserve">参见《马太福音》5-6。</w:t>
      </w:r>
    </w:p>
  </w:footnote>
  <w:footnote w:id="1471">
    <w:p>
      <w:pPr>
        <w:pStyle w:val="FootnoteText"/>
      </w:pPr>
      <w:r>
        <w:rPr>
          <w:rStyle w:val="FootnoteReference"/>
        </w:rPr>
        <w:footnoteRef/>
      </w:r>
      <w:r>
        <w:t xml:space="preserve"> </w:t>
      </w:r>
      <w:r>
        <w:t xml:space="preserve">参见《马可福音》3:14-15。</w:t>
      </w:r>
    </w:p>
  </w:footnote>
  <w:footnote w:id="1472">
    <w:p>
      <w:pPr>
        <w:pStyle w:val="FootnoteText"/>
      </w:pPr>
      <w:r>
        <w:rPr>
          <w:rStyle w:val="FootnoteReference"/>
        </w:rPr>
        <w:footnoteRef/>
      </w:r>
      <w:r>
        <w:t xml:space="preserve"> </w:t>
      </w:r>
      <w:r>
        <w:t xml:space="preserve">参见《马太福音》19:28；《路加福音》22:30；《启示录》21:12-14。</w:t>
      </w:r>
    </w:p>
  </w:footnote>
  <w:footnote w:id="1473">
    <w:p>
      <w:pPr>
        <w:pStyle w:val="FootnoteText"/>
      </w:pPr>
      <w:r>
        <w:rPr>
          <w:rStyle w:val="FootnoteReference"/>
        </w:rPr>
        <w:footnoteRef/>
      </w:r>
      <w:r>
        <w:t xml:space="preserve"> </w:t>
      </w:r>
      <w:r>
        <w:t xml:space="preserve">参见《马可福音》6:7；《路加福音》10:1-2；《马太福音》10:25；《约翰福音》15:20。</w:t>
      </w:r>
    </w:p>
  </w:footnote>
  <w:footnote w:id="1474">
    <w:p>
      <w:pPr>
        <w:pStyle w:val="FootnoteText"/>
      </w:pPr>
      <w:r>
        <w:rPr>
          <w:rStyle w:val="FootnoteReference"/>
        </w:rPr>
        <w:footnoteRef/>
      </w:r>
      <w:r>
        <w:t xml:space="preserve"> </w:t>
      </w:r>
      <w:r>
        <w:t xml:space="preserve">《教会宪章》3；参见《约翰福音》19:34。</w:t>
      </w:r>
    </w:p>
  </w:footnote>
  <w:footnote w:id="1475">
    <w:p>
      <w:pPr>
        <w:pStyle w:val="FootnoteText"/>
      </w:pPr>
      <w:r>
        <w:rPr>
          <w:rStyle w:val="FootnoteReference"/>
        </w:rPr>
        <w:footnoteRef/>
      </w:r>
      <w:r>
        <w:t xml:space="preserve"> </w:t>
      </w:r>
      <w:r>
        <w:t xml:space="preserve">《礼仪宪章》5。</w:t>
      </w:r>
    </w:p>
  </w:footnote>
  <w:footnote w:id="1476">
    <w:p>
      <w:pPr>
        <w:pStyle w:val="FootnoteText"/>
      </w:pPr>
      <w:r>
        <w:rPr>
          <w:rStyle w:val="FootnoteReference"/>
        </w:rPr>
        <w:footnoteRef/>
      </w:r>
      <w:r>
        <w:t xml:space="preserve"> </w:t>
      </w:r>
      <w:r>
        <w:t xml:space="preserve">参见圣安博，《路加福音注释》2,85-89：PL 15,1666-1668。</w:t>
      </w:r>
    </w:p>
  </w:footnote>
  <w:footnote w:id="1477">
    <w:p>
      <w:pPr>
        <w:pStyle w:val="FootnoteText"/>
      </w:pPr>
      <w:r>
        <w:rPr>
          <w:rStyle w:val="FootnoteReference"/>
        </w:rPr>
        <w:footnoteRef/>
      </w:r>
      <w:r>
        <w:t xml:space="preserve"> </w:t>
      </w:r>
      <w:r>
        <w:t xml:space="preserve">《教会宪章》4；参见《约翰福音》17:4。</w:t>
      </w:r>
    </w:p>
  </w:footnote>
  <w:footnote w:id="1478">
    <w:p>
      <w:pPr>
        <w:pStyle w:val="FootnoteText"/>
      </w:pPr>
      <w:r>
        <w:rPr>
          <w:rStyle w:val="FootnoteReference"/>
        </w:rPr>
        <w:footnoteRef/>
      </w:r>
      <w:r>
        <w:t xml:space="preserve"> </w:t>
      </w:r>
      <w:r>
        <w:t xml:space="preserve">《传教工作法令》4。</w:t>
      </w:r>
    </w:p>
  </w:footnote>
  <w:footnote w:id="1479">
    <w:p>
      <w:pPr>
        <w:pStyle w:val="FootnoteText"/>
      </w:pPr>
      <w:r>
        <w:rPr>
          <w:rStyle w:val="FootnoteReference"/>
        </w:rPr>
        <w:footnoteRef/>
      </w:r>
      <w:r>
        <w:t xml:space="preserve"> </w:t>
      </w:r>
      <w:r>
        <w:t xml:space="preserve">参见《马太福音》28:19-20；《传教工作法令》2；5-6。</w:t>
      </w:r>
    </w:p>
  </w:footnote>
  <w:footnote w:id="1480">
    <w:p>
      <w:pPr>
        <w:pStyle w:val="FootnoteText"/>
      </w:pPr>
      <w:r>
        <w:rPr>
          <w:rStyle w:val="FootnoteReference"/>
        </w:rPr>
        <w:footnoteRef/>
      </w:r>
      <w:r>
        <w:t xml:space="preserve"> </w:t>
      </w:r>
      <w:r>
        <w:t xml:space="preserve">《教会宪章》4。</w:t>
      </w:r>
    </w:p>
  </w:footnote>
  <w:footnote w:id="1481">
    <w:p>
      <w:pPr>
        <w:pStyle w:val="FootnoteText"/>
      </w:pPr>
      <w:r>
        <w:rPr>
          <w:rStyle w:val="FootnoteReference"/>
        </w:rPr>
        <w:footnoteRef/>
      </w:r>
      <w:r>
        <w:t xml:space="preserve"> </w:t>
      </w:r>
      <w:r>
        <w:t xml:space="preserve">《教会宪章》5。</w:t>
      </w:r>
    </w:p>
  </w:footnote>
  <w:footnote w:id="1482">
    <w:p>
      <w:pPr>
        <w:pStyle w:val="FootnoteText"/>
      </w:pPr>
      <w:r>
        <w:rPr>
          <w:rStyle w:val="FootnoteReference"/>
        </w:rPr>
        <w:footnoteRef/>
      </w:r>
      <w:r>
        <w:t xml:space="preserve"> </w:t>
      </w:r>
      <w:r>
        <w:t xml:space="preserve">《教会宪章》48。</w:t>
      </w:r>
    </w:p>
  </w:footnote>
  <w:footnote w:id="1483">
    <w:p>
      <w:pPr>
        <w:pStyle w:val="FootnoteText"/>
      </w:pPr>
      <w:r>
        <w:rPr>
          <w:rStyle w:val="FootnoteReference"/>
        </w:rPr>
        <w:footnoteRef/>
      </w:r>
      <w:r>
        <w:t xml:space="preserve"> </w:t>
      </w:r>
      <w:r>
        <w:t xml:space="preserve">圣奥古斯丁，《上帝之城》18,51：PL 41,614；参见《教会宪章》8。</w:t>
      </w:r>
    </w:p>
  </w:footnote>
  <w:footnote w:id="1484">
    <w:p>
      <w:pPr>
        <w:pStyle w:val="FootnoteText"/>
      </w:pPr>
      <w:r>
        <w:rPr>
          <w:rStyle w:val="FootnoteReference"/>
        </w:rPr>
        <w:footnoteRef/>
      </w:r>
      <w:r>
        <w:t xml:space="preserve"> </w:t>
      </w:r>
      <w:r>
        <w:t xml:space="preserve">《教会宪章》5；参见 6；《哥林多后书》5:6。</w:t>
      </w:r>
    </w:p>
  </w:footnote>
  <w:footnote w:id="1485">
    <w:p>
      <w:pPr>
        <w:pStyle w:val="FootnoteText"/>
      </w:pPr>
      <w:r>
        <w:rPr>
          <w:rStyle w:val="FootnoteReference"/>
        </w:rPr>
        <w:footnoteRef/>
      </w:r>
      <w:r>
        <w:t xml:space="preserve"> </w:t>
      </w:r>
      <w:r>
        <w:t xml:space="preserve">《教会宪章》2。</w:t>
      </w:r>
    </w:p>
  </w:footnote>
  <w:footnote w:id="1487">
    <w:p>
      <w:pPr>
        <w:pStyle w:val="FootnoteText"/>
      </w:pPr>
      <w:r>
        <w:rPr>
          <w:rStyle w:val="FootnoteReference"/>
        </w:rPr>
        <w:footnoteRef/>
      </w:r>
      <w:r>
        <w:t xml:space="preserve"> </w:t>
      </w:r>
      <w:r>
        <w:t xml:space="preserve">《罗马教理》I,10,20。</w:t>
      </w:r>
    </w:p>
  </w:footnote>
  <w:footnote w:id="1488">
    <w:p>
      <w:pPr>
        <w:pStyle w:val="FootnoteText"/>
      </w:pPr>
      <w:r>
        <w:rPr>
          <w:rStyle w:val="FootnoteReference"/>
        </w:rPr>
        <w:footnoteRef/>
      </w:r>
      <w:r>
        <w:t xml:space="preserve"> </w:t>
      </w:r>
      <w:r>
        <w:t xml:space="preserve">《以弗所书》1:10。</w:t>
      </w:r>
    </w:p>
  </w:footnote>
  <w:footnote w:id="1489">
    <w:p>
      <w:pPr>
        <w:pStyle w:val="FootnoteText"/>
      </w:pPr>
      <w:r>
        <w:rPr>
          <w:rStyle w:val="FootnoteReference"/>
        </w:rPr>
        <w:footnoteRef/>
      </w:r>
      <w:r>
        <w:t xml:space="preserve"> </w:t>
      </w:r>
      <w:r>
        <w:t xml:space="preserve">《以弗所书》5:32；3:9-11；5:25-27。</w:t>
      </w:r>
    </w:p>
  </w:footnote>
  <w:footnote w:id="1490">
    <w:p>
      <w:pPr>
        <w:pStyle w:val="FootnoteText"/>
      </w:pPr>
      <w:r>
        <w:rPr>
          <w:rStyle w:val="FootnoteReference"/>
        </w:rPr>
        <w:footnoteRef/>
      </w:r>
      <w:r>
        <w:t xml:space="preserve"> </w:t>
      </w:r>
      <w:r>
        <w:t xml:space="preserve">《歌罗西书》1:27。</w:t>
      </w:r>
    </w:p>
  </w:footnote>
  <w:footnote w:id="1491">
    <w:p>
      <w:pPr>
        <w:pStyle w:val="FootnoteText"/>
      </w:pPr>
      <w:r>
        <w:rPr>
          <w:rStyle w:val="FootnoteReference"/>
        </w:rPr>
        <w:footnoteRef/>
      </w:r>
      <w:r>
        <w:t xml:space="preserve"> </w:t>
      </w:r>
      <w:r>
        <w:t xml:space="preserve">《哥林多前书》13:8；参见《教会宪章》48。</w:t>
      </w:r>
    </w:p>
  </w:footnote>
  <w:footnote w:id="1492">
    <w:p>
      <w:pPr>
        <w:pStyle w:val="FootnoteText"/>
      </w:pPr>
      <w:r>
        <w:rPr>
          <w:rStyle w:val="FootnoteReference"/>
        </w:rPr>
        <w:footnoteRef/>
      </w:r>
      <w:r>
        <w:t xml:space="preserve"> </w:t>
      </w:r>
      <w:r>
        <w:t xml:space="preserve">若望保禄二世，《妇女的尊严》27。</w:t>
      </w:r>
    </w:p>
  </w:footnote>
  <w:footnote w:id="1493">
    <w:p>
      <w:pPr>
        <w:pStyle w:val="FootnoteText"/>
      </w:pPr>
      <w:r>
        <w:rPr>
          <w:rStyle w:val="FootnoteReference"/>
        </w:rPr>
        <w:footnoteRef/>
      </w:r>
      <w:r>
        <w:t xml:space="preserve"> </w:t>
      </w:r>
      <w:r>
        <w:t xml:space="preserve">《以弗所书》5:27。</w:t>
      </w:r>
    </w:p>
  </w:footnote>
  <w:footnote w:id="1494">
    <w:p>
      <w:pPr>
        <w:pStyle w:val="FootnoteText"/>
      </w:pPr>
      <w:r>
        <w:rPr>
          <w:rStyle w:val="FootnoteReference"/>
        </w:rPr>
        <w:footnoteRef/>
      </w:r>
      <w:r>
        <w:t xml:space="preserve"> </w:t>
      </w:r>
      <w:r>
        <w:t xml:space="preserve">参见若望保禄二世，《妇女的尊严》27。</w:t>
      </w:r>
    </w:p>
  </w:footnote>
  <w:footnote w:id="1495">
    <w:p>
      <w:pPr>
        <w:pStyle w:val="FootnoteText"/>
      </w:pPr>
      <w:r>
        <w:rPr>
          <w:rStyle w:val="FootnoteReference"/>
        </w:rPr>
        <w:footnoteRef/>
      </w:r>
      <w:r>
        <w:t xml:space="preserve"> </w:t>
      </w:r>
      <w:r>
        <w:t xml:space="preserve">圣奥古斯丁，《书信》187,11,34：PL 33,846。</w:t>
      </w:r>
    </w:p>
  </w:footnote>
  <w:footnote w:id="1496">
    <w:p>
      <w:pPr>
        <w:pStyle w:val="FootnoteText"/>
      </w:pPr>
      <w:r>
        <w:rPr>
          <w:rStyle w:val="FootnoteReference"/>
        </w:rPr>
        <w:footnoteRef/>
      </w:r>
      <w:r>
        <w:t xml:space="preserve"> </w:t>
      </w:r>
      <w:r>
        <w:t xml:space="preserve">《教会宪章》1。</w:t>
      </w:r>
    </w:p>
  </w:footnote>
  <w:footnote w:id="1497">
    <w:p>
      <w:pPr>
        <w:pStyle w:val="FootnoteText"/>
      </w:pPr>
      <w:r>
        <w:rPr>
          <w:rStyle w:val="FootnoteReference"/>
        </w:rPr>
        <w:footnoteRef/>
      </w:r>
      <w:r>
        <w:t xml:space="preserve"> </w:t>
      </w:r>
      <w:r>
        <w:t xml:space="preserve">《启示录》7:9。</w:t>
      </w:r>
    </w:p>
  </w:footnote>
  <w:footnote w:id="1498">
    <w:p>
      <w:pPr>
        <w:pStyle w:val="FootnoteText"/>
      </w:pPr>
      <w:r>
        <w:rPr>
          <w:rStyle w:val="FootnoteReference"/>
        </w:rPr>
        <w:footnoteRef/>
      </w:r>
      <w:r>
        <w:t xml:space="preserve"> </w:t>
      </w:r>
      <w:r>
        <w:t xml:space="preserve">《教会宪章》9 § 2,48 § 2；《论教会在现代世界牧职宪章》45 § 1。</w:t>
      </w:r>
    </w:p>
  </w:footnote>
  <w:footnote w:id="1499">
    <w:p>
      <w:pPr>
        <w:pStyle w:val="FootnoteText"/>
      </w:pPr>
      <w:r>
        <w:rPr>
          <w:rStyle w:val="FootnoteReference"/>
        </w:rPr>
        <w:footnoteRef/>
      </w:r>
      <w:r>
        <w:t xml:space="preserve"> </w:t>
      </w:r>
      <w:r>
        <w:t xml:space="preserve">保禄六世，1973 年 6 月 22 日；《传教工作法令》7 § 2；参见《教会宪章》17。</w:t>
      </w:r>
    </w:p>
  </w:footnote>
  <w:footnote w:id="1503">
    <w:p>
      <w:pPr>
        <w:pStyle w:val="FootnoteText"/>
      </w:pPr>
      <w:r>
        <w:rPr>
          <w:rStyle w:val="FootnoteReference"/>
        </w:rPr>
        <w:footnoteRef/>
      </w:r>
      <w:r>
        <w:t xml:space="preserve"> </w:t>
      </w:r>
      <w:r>
        <w:t xml:space="preserve">LG 9；参见徒 10:35；林前 11:25。</w:t>
      </w:r>
    </w:p>
  </w:footnote>
  <w:footnote w:id="1504">
    <w:p>
      <w:pPr>
        <w:pStyle w:val="FootnoteText"/>
      </w:pPr>
      <w:r>
        <w:rPr>
          <w:rStyle w:val="FootnoteReference"/>
        </w:rPr>
        <w:footnoteRef/>
      </w:r>
      <w:r>
        <w:t xml:space="preserve"> </w:t>
      </w:r>
      <w:r>
        <w:t xml:space="preserve">彼前 2:9。</w:t>
      </w:r>
    </w:p>
  </w:footnote>
  <w:footnote w:id="1505">
    <w:p>
      <w:pPr>
        <w:pStyle w:val="FootnoteText"/>
      </w:pPr>
      <w:r>
        <w:rPr>
          <w:rStyle w:val="FootnoteReference"/>
        </w:rPr>
        <w:footnoteRef/>
      </w:r>
      <w:r>
        <w:t xml:space="preserve"> </w:t>
      </w:r>
      <w:r>
        <w:t xml:space="preserve">约 3:3-5。</w:t>
      </w:r>
    </w:p>
  </w:footnote>
  <w:footnote w:id="1506">
    <w:p>
      <w:pPr>
        <w:pStyle w:val="FootnoteText"/>
      </w:pPr>
      <w:r>
        <w:rPr>
          <w:rStyle w:val="FootnoteReference"/>
        </w:rPr>
        <w:footnoteRef/>
      </w:r>
      <w:r>
        <w:t xml:space="preserve"> </w:t>
      </w:r>
      <w:r>
        <w:t xml:space="preserve">约 13:34</w:t>
      </w:r>
    </w:p>
  </w:footnote>
  <w:footnote w:id="1507">
    <w:p>
      <w:pPr>
        <w:pStyle w:val="FootnoteText"/>
      </w:pPr>
      <w:r>
        <w:rPr>
          <w:rStyle w:val="FootnoteReference"/>
        </w:rPr>
        <w:footnoteRef/>
      </w:r>
      <w:r>
        <w:t xml:space="preserve"> </w:t>
      </w:r>
      <w:r>
        <w:t xml:space="preserve">罗 8:2；加 5:25。</w:t>
      </w:r>
    </w:p>
  </w:footnote>
  <w:footnote w:id="1508">
    <w:p>
      <w:pPr>
        <w:pStyle w:val="FootnoteText"/>
      </w:pPr>
      <w:r>
        <w:rPr>
          <w:rStyle w:val="FootnoteReference"/>
        </w:rPr>
        <w:footnoteRef/>
      </w:r>
      <w:r>
        <w:t xml:space="preserve"> </w:t>
      </w:r>
      <w:r>
        <w:t xml:space="preserve">太 5:13-16。</w:t>
      </w:r>
    </w:p>
  </w:footnote>
  <w:footnote w:id="1509">
    <w:p>
      <w:pPr>
        <w:pStyle w:val="FootnoteText"/>
      </w:pPr>
      <w:r>
        <w:rPr>
          <w:rStyle w:val="FootnoteReference"/>
        </w:rPr>
        <w:footnoteRef/>
      </w:r>
      <w:r>
        <w:t xml:space="preserve"> </w:t>
      </w:r>
      <w:r>
        <w:t xml:space="preserve">LG 9 § 2。</w:t>
      </w:r>
    </w:p>
  </w:footnote>
  <w:footnote w:id="1510">
    <w:p>
      <w:pPr>
        <w:pStyle w:val="FootnoteText"/>
      </w:pPr>
      <w:r>
        <w:rPr>
          <w:rStyle w:val="FootnoteReference"/>
        </w:rPr>
        <w:footnoteRef/>
      </w:r>
      <w:r>
        <w:t xml:space="preserve"> </w:t>
      </w:r>
      <w:r>
        <w:t xml:space="preserve">若望保禄二世，RH 18-21。</w:t>
      </w:r>
    </w:p>
  </w:footnote>
  <w:footnote w:id="1511">
    <w:p>
      <w:pPr>
        <w:pStyle w:val="FootnoteText"/>
      </w:pPr>
      <w:r>
        <w:rPr>
          <w:rStyle w:val="FootnoteReference"/>
        </w:rPr>
        <w:footnoteRef/>
      </w:r>
      <w:r>
        <w:t xml:space="preserve"> </w:t>
      </w:r>
      <w:r>
        <w:t xml:space="preserve">LG 10；参见来 5:1-5；启 1:6。</w:t>
      </w:r>
    </w:p>
  </w:footnote>
  <w:footnote w:id="1512">
    <w:p>
      <w:pPr>
        <w:pStyle w:val="FootnoteText"/>
      </w:pPr>
      <w:r>
        <w:rPr>
          <w:rStyle w:val="FootnoteReference"/>
        </w:rPr>
        <w:footnoteRef/>
      </w:r>
      <w:r>
        <w:t xml:space="preserve"> </w:t>
      </w:r>
      <w:r>
        <w:t xml:space="preserve">LG 12；参见犹 3。</w:t>
      </w:r>
    </w:p>
  </w:footnote>
  <w:footnote w:id="1513">
    <w:p>
      <w:pPr>
        <w:pStyle w:val="FootnoteText"/>
      </w:pPr>
      <w:r>
        <w:rPr>
          <w:rStyle w:val="FootnoteReference"/>
        </w:rPr>
        <w:footnoteRef/>
      </w:r>
      <w:r>
        <w:t xml:space="preserve"> </w:t>
      </w:r>
      <w:r>
        <w:t xml:space="preserve">约 12:32。</w:t>
      </w:r>
    </w:p>
  </w:footnote>
  <w:footnote w:id="1514">
    <w:p>
      <w:pPr>
        <w:pStyle w:val="FootnoteText"/>
      </w:pPr>
      <w:r>
        <w:rPr>
          <w:rStyle w:val="FootnoteReference"/>
        </w:rPr>
        <w:footnoteRef/>
      </w:r>
      <w:r>
        <w:t xml:space="preserve"> </w:t>
      </w:r>
      <w:r>
        <w:t xml:space="preserve">太 20:28。</w:t>
      </w:r>
    </w:p>
  </w:footnote>
  <w:footnote w:id="1515">
    <w:p>
      <w:pPr>
        <w:pStyle w:val="FootnoteText"/>
      </w:pPr>
      <w:r>
        <w:rPr>
          <w:rStyle w:val="FootnoteReference"/>
        </w:rPr>
        <w:footnoteRef/>
      </w:r>
      <w:r>
        <w:t xml:space="preserve"> </w:t>
      </w:r>
      <w:r>
        <w:t xml:space="preserve">LG 8；参见 36。</w:t>
      </w:r>
    </w:p>
  </w:footnote>
  <w:footnote w:id="1516">
    <w:p>
      <w:pPr>
        <w:pStyle w:val="FootnoteText"/>
      </w:pPr>
      <w:r>
        <w:rPr>
          <w:rStyle w:val="FootnoteReference"/>
        </w:rPr>
        <w:footnoteRef/>
      </w:r>
      <w:r>
        <w:t xml:space="preserve"> </w:t>
      </w:r>
      <w:r>
        <w:t xml:space="preserve">大利奥，讲道集 4,1:PL 54,149。</w:t>
      </w:r>
    </w:p>
  </w:footnote>
  <w:footnote w:id="1518">
    <w:p>
      <w:pPr>
        <w:pStyle w:val="FootnoteText"/>
      </w:pPr>
      <w:r>
        <w:rPr>
          <w:rStyle w:val="FootnoteReference"/>
        </w:rPr>
        <w:footnoteRef/>
      </w:r>
      <w:r>
        <w:t xml:space="preserve"> </w:t>
      </w:r>
      <w:r>
        <w:t xml:space="preserve">可 1:16-20；3:13-19；太 13:10-17；路 10:17-20；22:28-30。</w:t>
      </w:r>
    </w:p>
  </w:footnote>
  <w:footnote w:id="1519">
    <w:p>
      <w:pPr>
        <w:pStyle w:val="FootnoteText"/>
      </w:pPr>
      <w:r>
        <w:rPr>
          <w:rStyle w:val="FootnoteReference"/>
        </w:rPr>
        <w:footnoteRef/>
      </w:r>
      <w:r>
        <w:t xml:space="preserve"> </w:t>
      </w:r>
      <w:r>
        <w:t xml:space="preserve">约 15:4-5。</w:t>
      </w:r>
    </w:p>
  </w:footnote>
  <w:footnote w:id="1520">
    <w:p>
      <w:pPr>
        <w:pStyle w:val="FootnoteText"/>
      </w:pPr>
      <w:r>
        <w:rPr>
          <w:rStyle w:val="FootnoteReference"/>
        </w:rPr>
        <w:footnoteRef/>
      </w:r>
      <w:r>
        <w:t xml:space="preserve"> </w:t>
      </w:r>
      <w:r>
        <w:t xml:space="preserve">约 6:56。</w:t>
      </w:r>
    </w:p>
  </w:footnote>
  <w:footnote w:id="1521">
    <w:p>
      <w:pPr>
        <w:pStyle w:val="FootnoteText"/>
      </w:pPr>
      <w:r>
        <w:rPr>
          <w:rStyle w:val="FootnoteReference"/>
        </w:rPr>
        <w:footnoteRef/>
      </w:r>
      <w:r>
        <w:t xml:space="preserve"> </w:t>
      </w:r>
      <w:r>
        <w:t xml:space="preserve">约 14:18；20:22；太 28:20；徒 2:33。</w:t>
      </w:r>
    </w:p>
  </w:footnote>
  <w:footnote w:id="1522">
    <w:p>
      <w:pPr>
        <w:pStyle w:val="FootnoteText"/>
      </w:pPr>
      <w:r>
        <w:rPr>
          <w:rStyle w:val="FootnoteReference"/>
        </w:rPr>
        <w:footnoteRef/>
      </w:r>
      <w:r>
        <w:t xml:space="preserve"> </w:t>
      </w:r>
      <w:r>
        <w:t xml:space="preserve">LG 7。</w:t>
      </w:r>
    </w:p>
  </w:footnote>
  <w:footnote w:id="1523">
    <w:p>
      <w:pPr>
        <w:pStyle w:val="FootnoteText"/>
      </w:pPr>
      <w:r>
        <w:rPr>
          <w:rStyle w:val="FootnoteReference"/>
        </w:rPr>
        <w:footnoteRef/>
      </w:r>
      <w:r>
        <w:t xml:space="preserve"> </w:t>
      </w:r>
      <w:r>
        <w:t xml:space="preserve">LG 7。</w:t>
      </w:r>
    </w:p>
  </w:footnote>
  <w:footnote w:id="1524">
    <w:p>
      <w:pPr>
        <w:pStyle w:val="FootnoteText"/>
      </w:pPr>
      <w:r>
        <w:rPr>
          <w:rStyle w:val="FootnoteReference"/>
        </w:rPr>
        <w:footnoteRef/>
      </w:r>
      <w:r>
        <w:t xml:space="preserve"> </w:t>
      </w:r>
      <w:r>
        <w:t xml:space="preserve">LG 7；参见罗 6:4-5；林前 12:13。</w:t>
      </w:r>
    </w:p>
  </w:footnote>
  <w:footnote w:id="1525">
    <w:p>
      <w:pPr>
        <w:pStyle w:val="FootnoteText"/>
      </w:pPr>
      <w:r>
        <w:rPr>
          <w:rStyle w:val="FootnoteReference"/>
        </w:rPr>
        <w:footnoteRef/>
      </w:r>
      <w:r>
        <w:t xml:space="preserve"> </w:t>
      </w:r>
      <w:r>
        <w:t xml:space="preserve">LG 7 § 3。</w:t>
      </w:r>
    </w:p>
  </w:footnote>
  <w:footnote w:id="1526">
    <w:p>
      <w:pPr>
        <w:pStyle w:val="FootnoteText"/>
      </w:pPr>
      <w:r>
        <w:rPr>
          <w:rStyle w:val="FootnoteReference"/>
        </w:rPr>
        <w:footnoteRef/>
      </w:r>
      <w:r>
        <w:t xml:space="preserve"> </w:t>
      </w:r>
      <w:r>
        <w:t xml:space="preserve">LG 7 § 3；参见林前 12:26。</w:t>
      </w:r>
    </w:p>
  </w:footnote>
  <w:footnote w:id="1527">
    <w:p>
      <w:pPr>
        <w:pStyle w:val="FootnoteText"/>
      </w:pPr>
      <w:r>
        <w:rPr>
          <w:rStyle w:val="FootnoteReference"/>
        </w:rPr>
        <w:footnoteRef/>
      </w:r>
      <w:r>
        <w:t xml:space="preserve"> </w:t>
      </w:r>
      <w:r>
        <w:t xml:space="preserve">加 3:27-28。</w:t>
      </w:r>
    </w:p>
  </w:footnote>
  <w:footnote w:id="1528">
    <w:p>
      <w:pPr>
        <w:pStyle w:val="FootnoteText"/>
      </w:pPr>
      <w:r>
        <w:rPr>
          <w:rStyle w:val="FootnoteReference"/>
        </w:rPr>
        <w:footnoteRef/>
      </w:r>
      <w:r>
        <w:t xml:space="preserve"> </w:t>
      </w:r>
      <w:r>
        <w:t xml:space="preserve">西 1:18。</w:t>
      </w:r>
    </w:p>
  </w:footnote>
  <w:footnote w:id="1529">
    <w:p>
      <w:pPr>
        <w:pStyle w:val="FootnoteText"/>
      </w:pPr>
      <w:r>
        <w:rPr>
          <w:rStyle w:val="FootnoteReference"/>
        </w:rPr>
        <w:footnoteRef/>
      </w:r>
      <w:r>
        <w:t xml:space="preserve"> </w:t>
      </w:r>
      <w:r>
        <w:t xml:space="preserve">西 1:18。</w:t>
      </w:r>
    </w:p>
  </w:footnote>
  <w:footnote w:id="1530">
    <w:p>
      <w:pPr>
        <w:pStyle w:val="FootnoteText"/>
      </w:pPr>
      <w:r>
        <w:rPr>
          <w:rStyle w:val="FootnoteReference"/>
        </w:rPr>
        <w:footnoteRef/>
      </w:r>
      <w:r>
        <w:t xml:space="preserve"> </w:t>
      </w:r>
      <w:r>
        <w:t xml:space="preserve">加 4:19。</w:t>
      </w:r>
    </w:p>
  </w:footnote>
  <w:footnote w:id="1531">
    <w:p>
      <w:pPr>
        <w:pStyle w:val="FootnoteText"/>
      </w:pPr>
      <w:r>
        <w:rPr>
          <w:rStyle w:val="FootnoteReference"/>
        </w:rPr>
        <w:footnoteRef/>
      </w:r>
      <w:r>
        <w:t xml:space="preserve"> </w:t>
      </w:r>
      <w:r>
        <w:t xml:space="preserve">LG 7 § 4；参见腓 3:21；罗 8:17。</w:t>
      </w:r>
    </w:p>
  </w:footnote>
  <w:footnote w:id="1532">
    <w:p>
      <w:pPr>
        <w:pStyle w:val="FootnoteText"/>
      </w:pPr>
      <w:r>
        <w:rPr>
          <w:rStyle w:val="FootnoteReference"/>
        </w:rPr>
        <w:footnoteRef/>
      </w:r>
      <w:r>
        <w:t xml:space="preserve"> </w:t>
      </w:r>
      <w:r>
        <w:t xml:space="preserve">西 2:19；弗 4:11-16。</w:t>
      </w:r>
    </w:p>
  </w:footnote>
  <w:footnote w:id="1533">
    <w:p>
      <w:pPr>
        <w:pStyle w:val="FootnoteText"/>
      </w:pPr>
      <w:r>
        <w:rPr>
          <w:rStyle w:val="FootnoteReference"/>
        </w:rPr>
        <w:footnoteRef/>
      </w:r>
      <w:r>
        <w:t xml:space="preserve"> </w:t>
      </w:r>
      <w:r>
        <w:t xml:space="preserve">圣奥古斯丁，约翰福音讲解 21,8:PL 35,1568。</w:t>
      </w:r>
    </w:p>
  </w:footnote>
  <w:footnote w:id="1534">
    <w:p>
      <w:pPr>
        <w:pStyle w:val="FootnoteText"/>
      </w:pPr>
      <w:r>
        <w:rPr>
          <w:rStyle w:val="FootnoteReference"/>
        </w:rPr>
        <w:footnoteRef/>
      </w:r>
      <w:r>
        <w:t xml:space="preserve"> </w:t>
      </w:r>
      <w:r>
        <w:t xml:space="preserve">教宗大额我略，约伯记道德讲解，序言 14:PL 75,525A。</w:t>
      </w:r>
    </w:p>
  </w:footnote>
  <w:footnote w:id="1535">
    <w:p>
      <w:pPr>
        <w:pStyle w:val="FootnoteText"/>
      </w:pPr>
      <w:r>
        <w:rPr>
          <w:rStyle w:val="FootnoteReference"/>
        </w:rPr>
        <w:footnoteRef/>
      </w:r>
      <w:r>
        <w:t xml:space="preserve"> </w:t>
      </w:r>
      <w:r>
        <w:t xml:space="preserve">圣托马斯阿奎那，神学大全 III,48,2。</w:t>
      </w:r>
    </w:p>
  </w:footnote>
  <w:footnote w:id="1536">
    <w:p>
      <w:pPr>
        <w:pStyle w:val="FootnoteText"/>
      </w:pPr>
      <w:r>
        <w:rPr>
          <w:rStyle w:val="FootnoteReference"/>
        </w:rPr>
        <w:footnoteRef/>
      </w:r>
      <w:r>
        <w:t xml:space="preserve"> </w:t>
      </w:r>
      <w:r>
        <w:t xml:space="preserve">圣女贞德审判记录。</w:t>
      </w:r>
    </w:p>
  </w:footnote>
  <w:footnote w:id="1537">
    <w:p>
      <w:pPr>
        <w:pStyle w:val="FootnoteText"/>
      </w:pPr>
      <w:r>
        <w:rPr>
          <w:rStyle w:val="FootnoteReference"/>
        </w:rPr>
        <w:footnoteRef/>
      </w:r>
      <w:r>
        <w:t xml:space="preserve"> </w:t>
      </w:r>
      <w:r>
        <w:t xml:space="preserve">约 3:29。</w:t>
      </w:r>
    </w:p>
  </w:footnote>
  <w:footnote w:id="1538">
    <w:p>
      <w:pPr>
        <w:pStyle w:val="FootnoteText"/>
      </w:pPr>
      <w:r>
        <w:rPr>
          <w:rStyle w:val="FootnoteReference"/>
        </w:rPr>
        <w:footnoteRef/>
      </w:r>
      <w:r>
        <w:t xml:space="preserve"> </w:t>
      </w:r>
      <w:r>
        <w:t xml:space="preserve">可 2:19。</w:t>
      </w:r>
    </w:p>
  </w:footnote>
  <w:footnote w:id="1539">
    <w:p>
      <w:pPr>
        <w:pStyle w:val="FootnoteText"/>
      </w:pPr>
      <w:r>
        <w:rPr>
          <w:rStyle w:val="FootnoteReference"/>
        </w:rPr>
        <w:footnoteRef/>
      </w:r>
      <w:r>
        <w:t xml:space="preserve"> </w:t>
      </w:r>
      <w:r>
        <w:t xml:space="preserve">太 22:1-14；25:1-13；林前 6:15-17；林后 11:2。</w:t>
      </w:r>
    </w:p>
  </w:footnote>
  <w:footnote w:id="1540">
    <w:p>
      <w:pPr>
        <w:pStyle w:val="FootnoteText"/>
      </w:pPr>
      <w:r>
        <w:rPr>
          <w:rStyle w:val="FootnoteReference"/>
        </w:rPr>
        <w:footnoteRef/>
      </w:r>
      <w:r>
        <w:t xml:space="preserve"> </w:t>
      </w:r>
      <w:r>
        <w:t xml:space="preserve">启 22:17；弗 1:4；5:27。</w:t>
      </w:r>
    </w:p>
  </w:footnote>
  <w:footnote w:id="1541">
    <w:p>
      <w:pPr>
        <w:pStyle w:val="FootnoteText"/>
      </w:pPr>
      <w:r>
        <w:rPr>
          <w:rStyle w:val="FootnoteReference"/>
        </w:rPr>
        <w:footnoteRef/>
      </w:r>
      <w:r>
        <w:t xml:space="preserve"> </w:t>
      </w:r>
      <w:r>
        <w:t xml:space="preserve">弗 5:25-26。</w:t>
      </w:r>
    </w:p>
  </w:footnote>
  <w:footnote w:id="1542">
    <w:p>
      <w:pPr>
        <w:pStyle w:val="FootnoteText"/>
      </w:pPr>
      <w:r>
        <w:rPr>
          <w:rStyle w:val="FootnoteReference"/>
        </w:rPr>
        <w:footnoteRef/>
      </w:r>
      <w:r>
        <w:t xml:space="preserve"> </w:t>
      </w:r>
      <w:r>
        <w:t xml:space="preserve">弗 5:29。</w:t>
      </w:r>
    </w:p>
  </w:footnote>
  <w:footnote w:id="1543">
    <w:p>
      <w:pPr>
        <w:pStyle w:val="FootnoteText"/>
      </w:pPr>
      <w:r>
        <w:rPr>
          <w:rStyle w:val="FootnoteReference"/>
        </w:rPr>
        <w:footnoteRef/>
      </w:r>
      <w:r>
        <w:t xml:space="preserve"> </w:t>
      </w:r>
      <w:r>
        <w:t xml:space="preserve">弗 5:31-32。</w:t>
      </w:r>
    </w:p>
  </w:footnote>
  <w:footnote w:id="1544">
    <w:p>
      <w:pPr>
        <w:pStyle w:val="FootnoteText"/>
      </w:pPr>
      <w:r>
        <w:rPr>
          <w:rStyle w:val="FootnoteReference"/>
        </w:rPr>
        <w:footnoteRef/>
      </w:r>
      <w:r>
        <w:t xml:space="preserve"> </w:t>
      </w:r>
      <w:r>
        <w:t xml:space="preserve">太 19:6。</w:t>
      </w:r>
    </w:p>
  </w:footnote>
  <w:footnote w:id="1545">
    <w:p>
      <w:pPr>
        <w:pStyle w:val="FootnoteText"/>
      </w:pPr>
      <w:r>
        <w:rPr>
          <w:rStyle w:val="FootnoteReference"/>
        </w:rPr>
        <w:footnoteRef/>
      </w:r>
      <w:r>
        <w:t xml:space="preserve"> </w:t>
      </w:r>
      <w:r>
        <w:t xml:space="preserve">圣奥古斯丁，诗篇讲解 74:4:PL 36,948-949。</w:t>
      </w:r>
    </w:p>
  </w:footnote>
  <w:footnote w:id="1547">
    <w:p>
      <w:pPr>
        <w:pStyle w:val="FootnoteText"/>
      </w:pPr>
      <w:r>
        <w:rPr>
          <w:rStyle w:val="FootnoteReference"/>
        </w:rPr>
        <w:footnoteRef/>
      </w:r>
      <w:r>
        <w:t xml:space="preserve"> </w:t>
      </w:r>
      <w:r>
        <w:t xml:space="preserve">圣奥古斯丁，讲道集 267,4:PL 38,1231D。</w:t>
      </w:r>
    </w:p>
  </w:footnote>
  <w:footnote w:id="1548">
    <w:p>
      <w:pPr>
        <w:pStyle w:val="FootnoteText"/>
      </w:pPr>
      <w:r>
        <w:rPr>
          <w:rStyle w:val="FootnoteReference"/>
        </w:rPr>
        <w:footnoteRef/>
      </w:r>
      <w:r>
        <w:t xml:space="preserve"> </w:t>
      </w:r>
      <w:r>
        <w:t xml:space="preserve">庇护十二世，通谕，奥体：DS 3808。</w:t>
      </w:r>
    </w:p>
  </w:footnote>
  <w:footnote w:id="1549">
    <w:p>
      <w:pPr>
        <w:pStyle w:val="FootnoteText"/>
      </w:pPr>
      <w:r>
        <w:rPr>
          <w:rStyle w:val="FootnoteReference"/>
        </w:rPr>
        <w:footnoteRef/>
      </w:r>
      <w:r>
        <w:t xml:space="preserve"> </w:t>
      </w:r>
      <w:r>
        <w:t xml:space="preserve">林后 6:16；参见林前 3:16-17；弗 2:21。</w:t>
      </w:r>
    </w:p>
  </w:footnote>
  <w:footnote w:id="1550">
    <w:p>
      <w:pPr>
        <w:pStyle w:val="FootnoteText"/>
      </w:pPr>
      <w:r>
        <w:rPr>
          <w:rStyle w:val="FootnoteReference"/>
        </w:rPr>
        <w:footnoteRef/>
      </w:r>
      <w:r>
        <w:t xml:space="preserve"> </w:t>
      </w:r>
      <w:r>
        <w:t xml:space="preserve">圣依肋内，驳斥异端 3,24,1:PG 7/1,966。</w:t>
      </w:r>
    </w:p>
  </w:footnote>
  <w:footnote w:id="1551">
    <w:p>
      <w:pPr>
        <w:pStyle w:val="FootnoteText"/>
      </w:pPr>
      <w:r>
        <w:rPr>
          <w:rStyle w:val="FootnoteReference"/>
        </w:rPr>
        <w:footnoteRef/>
      </w:r>
      <w:r>
        <w:t xml:space="preserve"> </w:t>
      </w:r>
      <w:r>
        <w:t xml:space="preserve">庇护十二世，通谕，奥体：DS 3808。</w:t>
      </w:r>
    </w:p>
  </w:footnote>
  <w:footnote w:id="1552">
    <w:p>
      <w:pPr>
        <w:pStyle w:val="FootnoteText"/>
      </w:pPr>
      <w:r>
        <w:rPr>
          <w:rStyle w:val="FootnoteReference"/>
        </w:rPr>
        <w:footnoteRef/>
      </w:r>
      <w:r>
        <w:t xml:space="preserve"> </w:t>
      </w:r>
      <w:r>
        <w:t xml:space="preserve">弗 4:16。</w:t>
      </w:r>
    </w:p>
  </w:footnote>
  <w:footnote w:id="1553">
    <w:p>
      <w:pPr>
        <w:pStyle w:val="FootnoteText"/>
      </w:pPr>
      <w:r>
        <w:rPr>
          <w:rStyle w:val="FootnoteReference"/>
        </w:rPr>
        <w:footnoteRef/>
      </w:r>
      <w:r>
        <w:t xml:space="preserve"> </w:t>
      </w:r>
      <w:r>
        <w:t xml:space="preserve">徒 20:32。</w:t>
      </w:r>
    </w:p>
  </w:footnote>
  <w:footnote w:id="1554">
    <w:p>
      <w:pPr>
        <w:pStyle w:val="FootnoteText"/>
      </w:pPr>
      <w:r>
        <w:rPr>
          <w:rStyle w:val="FootnoteReference"/>
        </w:rPr>
        <w:footnoteRef/>
      </w:r>
      <w:r>
        <w:t xml:space="preserve"> </w:t>
      </w:r>
      <w:r>
        <w:t xml:space="preserve">林前 12:13。</w:t>
      </w:r>
    </w:p>
  </w:footnote>
  <w:footnote w:id="1555">
    <w:p>
      <w:pPr>
        <w:pStyle w:val="FootnoteText"/>
      </w:pPr>
      <w:r>
        <w:rPr>
          <w:rStyle w:val="FootnoteReference"/>
        </w:rPr>
        <w:footnoteRef/>
      </w:r>
      <w:r>
        <w:t xml:space="preserve"> </w:t>
      </w:r>
      <w:r>
        <w:t xml:space="preserve">LG 7 § 2。</w:t>
      </w:r>
    </w:p>
  </w:footnote>
  <w:footnote w:id="1556">
    <w:p>
      <w:pPr>
        <w:pStyle w:val="FootnoteText"/>
      </w:pPr>
      <w:r>
        <w:rPr>
          <w:rStyle w:val="FootnoteReference"/>
        </w:rPr>
        <w:footnoteRef/>
      </w:r>
      <w:r>
        <w:t xml:space="preserve"> </w:t>
      </w:r>
      <w:r>
        <w:t xml:space="preserve">LG 12 § 2；参见 AA 3。</w:t>
      </w:r>
    </w:p>
  </w:footnote>
  <w:footnote w:id="1557">
    <w:p>
      <w:pPr>
        <w:pStyle w:val="FootnoteText"/>
      </w:pPr>
      <w:r>
        <w:rPr>
          <w:rStyle w:val="FootnoteReference"/>
        </w:rPr>
        <w:footnoteRef/>
      </w:r>
      <w:r>
        <w:t xml:space="preserve"> </w:t>
      </w:r>
      <w:r>
        <w:t xml:space="preserve">林前 13。</w:t>
      </w:r>
    </w:p>
  </w:footnote>
  <w:footnote w:id="1558">
    <w:p>
      <w:pPr>
        <w:pStyle w:val="FootnoteText"/>
      </w:pPr>
      <w:r>
        <w:rPr>
          <w:rStyle w:val="FootnoteReference"/>
        </w:rPr>
        <w:footnoteRef/>
      </w:r>
      <w:r>
        <w:t xml:space="preserve"> </w:t>
      </w:r>
      <w:r>
        <w:t xml:space="preserve">LG 12；参见 30；帖前 5:12,19-21；若望保禄二世，《平信徒》24。</w:t>
      </w:r>
    </w:p>
  </w:footnote>
  <w:footnote w:id="1559">
    <w:p>
      <w:pPr>
        <w:pStyle w:val="FootnoteText"/>
      </w:pPr>
      <w:r>
        <w:rPr>
          <w:rStyle w:val="FootnoteReference"/>
        </w:rPr>
        <w:footnoteRef/>
      </w:r>
      <w:r>
        <w:t xml:space="preserve"> </w:t>
      </w:r>
      <w:r>
        <w:t xml:space="preserve">林前 12:7。</w:t>
      </w:r>
    </w:p>
  </w:footnote>
  <w:footnote w:id="1563">
    <w:p>
      <w:pPr>
        <w:pStyle w:val="FootnoteText"/>
      </w:pPr>
      <w:r>
        <w:rPr>
          <w:rStyle w:val="FootnoteReference"/>
        </w:rPr>
        <w:footnoteRef/>
      </w:r>
      <w:r>
        <w:t xml:space="preserve"> </w:t>
      </w:r>
      <w:r>
        <w:t xml:space="preserve">LG 8。</w:t>
      </w:r>
    </w:p>
  </w:footnote>
  <w:footnote w:id="1564">
    <w:p>
      <w:pPr>
        <w:pStyle w:val="FootnoteText"/>
      </w:pPr>
      <w:r>
        <w:rPr>
          <w:rStyle w:val="FootnoteReference"/>
        </w:rPr>
        <w:footnoteRef/>
      </w:r>
      <w:r>
        <w:t xml:space="preserve"> </w:t>
      </w:r>
      <w:r>
        <w:t xml:space="preserve">参 DS 2888。</w:t>
      </w:r>
    </w:p>
  </w:footnote>
  <w:footnote w:id="1565">
    <w:p>
      <w:pPr>
        <w:pStyle w:val="FootnoteText"/>
      </w:pPr>
      <w:r>
        <w:rPr>
          <w:rStyle w:val="FootnoteReference"/>
        </w:rPr>
        <w:footnoteRef/>
      </w:r>
      <w:r>
        <w:t xml:space="preserve"> </w:t>
      </w:r>
      <w:r>
        <w:t xml:space="preserve">Vatican Council I，De Filius 3：DS 3013。</w:t>
      </w:r>
    </w:p>
  </w:footnote>
  <w:footnote w:id="1566">
    <w:p>
      <w:pPr>
        <w:pStyle w:val="FootnoteText"/>
      </w:pPr>
      <w:r>
        <w:rPr>
          <w:rStyle w:val="FootnoteReference"/>
        </w:rPr>
        <w:footnoteRef/>
      </w:r>
      <w:r>
        <w:t xml:space="preserve"> </w:t>
      </w:r>
      <w:r>
        <w:t xml:space="preserve">UR 2 § 5。</w:t>
      </w:r>
    </w:p>
  </w:footnote>
  <w:footnote w:id="1567">
    <w:p>
      <w:pPr>
        <w:pStyle w:val="FootnoteText"/>
      </w:pPr>
      <w:r>
        <w:rPr>
          <w:rStyle w:val="FootnoteReference"/>
        </w:rPr>
        <w:footnoteRef/>
      </w:r>
      <w:r>
        <w:t xml:space="preserve"> </w:t>
      </w:r>
      <w:r>
        <w:t xml:space="preserve">GS 78 § 3。</w:t>
      </w:r>
    </w:p>
  </w:footnote>
  <w:footnote w:id="1568">
    <w:p>
      <w:pPr>
        <w:pStyle w:val="FootnoteText"/>
      </w:pPr>
      <w:r>
        <w:rPr>
          <w:rStyle w:val="FootnoteReference"/>
        </w:rPr>
        <w:footnoteRef/>
      </w:r>
      <w:r>
        <w:t xml:space="preserve"> </w:t>
      </w:r>
      <w:r>
        <w:t xml:space="preserve">UR 2 § 2。</w:t>
      </w:r>
    </w:p>
  </w:footnote>
  <w:footnote w:id="1569">
    <w:p>
      <w:pPr>
        <w:pStyle w:val="FootnoteText"/>
      </w:pPr>
      <w:r>
        <w:rPr>
          <w:rStyle w:val="FootnoteReference"/>
        </w:rPr>
        <w:footnoteRef/>
      </w:r>
      <w:r>
        <w:t xml:space="preserve"> </w:t>
      </w:r>
      <w:r>
        <w:t xml:space="preserve">亚历山大的圣克莱门，《训导》1,6,42：PG 8,300。</w:t>
      </w:r>
    </w:p>
  </w:footnote>
  <w:footnote w:id="1570">
    <w:p>
      <w:pPr>
        <w:pStyle w:val="FootnoteText"/>
      </w:pPr>
      <w:r>
        <w:rPr>
          <w:rStyle w:val="FootnoteReference"/>
        </w:rPr>
        <w:footnoteRef/>
      </w:r>
      <w:r>
        <w:t xml:space="preserve"> </w:t>
      </w:r>
      <w:r>
        <w:t xml:space="preserve">LG 13 § 2。</w:t>
      </w:r>
    </w:p>
  </w:footnote>
  <w:footnote w:id="1571">
    <w:p>
      <w:pPr>
        <w:pStyle w:val="FootnoteText"/>
      </w:pPr>
      <w:r>
        <w:rPr>
          <w:rStyle w:val="FootnoteReference"/>
        </w:rPr>
        <w:footnoteRef/>
      </w:r>
      <w:r>
        <w:t xml:space="preserve"> </w:t>
      </w:r>
      <w:r>
        <w:t xml:space="preserve">弗 4:3。</w:t>
      </w:r>
    </w:p>
  </w:footnote>
  <w:footnote w:id="1572">
    <w:p>
      <w:pPr>
        <w:pStyle w:val="FootnoteText"/>
      </w:pPr>
      <w:r>
        <w:rPr>
          <w:rStyle w:val="FootnoteReference"/>
        </w:rPr>
        <w:footnoteRef/>
      </w:r>
      <w:r>
        <w:t xml:space="preserve"> </w:t>
      </w:r>
      <w:r>
        <w:t xml:space="preserve">西 3:14。</w:t>
      </w:r>
    </w:p>
  </w:footnote>
  <w:footnote w:id="1573">
    <w:p>
      <w:pPr>
        <w:pStyle w:val="FootnoteText"/>
      </w:pPr>
      <w:r>
        <w:rPr>
          <w:rStyle w:val="FootnoteReference"/>
        </w:rPr>
        <w:footnoteRef/>
      </w:r>
      <w:r>
        <w:t xml:space="preserve"> </w:t>
      </w:r>
      <w:r>
        <w:t xml:space="preserve">参 UR 2；LG 14；CIC，can. 205。</w:t>
      </w:r>
    </w:p>
  </w:footnote>
  <w:footnote w:id="1574">
    <w:p>
      <w:pPr>
        <w:pStyle w:val="FootnoteText"/>
      </w:pPr>
      <w:r>
        <w:rPr>
          <w:rStyle w:val="FootnoteReference"/>
        </w:rPr>
        <w:footnoteRef/>
      </w:r>
      <w:r>
        <w:t xml:space="preserve"> </w:t>
      </w:r>
      <w:r>
        <w:t xml:space="preserve">LG 8 § 2。</w:t>
      </w:r>
    </w:p>
  </w:footnote>
  <w:footnote w:id="1575">
    <w:p>
      <w:pPr>
        <w:pStyle w:val="FootnoteText"/>
      </w:pPr>
      <w:r>
        <w:rPr>
          <w:rStyle w:val="FootnoteReference"/>
        </w:rPr>
        <w:footnoteRef/>
      </w:r>
      <w:r>
        <w:t xml:space="preserve"> </w:t>
      </w:r>
      <w:r>
        <w:t xml:space="preserve">UR 3 § 5。</w:t>
      </w:r>
    </w:p>
  </w:footnote>
  <w:footnote w:id="1576">
    <w:p>
      <w:pPr>
        <w:pStyle w:val="FootnoteText"/>
      </w:pPr>
      <w:r>
        <w:rPr>
          <w:rStyle w:val="FootnoteReference"/>
        </w:rPr>
        <w:footnoteRef/>
      </w:r>
      <w:r>
        <w:t xml:space="preserve"> </w:t>
      </w:r>
      <w:r>
        <w:t xml:space="preserve">UR 3 § 1.</w:t>
      </w:r>
    </w:p>
  </w:footnote>
  <w:footnote w:id="1577">
    <w:p>
      <w:pPr>
        <w:pStyle w:val="FootnoteText"/>
      </w:pPr>
      <w:r>
        <w:rPr>
          <w:rStyle w:val="FootnoteReference"/>
        </w:rPr>
        <w:footnoteRef/>
      </w:r>
      <w:r>
        <w:t xml:space="preserve"> </w:t>
      </w:r>
      <w:r>
        <w:t xml:space="preserve">参 CIC，can. 751。</w:t>
      </w:r>
    </w:p>
  </w:footnote>
  <w:footnote w:id="1578">
    <w:p>
      <w:pPr>
        <w:pStyle w:val="FootnoteText"/>
      </w:pPr>
      <w:r>
        <w:rPr>
          <w:rStyle w:val="FootnoteReference"/>
        </w:rPr>
        <w:footnoteRef/>
      </w:r>
      <w:r>
        <w:t xml:space="preserve"> </w:t>
      </w:r>
      <w:r>
        <w:t xml:space="preserve">俄利根，《以西结书讲道集》9,1：PG 13,732。</w:t>
      </w:r>
    </w:p>
  </w:footnote>
  <w:footnote w:id="1579">
    <w:p>
      <w:pPr>
        <w:pStyle w:val="FootnoteText"/>
      </w:pPr>
      <w:r>
        <w:rPr>
          <w:rStyle w:val="FootnoteReference"/>
        </w:rPr>
        <w:footnoteRef/>
      </w:r>
      <w:r>
        <w:t xml:space="preserve"> </w:t>
      </w:r>
      <w:r>
        <w:t xml:space="preserve">UR 3 § 1。</w:t>
      </w:r>
    </w:p>
  </w:footnote>
  <w:footnote w:id="1580">
    <w:p>
      <w:pPr>
        <w:pStyle w:val="FootnoteText"/>
      </w:pPr>
      <w:r>
        <w:rPr>
          <w:rStyle w:val="FootnoteReference"/>
        </w:rPr>
        <w:footnoteRef/>
      </w:r>
      <w:r>
        <w:t xml:space="preserve"> </w:t>
      </w:r>
      <w:r>
        <w:t xml:space="preserve">LG 8 § 2。</w:t>
      </w:r>
    </w:p>
  </w:footnote>
  <w:footnote w:id="1581">
    <w:p>
      <w:pPr>
        <w:pStyle w:val="FootnoteText"/>
      </w:pPr>
      <w:r>
        <w:rPr>
          <w:rStyle w:val="FootnoteReference"/>
        </w:rPr>
        <w:footnoteRef/>
      </w:r>
      <w:r>
        <w:t xml:space="preserve"> </w:t>
      </w:r>
      <w:r>
        <w:t xml:space="preserve">UR 3 § 2；参 LG 15。</w:t>
      </w:r>
    </w:p>
  </w:footnote>
  <w:footnote w:id="1582">
    <w:p>
      <w:pPr>
        <w:pStyle w:val="FootnoteText"/>
      </w:pPr>
      <w:r>
        <w:rPr>
          <w:rStyle w:val="FootnoteReference"/>
        </w:rPr>
        <w:footnoteRef/>
      </w:r>
      <w:r>
        <w:t xml:space="preserve"> </w:t>
      </w:r>
      <w:r>
        <w:t xml:space="preserve">参 UR 3。</w:t>
      </w:r>
    </w:p>
  </w:footnote>
  <w:footnote w:id="1583">
    <w:p>
      <w:pPr>
        <w:pStyle w:val="FootnoteText"/>
      </w:pPr>
      <w:r>
        <w:rPr>
          <w:rStyle w:val="FootnoteReference"/>
        </w:rPr>
        <w:footnoteRef/>
      </w:r>
      <w:r>
        <w:t xml:space="preserve"> </w:t>
      </w:r>
      <w:r>
        <w:t xml:space="preserve">参 LG 8。</w:t>
      </w:r>
    </w:p>
  </w:footnote>
  <w:footnote w:id="1584">
    <w:p>
      <w:pPr>
        <w:pStyle w:val="FootnoteText"/>
      </w:pPr>
      <w:r>
        <w:rPr>
          <w:rStyle w:val="FootnoteReference"/>
        </w:rPr>
        <w:footnoteRef/>
      </w:r>
      <w:r>
        <w:t xml:space="preserve"> </w:t>
      </w:r>
      <w:r>
        <w:t xml:space="preserve">UR 4 § 3。</w:t>
      </w:r>
    </w:p>
  </w:footnote>
  <w:footnote w:id="1585">
    <w:p>
      <w:pPr>
        <w:pStyle w:val="FootnoteText"/>
      </w:pPr>
      <w:r>
        <w:rPr>
          <w:rStyle w:val="FootnoteReference"/>
        </w:rPr>
        <w:footnoteRef/>
      </w:r>
      <w:r>
        <w:t xml:space="preserve"> </w:t>
      </w:r>
      <w:r>
        <w:t xml:space="preserve">约 17:21；参 来 7:25。</w:t>
      </w:r>
    </w:p>
  </w:footnote>
  <w:footnote w:id="1586">
    <w:p>
      <w:pPr>
        <w:pStyle w:val="FootnoteText"/>
      </w:pPr>
      <w:r>
        <w:rPr>
          <w:rStyle w:val="FootnoteReference"/>
        </w:rPr>
        <w:footnoteRef/>
      </w:r>
      <w:r>
        <w:t xml:space="preserve"> </w:t>
      </w:r>
      <w:r>
        <w:t xml:space="preserve">参 UR 1。</w:t>
      </w:r>
    </w:p>
  </w:footnote>
  <w:footnote w:id="1587">
    <w:p>
      <w:pPr>
        <w:pStyle w:val="FootnoteText"/>
      </w:pPr>
      <w:r>
        <w:rPr>
          <w:rStyle w:val="FootnoteReference"/>
        </w:rPr>
        <w:footnoteRef/>
      </w:r>
      <w:r>
        <w:t xml:space="preserve"> </w:t>
      </w:r>
      <w:r>
        <w:t xml:space="preserve">参 UR 6。</w:t>
      </w:r>
    </w:p>
  </w:footnote>
  <w:footnote w:id="1588">
    <w:p>
      <w:pPr>
        <w:pStyle w:val="FootnoteText"/>
      </w:pPr>
      <w:r>
        <w:rPr>
          <w:rStyle w:val="FootnoteReference"/>
        </w:rPr>
        <w:footnoteRef/>
      </w:r>
      <w:r>
        <w:t xml:space="preserve"> </w:t>
      </w:r>
      <w:r>
        <w:t xml:space="preserve">UR 7 § 3。</w:t>
      </w:r>
    </w:p>
  </w:footnote>
  <w:footnote w:id="1589">
    <w:p>
      <w:pPr>
        <w:pStyle w:val="FootnoteText"/>
      </w:pPr>
      <w:r>
        <w:rPr>
          <w:rStyle w:val="FootnoteReference"/>
        </w:rPr>
        <w:footnoteRef/>
      </w:r>
      <w:r>
        <w:t xml:space="preserve"> </w:t>
      </w:r>
      <w:r>
        <w:t xml:space="preserve">UR 8 § 1。</w:t>
      </w:r>
    </w:p>
  </w:footnote>
  <w:footnote w:id="1590">
    <w:p>
      <w:pPr>
        <w:pStyle w:val="FootnoteText"/>
      </w:pPr>
      <w:r>
        <w:rPr>
          <w:rStyle w:val="FootnoteReference"/>
        </w:rPr>
        <w:footnoteRef/>
      </w:r>
      <w:r>
        <w:t xml:space="preserve"> </w:t>
      </w:r>
      <w:r>
        <w:t xml:space="preserve">参 UR 9。</w:t>
      </w:r>
    </w:p>
  </w:footnote>
  <w:footnote w:id="1591">
    <w:p>
      <w:pPr>
        <w:pStyle w:val="FootnoteText"/>
      </w:pPr>
      <w:r>
        <w:rPr>
          <w:rStyle w:val="FootnoteReference"/>
        </w:rPr>
        <w:footnoteRef/>
      </w:r>
      <w:r>
        <w:t xml:space="preserve"> </w:t>
      </w:r>
      <w:r>
        <w:t xml:space="preserve">参 UR 10。</w:t>
      </w:r>
    </w:p>
  </w:footnote>
  <w:footnote w:id="1592">
    <w:p>
      <w:pPr>
        <w:pStyle w:val="FootnoteText"/>
      </w:pPr>
      <w:r>
        <w:rPr>
          <w:rStyle w:val="FootnoteReference"/>
        </w:rPr>
        <w:footnoteRef/>
      </w:r>
      <w:r>
        <w:t xml:space="preserve"> </w:t>
      </w:r>
      <w:r>
        <w:t xml:space="preserve">参 UR 4；9；11。</w:t>
      </w:r>
    </w:p>
  </w:footnote>
  <w:footnote w:id="1593">
    <w:p>
      <w:pPr>
        <w:pStyle w:val="FootnoteText"/>
      </w:pPr>
      <w:r>
        <w:rPr>
          <w:rStyle w:val="FootnoteReference"/>
        </w:rPr>
        <w:footnoteRef/>
      </w:r>
      <w:r>
        <w:t xml:space="preserve"> </w:t>
      </w:r>
      <w:r>
        <w:t xml:space="preserve">参 UR 12。</w:t>
      </w:r>
    </w:p>
  </w:footnote>
  <w:footnote w:id="1594">
    <w:p>
      <w:pPr>
        <w:pStyle w:val="FootnoteText"/>
      </w:pPr>
      <w:r>
        <w:rPr>
          <w:rStyle w:val="FootnoteReference"/>
        </w:rPr>
        <w:footnoteRef/>
      </w:r>
      <w:r>
        <w:t xml:space="preserve"> </w:t>
      </w:r>
      <w:r>
        <w:t xml:space="preserve">UR 5。</w:t>
      </w:r>
    </w:p>
  </w:footnote>
  <w:footnote w:id="1595">
    <w:p>
      <w:pPr>
        <w:pStyle w:val="FootnoteText"/>
      </w:pPr>
      <w:r>
        <w:rPr>
          <w:rStyle w:val="FootnoteReference"/>
        </w:rPr>
        <w:footnoteRef/>
      </w:r>
      <w:r>
        <w:t xml:space="preserve"> </w:t>
      </w:r>
      <w:r>
        <w:t xml:space="preserve">UR 24 § 2。</w:t>
      </w:r>
    </w:p>
  </w:footnote>
  <w:footnote w:id="1597">
    <w:p>
      <w:pPr>
        <w:pStyle w:val="FootnoteText"/>
      </w:pPr>
      <w:r>
        <w:rPr>
          <w:rStyle w:val="FootnoteReference"/>
        </w:rPr>
        <w:footnoteRef/>
      </w:r>
      <w:r>
        <w:t xml:space="preserve"> </w:t>
      </w:r>
      <w:r>
        <w:t xml:space="preserve">LG 39；参 弗 5:25-26。</w:t>
      </w:r>
    </w:p>
  </w:footnote>
  <w:footnote w:id="1598">
    <w:p>
      <w:pPr>
        <w:pStyle w:val="FootnoteText"/>
      </w:pPr>
      <w:r>
        <w:rPr>
          <w:rStyle w:val="FootnoteReference"/>
        </w:rPr>
        <w:footnoteRef/>
      </w:r>
      <w:r>
        <w:t xml:space="preserve"> </w:t>
      </w:r>
      <w:r>
        <w:t xml:space="preserve">LG 12。</w:t>
      </w:r>
    </w:p>
  </w:footnote>
  <w:footnote w:id="1599">
    <w:p>
      <w:pPr>
        <w:pStyle w:val="FootnoteText"/>
      </w:pPr>
      <w:r>
        <w:rPr>
          <w:rStyle w:val="FootnoteReference"/>
        </w:rPr>
        <w:footnoteRef/>
      </w:r>
      <w:r>
        <w:t xml:space="preserve"> </w:t>
      </w:r>
      <w:r>
        <w:t xml:space="preserve">徒 9:13；林前 6:1；16:1。</w:t>
      </w:r>
    </w:p>
  </w:footnote>
  <w:footnote w:id="1600">
    <w:p>
      <w:pPr>
        <w:pStyle w:val="FootnoteText"/>
      </w:pPr>
      <w:r>
        <w:rPr>
          <w:rStyle w:val="FootnoteReference"/>
        </w:rPr>
        <w:footnoteRef/>
      </w:r>
      <w:r>
        <w:t xml:space="preserve"> </w:t>
      </w:r>
      <w:r>
        <w:t xml:space="preserve">SC 10。</w:t>
      </w:r>
    </w:p>
  </w:footnote>
  <w:footnote w:id="1601">
    <w:p>
      <w:pPr>
        <w:pStyle w:val="FootnoteText"/>
      </w:pPr>
      <w:r>
        <w:rPr>
          <w:rStyle w:val="FootnoteReference"/>
        </w:rPr>
        <w:footnoteRef/>
      </w:r>
      <w:r>
        <w:t xml:space="preserve"> </w:t>
      </w:r>
      <w:r>
        <w:t xml:space="preserve">UR 3 § 5。</w:t>
      </w:r>
    </w:p>
  </w:footnote>
  <w:footnote w:id="1602">
    <w:p>
      <w:pPr>
        <w:pStyle w:val="FootnoteText"/>
      </w:pPr>
      <w:r>
        <w:rPr>
          <w:rStyle w:val="FootnoteReference"/>
        </w:rPr>
        <w:footnoteRef/>
      </w:r>
      <w:r>
        <w:t xml:space="preserve"> </w:t>
      </w:r>
      <w:r>
        <w:t xml:space="preserve">LG 48。</w:t>
      </w:r>
    </w:p>
  </w:footnote>
  <w:footnote w:id="1603">
    <w:p>
      <w:pPr>
        <w:pStyle w:val="FootnoteText"/>
      </w:pPr>
      <w:r>
        <w:rPr>
          <w:rStyle w:val="FootnoteReference"/>
        </w:rPr>
        <w:footnoteRef/>
      </w:r>
      <w:r>
        <w:t xml:space="preserve"> </w:t>
      </w:r>
      <w:r>
        <w:t xml:space="preserve">LG 48 § 3。</w:t>
      </w:r>
    </w:p>
  </w:footnote>
  <w:footnote w:id="1604">
    <w:p>
      <w:pPr>
        <w:pStyle w:val="FootnoteText"/>
      </w:pPr>
      <w:r>
        <w:rPr>
          <w:rStyle w:val="FootnoteReference"/>
        </w:rPr>
        <w:footnoteRef/>
      </w:r>
      <w:r>
        <w:t xml:space="preserve"> </w:t>
      </w:r>
      <w:r>
        <w:t xml:space="preserve">LG 11 § 3。</w:t>
      </w:r>
    </w:p>
  </w:footnote>
  <w:footnote w:id="1605">
    <w:p>
      <w:pPr>
        <w:pStyle w:val="FootnoteText"/>
      </w:pPr>
      <w:r>
        <w:rPr>
          <w:rStyle w:val="FootnoteReference"/>
        </w:rPr>
        <w:footnoteRef/>
      </w:r>
      <w:r>
        <w:t xml:space="preserve"> </w:t>
      </w:r>
      <w:r>
        <w:t xml:space="preserve">LG 42。</w:t>
      </w:r>
    </w:p>
  </w:footnote>
  <w:footnote w:id="1606">
    <w:p>
      <w:pPr>
        <w:pStyle w:val="FootnoteText"/>
      </w:pPr>
      <w:r>
        <w:rPr>
          <w:rStyle w:val="FootnoteReference"/>
        </w:rPr>
        <w:footnoteRef/>
      </w:r>
      <w:r>
        <w:t xml:space="preserve"> </w:t>
      </w:r>
      <w:r>
        <w:t xml:space="preserve">利雪的圣德兰，《一位圣人的自传》，诺克斯译（伦敦：Harvill，1958）235。</w:t>
      </w:r>
    </w:p>
  </w:footnote>
  <w:footnote w:id="1608">
    <w:p>
      <w:pPr>
        <w:pStyle w:val="FootnoteText"/>
      </w:pPr>
      <w:r>
        <w:rPr>
          <w:rStyle w:val="FootnoteReference"/>
        </w:rPr>
        <w:footnoteRef/>
      </w:r>
      <w:r>
        <w:t xml:space="preserve"> </w:t>
      </w:r>
      <w:r>
        <w:t xml:space="preserve">安提阿的圣依纳爵，《致士每拿书》8,2：使徒教父,II/2,311。</w:t>
      </w:r>
    </w:p>
  </w:footnote>
  <w:footnote w:id="1609">
    <w:p>
      <w:pPr>
        <w:pStyle w:val="FootnoteText"/>
      </w:pPr>
      <w:r>
        <w:rPr>
          <w:rStyle w:val="FootnoteReference"/>
        </w:rPr>
        <w:footnoteRef/>
      </w:r>
      <w:r>
        <w:t xml:space="preserve"> </w:t>
      </w:r>
      <w:r>
        <w:t xml:space="preserve">UR 3；AG 6；弗 1:22-23。</w:t>
      </w:r>
    </w:p>
  </w:footnote>
  <w:footnote w:id="1610">
    <w:p>
      <w:pPr>
        <w:pStyle w:val="FootnoteText"/>
      </w:pPr>
      <w:r>
        <w:rPr>
          <w:rStyle w:val="FootnoteReference"/>
        </w:rPr>
        <w:footnoteRef/>
      </w:r>
      <w:r>
        <w:t xml:space="preserve"> </w:t>
      </w:r>
      <w:r>
        <w:t xml:space="preserve">参 AG 4。</w:t>
      </w:r>
    </w:p>
  </w:footnote>
  <w:footnote w:id="1611">
    <w:p>
      <w:pPr>
        <w:pStyle w:val="FootnoteText"/>
      </w:pPr>
      <w:r>
        <w:rPr>
          <w:rStyle w:val="FootnoteReference"/>
        </w:rPr>
        <w:footnoteRef/>
      </w:r>
      <w:r>
        <w:t xml:space="preserve"> </w:t>
      </w:r>
      <w:r>
        <w:t xml:space="preserve">参 太 28:19。</w:t>
      </w:r>
    </w:p>
  </w:footnote>
  <w:footnote w:id="1612">
    <w:p>
      <w:pPr>
        <w:pStyle w:val="FootnoteText"/>
      </w:pPr>
      <w:r>
        <w:rPr>
          <w:rStyle w:val="FootnoteReference"/>
        </w:rPr>
        <w:footnoteRef/>
      </w:r>
      <w:r>
        <w:t xml:space="preserve"> </w:t>
      </w:r>
      <w:r>
        <w:t xml:space="preserve">LG 13 §§ 1-2；参 约 11:52。</w:t>
      </w:r>
    </w:p>
  </w:footnote>
  <w:footnote w:id="1613">
    <w:p>
      <w:pPr>
        <w:pStyle w:val="FootnoteText"/>
      </w:pPr>
      <w:r>
        <w:rPr>
          <w:rStyle w:val="FootnoteReference"/>
        </w:rPr>
        <w:footnoteRef/>
      </w:r>
      <w:r>
        <w:t xml:space="preserve"> </w:t>
      </w:r>
      <w:r>
        <w:t xml:space="preserve">LG 26。</w:t>
      </w:r>
    </w:p>
  </w:footnote>
  <w:footnote w:id="1614">
    <w:p>
      <w:pPr>
        <w:pStyle w:val="FootnoteText"/>
      </w:pPr>
      <w:r>
        <w:rPr>
          <w:rStyle w:val="FootnoteReference"/>
        </w:rPr>
        <w:footnoteRef/>
      </w:r>
      <w:r>
        <w:t xml:space="preserve"> </w:t>
      </w:r>
      <w:r>
        <w:t xml:space="preserve">参 CD 11；CIC，cann. 368-369；CCEO，cann. 171,1；178；311,1；312。</w:t>
      </w:r>
    </w:p>
  </w:footnote>
  <w:footnote w:id="1615">
    <w:p>
      <w:pPr>
        <w:pStyle w:val="FootnoteText"/>
      </w:pPr>
      <w:r>
        <w:rPr>
          <w:rStyle w:val="FootnoteReference"/>
        </w:rPr>
        <w:footnoteRef/>
      </w:r>
      <w:r>
        <w:t xml:space="preserve"> </w:t>
      </w:r>
      <w:r>
        <w:t xml:space="preserve">LG 23。</w:t>
      </w:r>
    </w:p>
  </w:footnote>
  <w:footnote w:id="1616">
    <w:p>
      <w:pPr>
        <w:pStyle w:val="FootnoteText"/>
      </w:pPr>
      <w:r>
        <w:rPr>
          <w:rStyle w:val="FootnoteReference"/>
        </w:rPr>
        <w:footnoteRef/>
      </w:r>
      <w:r>
        <w:t xml:space="preserve"> </w:t>
      </w:r>
      <w:r>
        <w:t xml:space="preserve">安提阿的圣依纳爵，《致罗马书》1,1：使徒教父,II/2,192；参 LG 13。</w:t>
      </w:r>
    </w:p>
  </w:footnote>
  <w:footnote w:id="1617">
    <w:p>
      <w:pPr>
        <w:pStyle w:val="FootnoteText"/>
      </w:pPr>
      <w:r>
        <w:rPr>
          <w:rStyle w:val="FootnoteReference"/>
        </w:rPr>
        <w:footnoteRef/>
      </w:r>
      <w:r>
        <w:t xml:space="preserve"> </w:t>
      </w:r>
      <w:r>
        <w:t xml:space="preserve">圣依肋内，《驳异端》3,3,2：PG 7/1,849；参 梵蒂冈第一届大公会议：DS 3057。</w:t>
      </w:r>
    </w:p>
  </w:footnote>
  <w:footnote w:id="1618">
    <w:p>
      <w:pPr>
        <w:pStyle w:val="FootnoteText"/>
      </w:pPr>
      <w:r>
        <w:rPr>
          <w:rStyle w:val="FootnoteReference"/>
        </w:rPr>
        <w:footnoteRef/>
      </w:r>
      <w:r>
        <w:t xml:space="preserve"> </w:t>
      </w:r>
      <w:r>
        <w:t xml:space="preserve">圣玛克西姆忏悔者，《神学小品》：PG 91:137-140。</w:t>
      </w:r>
    </w:p>
  </w:footnote>
  <w:footnote w:id="1619">
    <w:p>
      <w:pPr>
        <w:pStyle w:val="FootnoteText"/>
      </w:pPr>
      <w:r>
        <w:rPr>
          <w:rStyle w:val="FootnoteReference"/>
        </w:rPr>
        <w:footnoteRef/>
      </w:r>
      <w:r>
        <w:t xml:space="preserve"> </w:t>
      </w:r>
      <w:r>
        <w:t xml:space="preserve">保禄六世，EN 62。</w:t>
      </w:r>
    </w:p>
  </w:footnote>
  <w:footnote w:id="1620">
    <w:p>
      <w:pPr>
        <w:pStyle w:val="FootnoteText"/>
      </w:pPr>
      <w:r>
        <w:rPr>
          <w:rStyle w:val="FootnoteReference"/>
        </w:rPr>
        <w:footnoteRef/>
      </w:r>
      <w:r>
        <w:t xml:space="preserve"> </w:t>
      </w:r>
      <w:r>
        <w:t xml:space="preserve">LG 23。</w:t>
      </w:r>
    </w:p>
  </w:footnote>
  <w:footnote w:id="1621">
    <w:p>
      <w:pPr>
        <w:pStyle w:val="FootnoteText"/>
      </w:pPr>
      <w:r>
        <w:rPr>
          <w:rStyle w:val="FootnoteReference"/>
        </w:rPr>
        <w:footnoteRef/>
      </w:r>
      <w:r>
        <w:t xml:space="preserve"> </w:t>
      </w:r>
      <w:r>
        <w:t xml:space="preserve">LG 13。</w:t>
      </w:r>
    </w:p>
  </w:footnote>
  <w:footnote w:id="1622">
    <w:p>
      <w:pPr>
        <w:pStyle w:val="FootnoteText"/>
      </w:pPr>
      <w:r>
        <w:rPr>
          <w:rStyle w:val="FootnoteReference"/>
        </w:rPr>
        <w:footnoteRef/>
      </w:r>
      <w:r>
        <w:t xml:space="preserve"> </w:t>
      </w:r>
      <w:r>
        <w:t xml:space="preserve">参 NA 4。</w:t>
      </w:r>
    </w:p>
  </w:footnote>
  <w:footnote w:id="1623">
    <w:p>
      <w:pPr>
        <w:pStyle w:val="FootnoteText"/>
      </w:pPr>
      <w:r>
        <w:rPr>
          <w:rStyle w:val="FootnoteReference"/>
        </w:rPr>
        <w:footnoteRef/>
      </w:r>
      <w:r>
        <w:t xml:space="preserve"> </w:t>
      </w:r>
      <w:r>
        <w:t xml:space="preserve">罗马弥撒经书，耶稣受难日 13：总祷文，VI。</w:t>
      </w:r>
    </w:p>
  </w:footnote>
  <w:footnote w:id="1624">
    <w:p>
      <w:pPr>
        <w:pStyle w:val="FootnoteText"/>
      </w:pPr>
      <w:r>
        <w:rPr>
          <w:rStyle w:val="FootnoteReference"/>
        </w:rPr>
        <w:footnoteRef/>
      </w:r>
      <w:r>
        <w:t xml:space="preserve"> </w:t>
      </w:r>
      <w:r>
        <w:t xml:space="preserve">罗 9:4-5。</w:t>
      </w:r>
    </w:p>
  </w:footnote>
  <w:footnote w:id="1625">
    <w:p>
      <w:pPr>
        <w:pStyle w:val="FootnoteText"/>
      </w:pPr>
      <w:r>
        <w:rPr>
          <w:rStyle w:val="FootnoteReference"/>
        </w:rPr>
        <w:footnoteRef/>
      </w:r>
      <w:r>
        <w:t xml:space="preserve"> </w:t>
      </w:r>
      <w:r>
        <w:t xml:space="preserve">罗 11:29。</w:t>
      </w:r>
    </w:p>
  </w:footnote>
  <w:footnote w:id="1626">
    <w:p>
      <w:pPr>
        <w:pStyle w:val="FootnoteText"/>
      </w:pPr>
      <w:r>
        <w:rPr>
          <w:rStyle w:val="FootnoteReference"/>
        </w:rPr>
        <w:footnoteRef/>
      </w:r>
      <w:r>
        <w:t xml:space="preserve"> </w:t>
      </w:r>
      <w:r>
        <w:t xml:space="preserve">LG 16；参 NA 3。</w:t>
      </w:r>
    </w:p>
  </w:footnote>
  <w:footnote w:id="1627">
    <w:p>
      <w:pPr>
        <w:pStyle w:val="FootnoteText"/>
      </w:pPr>
      <w:r>
        <w:rPr>
          <w:rStyle w:val="FootnoteReference"/>
        </w:rPr>
        <w:footnoteRef/>
      </w:r>
      <w:r>
        <w:t xml:space="preserve"> </w:t>
      </w:r>
      <w:r>
        <w:t xml:space="preserve">NA 1。</w:t>
      </w:r>
    </w:p>
  </w:footnote>
  <w:footnote w:id="1628">
    <w:p>
      <w:pPr>
        <w:pStyle w:val="FootnoteText"/>
      </w:pPr>
      <w:r>
        <w:rPr>
          <w:rStyle w:val="FootnoteReference"/>
        </w:rPr>
        <w:footnoteRef/>
      </w:r>
      <w:r>
        <w:t xml:space="preserve"> </w:t>
      </w:r>
      <w:r>
        <w:t xml:space="preserve">LG 16；参 NA 2；EN 53。</w:t>
      </w:r>
    </w:p>
  </w:footnote>
  <w:footnote w:id="1629">
    <w:p>
      <w:pPr>
        <w:pStyle w:val="FootnoteText"/>
      </w:pPr>
      <w:r>
        <w:rPr>
          <w:rStyle w:val="FootnoteReference"/>
        </w:rPr>
        <w:footnoteRef/>
      </w:r>
      <w:r>
        <w:t xml:space="preserve"> </w:t>
      </w:r>
      <w:r>
        <w:t xml:space="preserve">LG 16；参 罗 1:21，25。</w:t>
      </w:r>
    </w:p>
  </w:footnote>
  <w:footnote w:id="1630">
    <w:p>
      <w:pPr>
        <w:pStyle w:val="FootnoteText"/>
      </w:pPr>
      <w:r>
        <w:rPr>
          <w:rStyle w:val="FootnoteReference"/>
        </w:rPr>
        <w:footnoteRef/>
      </w:r>
      <w:r>
        <w:t xml:space="preserve"> </w:t>
      </w:r>
      <w:r>
        <w:t xml:space="preserve">《教会宪章》16；参 DS 3866-3872。</w:t>
      </w:r>
    </w:p>
  </w:footnote>
  <w:footnote w:id="1631">
    <w:p>
      <w:pPr>
        <w:pStyle w:val="FootnoteText"/>
      </w:pPr>
      <w:r>
        <w:rPr>
          <w:rStyle w:val="FootnoteReference"/>
        </w:rPr>
        <w:footnoteRef/>
      </w:r>
      <w:r>
        <w:t xml:space="preserve"> </w:t>
      </w:r>
      <w:r>
        <w:t xml:space="preserve">《教会传教工作法令》7；参来 11:6；林前 9:16。</w:t>
      </w:r>
    </w:p>
  </w:footnote>
  <w:footnote w:id="1632">
    <w:p>
      <w:pPr>
        <w:pStyle w:val="FootnoteText"/>
      </w:pPr>
      <w:r>
        <w:rPr>
          <w:rStyle w:val="FootnoteReference"/>
        </w:rPr>
        <w:footnoteRef/>
      </w:r>
      <w:r>
        <w:t xml:space="preserve"> </w:t>
      </w:r>
      <w:r>
        <w:t xml:space="preserve">AG 1；参太 16:15。</w:t>
      </w:r>
    </w:p>
  </w:footnote>
  <w:footnote w:id="1633">
    <w:p>
      <w:pPr>
        <w:pStyle w:val="FootnoteText"/>
      </w:pPr>
      <w:r>
        <w:rPr>
          <w:rStyle w:val="FootnoteReference"/>
        </w:rPr>
        <w:footnoteRef/>
      </w:r>
      <w:r>
        <w:t xml:space="preserve"> </w:t>
      </w:r>
      <w:r>
        <w:t xml:space="preserve">太 28:19-20。</w:t>
      </w:r>
    </w:p>
  </w:footnote>
  <w:footnote w:id="1634">
    <w:p>
      <w:pPr>
        <w:pStyle w:val="FootnoteText"/>
      </w:pPr>
      <w:r>
        <w:rPr>
          <w:rStyle w:val="FootnoteReference"/>
        </w:rPr>
        <w:footnoteRef/>
      </w:r>
      <w:r>
        <w:t xml:space="preserve"> </w:t>
      </w:r>
      <w:r>
        <w:t xml:space="preserve">AG 2。</w:t>
      </w:r>
    </w:p>
  </w:footnote>
  <w:footnote w:id="1635">
    <w:p>
      <w:pPr>
        <w:pStyle w:val="FootnoteText"/>
      </w:pPr>
      <w:r>
        <w:rPr>
          <w:rStyle w:val="FootnoteReference"/>
        </w:rPr>
        <w:footnoteRef/>
      </w:r>
      <w:r>
        <w:t xml:space="preserve"> </w:t>
      </w:r>
      <w:r>
        <w:t xml:space="preserve">参保禄二世，RMiss 23。</w:t>
      </w:r>
    </w:p>
  </w:footnote>
  <w:footnote w:id="1636">
    <w:p>
      <w:pPr>
        <w:pStyle w:val="FootnoteText"/>
      </w:pPr>
      <w:r>
        <w:rPr>
          <w:rStyle w:val="FootnoteReference"/>
        </w:rPr>
        <w:footnoteRef/>
      </w:r>
      <w:r>
        <w:t xml:space="preserve"> </w:t>
      </w:r>
      <w:r>
        <w:t xml:space="preserve">林后 5:14；参 AA 6；RMiss 11。</w:t>
      </w:r>
    </w:p>
  </w:footnote>
  <w:footnote w:id="1637">
    <w:p>
      <w:pPr>
        <w:pStyle w:val="FootnoteText"/>
      </w:pPr>
      <w:r>
        <w:rPr>
          <w:rStyle w:val="FootnoteReference"/>
        </w:rPr>
        <w:footnoteRef/>
      </w:r>
      <w:r>
        <w:t xml:space="preserve"> </w:t>
      </w:r>
      <w:r>
        <w:t xml:space="preserve">提前 2:4。</w:t>
      </w:r>
    </w:p>
  </w:footnote>
  <w:footnote w:id="1638">
    <w:p>
      <w:pPr>
        <w:pStyle w:val="FootnoteText"/>
      </w:pPr>
      <w:r>
        <w:rPr>
          <w:rStyle w:val="FootnoteReference"/>
        </w:rPr>
        <w:footnoteRef/>
      </w:r>
      <w:r>
        <w:t xml:space="preserve"> </w:t>
      </w:r>
      <w:r>
        <w:t xml:space="preserve">保禄二世，RMiss 21。</w:t>
      </w:r>
    </w:p>
  </w:footnote>
  <w:footnote w:id="1639">
    <w:p>
      <w:pPr>
        <w:pStyle w:val="FootnoteText"/>
      </w:pPr>
      <w:r>
        <w:rPr>
          <w:rStyle w:val="FootnoteReference"/>
        </w:rPr>
        <w:footnoteRef/>
      </w:r>
      <w:r>
        <w:t xml:space="preserve"> </w:t>
      </w:r>
      <w:r>
        <w:t xml:space="preserve">AG 5。</w:t>
      </w:r>
    </w:p>
  </w:footnote>
  <w:footnote w:id="1640">
    <w:p>
      <w:pPr>
        <w:pStyle w:val="FootnoteText"/>
      </w:pPr>
      <w:r>
        <w:rPr>
          <w:rStyle w:val="FootnoteReference"/>
        </w:rPr>
        <w:footnoteRef/>
      </w:r>
      <w:r>
        <w:t xml:space="preserve"> </w:t>
      </w:r>
      <w:r>
        <w:t xml:space="preserve">特土良，《护教篇》50,13：PL 1,603。</w:t>
      </w:r>
    </w:p>
  </w:footnote>
  <w:footnote w:id="1641">
    <w:p>
      <w:pPr>
        <w:pStyle w:val="FootnoteText"/>
      </w:pPr>
      <w:r>
        <w:rPr>
          <w:rStyle w:val="FootnoteReference"/>
        </w:rPr>
        <w:footnoteRef/>
      </w:r>
      <w:r>
        <w:t xml:space="preserve"> </w:t>
      </w:r>
      <w:r>
        <w:t xml:space="preserve">GS 43 § 6。</w:t>
      </w:r>
    </w:p>
  </w:footnote>
  <w:footnote w:id="1642">
    <w:p>
      <w:pPr>
        <w:pStyle w:val="FootnoteText"/>
      </w:pPr>
      <w:r>
        <w:rPr>
          <w:rStyle w:val="FootnoteReference"/>
        </w:rPr>
        <w:footnoteRef/>
      </w:r>
      <w:r>
        <w:t xml:space="preserve"> </w:t>
      </w:r>
      <w:r>
        <w:t xml:space="preserve">LG 8 § 3；15；AG 1 § 3；参 RMiss 12-20。</w:t>
      </w:r>
    </w:p>
  </w:footnote>
  <w:footnote w:id="1643">
    <w:p>
      <w:pPr>
        <w:pStyle w:val="FootnoteText"/>
      </w:pPr>
      <w:r>
        <w:rPr>
          <w:rStyle w:val="FootnoteReference"/>
        </w:rPr>
        <w:footnoteRef/>
      </w:r>
      <w:r>
        <w:t xml:space="preserve"> </w:t>
      </w:r>
      <w:r>
        <w:t xml:space="preserve">LG 8 § 3。</w:t>
      </w:r>
    </w:p>
  </w:footnote>
  <w:footnote w:id="1644">
    <w:p>
      <w:pPr>
        <w:pStyle w:val="FootnoteText"/>
      </w:pPr>
      <w:r>
        <w:rPr>
          <w:rStyle w:val="FootnoteReference"/>
        </w:rPr>
        <w:footnoteRef/>
      </w:r>
      <w:r>
        <w:t xml:space="preserve"> </w:t>
      </w:r>
      <w:r>
        <w:t xml:space="preserve">GS 40 § 2。</w:t>
      </w:r>
    </w:p>
  </w:footnote>
  <w:footnote w:id="1645">
    <w:p>
      <w:pPr>
        <w:pStyle w:val="FootnoteText"/>
      </w:pPr>
      <w:r>
        <w:rPr>
          <w:rStyle w:val="FootnoteReference"/>
        </w:rPr>
        <w:footnoteRef/>
      </w:r>
      <w:r>
        <w:t xml:space="preserve"> </w:t>
      </w:r>
      <w:r>
        <w:t xml:space="preserve">参 RMiss 42 47。</w:t>
      </w:r>
    </w:p>
  </w:footnote>
  <w:footnote w:id="1646">
    <w:p>
      <w:pPr>
        <w:pStyle w:val="FootnoteText"/>
      </w:pPr>
      <w:r>
        <w:rPr>
          <w:rStyle w:val="FootnoteReference"/>
        </w:rPr>
        <w:footnoteRef/>
      </w:r>
      <w:r>
        <w:t xml:space="preserve"> </w:t>
      </w:r>
      <w:r>
        <w:t xml:space="preserve">AG 15 § 1。</w:t>
      </w:r>
    </w:p>
  </w:footnote>
  <w:footnote w:id="1647">
    <w:p>
      <w:pPr>
        <w:pStyle w:val="FootnoteText"/>
      </w:pPr>
      <w:r>
        <w:rPr>
          <w:rStyle w:val="FootnoteReference"/>
        </w:rPr>
        <w:footnoteRef/>
      </w:r>
      <w:r>
        <w:t xml:space="preserve"> </w:t>
      </w:r>
      <w:r>
        <w:t xml:space="preserve">参 RMiss 48-49。</w:t>
      </w:r>
    </w:p>
  </w:footnote>
  <w:footnote w:id="1648">
    <w:p>
      <w:pPr>
        <w:pStyle w:val="FootnoteText"/>
      </w:pPr>
      <w:r>
        <w:rPr>
          <w:rStyle w:val="FootnoteReference"/>
        </w:rPr>
        <w:footnoteRef/>
      </w:r>
      <w:r>
        <w:t xml:space="preserve"> </w:t>
      </w:r>
      <w:r>
        <w:t xml:space="preserve">参 RMiss 52-54。</w:t>
      </w:r>
    </w:p>
  </w:footnote>
  <w:footnote w:id="1649">
    <w:p>
      <w:pPr>
        <w:pStyle w:val="FootnoteText"/>
      </w:pPr>
      <w:r>
        <w:rPr>
          <w:rStyle w:val="FootnoteReference"/>
        </w:rPr>
        <w:footnoteRef/>
      </w:r>
      <w:r>
        <w:t xml:space="preserve"> </w:t>
      </w:r>
      <w:r>
        <w:t xml:space="preserve">AG 6 § 2。</w:t>
      </w:r>
    </w:p>
  </w:footnote>
  <w:footnote w:id="1650">
    <w:p>
      <w:pPr>
        <w:pStyle w:val="FootnoteText"/>
      </w:pPr>
      <w:r>
        <w:rPr>
          <w:rStyle w:val="FootnoteReference"/>
        </w:rPr>
        <w:footnoteRef/>
      </w:r>
      <w:r>
        <w:t xml:space="preserve"> </w:t>
      </w:r>
      <w:r>
        <w:t xml:space="preserve">参 RMiss 50。</w:t>
      </w:r>
    </w:p>
  </w:footnote>
  <w:footnote w:id="1651">
    <w:p>
      <w:pPr>
        <w:pStyle w:val="FootnoteText"/>
      </w:pPr>
      <w:r>
        <w:rPr>
          <w:rStyle w:val="FootnoteReference"/>
        </w:rPr>
        <w:footnoteRef/>
      </w:r>
      <w:r>
        <w:t xml:space="preserve"> </w:t>
      </w:r>
      <w:r>
        <w:t xml:space="preserve">UR 4 § 8。</w:t>
      </w:r>
    </w:p>
  </w:footnote>
  <w:footnote w:id="1652">
    <w:p>
      <w:pPr>
        <w:pStyle w:val="FootnoteText"/>
      </w:pPr>
      <w:r>
        <w:rPr>
          <w:rStyle w:val="FootnoteReference"/>
        </w:rPr>
        <w:footnoteRef/>
      </w:r>
      <w:r>
        <w:t xml:space="preserve"> </w:t>
      </w:r>
      <w:r>
        <w:t xml:space="preserve">参 RMiss 55。</w:t>
      </w:r>
    </w:p>
  </w:footnote>
  <w:footnote w:id="1653">
    <w:p>
      <w:pPr>
        <w:pStyle w:val="FootnoteText"/>
      </w:pPr>
      <w:r>
        <w:rPr>
          <w:rStyle w:val="FootnoteReference"/>
        </w:rPr>
        <w:footnoteRef/>
      </w:r>
      <w:r>
        <w:t xml:space="preserve"> </w:t>
      </w:r>
      <w:r>
        <w:t xml:space="preserve">AG 9。</w:t>
      </w:r>
    </w:p>
  </w:footnote>
  <w:footnote w:id="1654">
    <w:p>
      <w:pPr>
        <w:pStyle w:val="FootnoteText"/>
      </w:pPr>
      <w:r>
        <w:rPr>
          <w:rStyle w:val="FootnoteReference"/>
        </w:rPr>
        <w:footnoteRef/>
      </w:r>
      <w:r>
        <w:t xml:space="preserve"> </w:t>
      </w:r>
      <w:r>
        <w:t xml:space="preserve">AG 9。</w:t>
      </w:r>
    </w:p>
  </w:footnote>
  <w:footnote w:id="1656">
    <w:p>
      <w:pPr>
        <w:pStyle w:val="FootnoteText"/>
      </w:pPr>
      <w:r>
        <w:rPr>
          <w:rStyle w:val="FootnoteReference"/>
        </w:rPr>
        <w:footnoteRef/>
      </w:r>
      <w:r>
        <w:t xml:space="preserve"> </w:t>
      </w:r>
      <w:r>
        <w:t xml:space="preserve">弗 2:20；启 21:14。</w:t>
      </w:r>
    </w:p>
  </w:footnote>
  <w:footnote w:id="1657">
    <w:p>
      <w:pPr>
        <w:pStyle w:val="FootnoteText"/>
      </w:pPr>
      <w:r>
        <w:rPr>
          <w:rStyle w:val="FootnoteReference"/>
        </w:rPr>
        <w:footnoteRef/>
      </w:r>
      <w:r>
        <w:t xml:space="preserve"> </w:t>
      </w:r>
      <w:r>
        <w:t xml:space="preserve">参 太 28:16-20；徒 1:8；林前 9:1；15:7-8；加 1:1 等。</w:t>
      </w:r>
    </w:p>
  </w:footnote>
  <w:footnote w:id="1658">
    <w:p>
      <w:pPr>
        <w:pStyle w:val="FootnoteText"/>
      </w:pPr>
      <w:r>
        <w:rPr>
          <w:rStyle w:val="FootnoteReference"/>
        </w:rPr>
        <w:footnoteRef/>
      </w:r>
      <w:r>
        <w:t xml:space="preserve"> </w:t>
      </w:r>
      <w:r>
        <w:t xml:space="preserve">参 徒 2:42。</w:t>
      </w:r>
    </w:p>
  </w:footnote>
  <w:footnote w:id="1659">
    <w:p>
      <w:pPr>
        <w:pStyle w:val="FootnoteText"/>
      </w:pPr>
      <w:r>
        <w:rPr>
          <w:rStyle w:val="FootnoteReference"/>
        </w:rPr>
        <w:footnoteRef/>
      </w:r>
      <w:r>
        <w:t xml:space="preserve"> </w:t>
      </w:r>
      <w:r>
        <w:t xml:space="preserve">参 提后 1:13-14。</w:t>
      </w:r>
    </w:p>
  </w:footnote>
  <w:footnote w:id="1660">
    <w:p>
      <w:pPr>
        <w:pStyle w:val="FootnoteText"/>
      </w:pPr>
      <w:r>
        <w:rPr>
          <w:rStyle w:val="FootnoteReference"/>
        </w:rPr>
        <w:footnoteRef/>
      </w:r>
      <w:r>
        <w:t xml:space="preserve"> </w:t>
      </w:r>
      <w:r>
        <w:t xml:space="preserve">AG 5.</w:t>
      </w:r>
    </w:p>
  </w:footnote>
  <w:footnote w:id="1661">
    <w:p>
      <w:pPr>
        <w:pStyle w:val="FootnoteText"/>
      </w:pPr>
      <w:r>
        <w:rPr>
          <w:rStyle w:val="FootnoteReference"/>
        </w:rPr>
        <w:footnoteRef/>
      </w:r>
      <w:r>
        <w:t xml:space="preserve"> </w:t>
      </w:r>
      <w:r>
        <w:t xml:space="preserve">罗马弥撒经书，使徒颂谢词一。</w:t>
      </w:r>
    </w:p>
  </w:footnote>
  <w:footnote w:id="1662">
    <w:p>
      <w:pPr>
        <w:pStyle w:val="FootnoteText"/>
      </w:pPr>
      <w:r>
        <w:rPr>
          <w:rStyle w:val="FootnoteReference"/>
        </w:rPr>
        <w:footnoteRef/>
      </w:r>
      <w:r>
        <w:t xml:space="preserve"> </w:t>
      </w:r>
      <w:r>
        <w:t xml:space="preserve">可 3:13-14。</w:t>
      </w:r>
    </w:p>
  </w:footnote>
  <w:footnote w:id="1663">
    <w:p>
      <w:pPr>
        <w:pStyle w:val="FootnoteText"/>
      </w:pPr>
      <w:r>
        <w:rPr>
          <w:rStyle w:val="FootnoteReference"/>
        </w:rPr>
        <w:footnoteRef/>
      </w:r>
      <w:r>
        <w:t xml:space="preserve"> </w:t>
      </w:r>
      <w:r>
        <w:t xml:space="preserve">约 20:21；参 13:20；17:18。</w:t>
      </w:r>
    </w:p>
  </w:footnote>
  <w:footnote w:id="1664">
    <w:p>
      <w:pPr>
        <w:pStyle w:val="FootnoteText"/>
      </w:pPr>
      <w:r>
        <w:rPr>
          <w:rStyle w:val="FootnoteReference"/>
        </w:rPr>
        <w:footnoteRef/>
      </w:r>
      <w:r>
        <w:t xml:space="preserve"> </w:t>
      </w:r>
      <w:r>
        <w:t xml:space="preserve">太 10:40；参路 10:16。</w:t>
      </w:r>
    </w:p>
  </w:footnote>
  <w:footnote w:id="1665">
    <w:p>
      <w:pPr>
        <w:pStyle w:val="FootnoteText"/>
      </w:pPr>
      <w:r>
        <w:rPr>
          <w:rStyle w:val="FootnoteReference"/>
        </w:rPr>
        <w:footnoteRef/>
      </w:r>
      <w:r>
        <w:t xml:space="preserve"> </w:t>
      </w:r>
      <w:r>
        <w:t xml:space="preserve">约 5:19，30；参约 15:5。</w:t>
      </w:r>
    </w:p>
  </w:footnote>
  <w:footnote w:id="1666">
    <w:p>
      <w:pPr>
        <w:pStyle w:val="FootnoteText"/>
      </w:pPr>
      <w:r>
        <w:rPr>
          <w:rStyle w:val="FootnoteReference"/>
        </w:rPr>
        <w:footnoteRef/>
      </w:r>
      <w:r>
        <w:t xml:space="preserve"> </w:t>
      </w:r>
      <w:r>
        <w:t xml:space="preserve">林后 3:6；6:4；5:20；林前 4:1。</w:t>
      </w:r>
    </w:p>
  </w:footnote>
  <w:footnote w:id="1667">
    <w:p>
      <w:pPr>
        <w:pStyle w:val="FootnoteText"/>
      </w:pPr>
      <w:r>
        <w:rPr>
          <w:rStyle w:val="FootnoteReference"/>
        </w:rPr>
        <w:footnoteRef/>
      </w:r>
      <w:r>
        <w:t xml:space="preserve"> </w:t>
      </w:r>
      <w:r>
        <w:t xml:space="preserve">LG 20；参太 28:20。</w:t>
      </w:r>
    </w:p>
  </w:footnote>
  <w:footnote w:id="1668">
    <w:p>
      <w:pPr>
        <w:pStyle w:val="FootnoteText"/>
      </w:pPr>
      <w:r>
        <w:rPr>
          <w:rStyle w:val="FootnoteReference"/>
        </w:rPr>
        <w:footnoteRef/>
      </w:r>
      <w:r>
        <w:t xml:space="preserve"> </w:t>
      </w:r>
      <w:r>
        <w:t xml:space="preserve">LG 20；参徒 20:28；罗马的圣克来孟，《致格林多书》42,44：PG 1,291-300。</w:t>
      </w:r>
    </w:p>
  </w:footnote>
  <w:footnote w:id="1669">
    <w:p>
      <w:pPr>
        <w:pStyle w:val="FootnoteText"/>
      </w:pPr>
      <w:r>
        <w:rPr>
          <w:rStyle w:val="FootnoteReference"/>
        </w:rPr>
        <w:footnoteRef/>
      </w:r>
      <w:r>
        <w:t xml:space="preserve"> </w:t>
      </w:r>
      <w:r>
        <w:t xml:space="preserve">LG 20 § 2。</w:t>
      </w:r>
    </w:p>
  </w:footnote>
  <w:footnote w:id="1670">
    <w:p>
      <w:pPr>
        <w:pStyle w:val="FootnoteText"/>
      </w:pPr>
      <w:r>
        <w:rPr>
          <w:rStyle w:val="FootnoteReference"/>
        </w:rPr>
        <w:footnoteRef/>
      </w:r>
      <w:r>
        <w:t xml:space="preserve"> </w:t>
      </w:r>
      <w:r>
        <w:t xml:space="preserve">LG 20 § 2。</w:t>
      </w:r>
    </w:p>
  </w:footnote>
  <w:footnote w:id="1671">
    <w:p>
      <w:pPr>
        <w:pStyle w:val="FootnoteText"/>
      </w:pPr>
      <w:r>
        <w:rPr>
          <w:rStyle w:val="FootnoteReference"/>
        </w:rPr>
        <w:footnoteRef/>
      </w:r>
      <w:r>
        <w:t xml:space="preserve"> </w:t>
      </w:r>
      <w:r>
        <w:t xml:space="preserve">AA 2。</w:t>
      </w:r>
    </w:p>
  </w:footnote>
  <w:footnote w:id="1672">
    <w:p>
      <w:pPr>
        <w:pStyle w:val="FootnoteText"/>
      </w:pPr>
      <w:r>
        <w:rPr>
          <w:rStyle w:val="FootnoteReference"/>
        </w:rPr>
        <w:footnoteRef/>
      </w:r>
      <w:r>
        <w:t xml:space="preserve"> </w:t>
      </w:r>
      <w:r>
        <w:t xml:space="preserve">AA 4；参约 15:5。</w:t>
      </w:r>
    </w:p>
  </w:footnote>
  <w:footnote w:id="1673">
    <w:p>
      <w:pPr>
        <w:pStyle w:val="FootnoteText"/>
      </w:pPr>
      <w:r>
        <w:rPr>
          <w:rStyle w:val="FootnoteReference"/>
        </w:rPr>
        <w:footnoteRef/>
      </w:r>
      <w:r>
        <w:t xml:space="preserve"> </w:t>
      </w:r>
      <w:r>
        <w:t xml:space="preserve">AA 3。</w:t>
      </w:r>
    </w:p>
  </w:footnote>
  <w:footnote w:id="1674">
    <w:p>
      <w:pPr>
        <w:pStyle w:val="FootnoteText"/>
      </w:pPr>
      <w:r>
        <w:rPr>
          <w:rStyle w:val="FootnoteReference"/>
        </w:rPr>
        <w:footnoteRef/>
      </w:r>
      <w:r>
        <w:t xml:space="preserve"> </w:t>
      </w:r>
      <w:r>
        <w:t xml:space="preserve">启 19:6。</w:t>
      </w:r>
    </w:p>
  </w:footnote>
  <w:footnote w:id="1675">
    <w:p>
      <w:pPr>
        <w:pStyle w:val="FootnoteText"/>
      </w:pPr>
      <w:r>
        <w:rPr>
          <w:rStyle w:val="FootnoteReference"/>
        </w:rPr>
        <w:footnoteRef/>
      </w:r>
      <w:r>
        <w:t xml:space="preserve"> </w:t>
      </w:r>
      <w:r>
        <w:t xml:space="preserve">弗 1:4。</w:t>
      </w:r>
    </w:p>
  </w:footnote>
  <w:footnote w:id="1676">
    <w:p>
      <w:pPr>
        <w:pStyle w:val="FootnoteText"/>
      </w:pPr>
      <w:r>
        <w:rPr>
          <w:rStyle w:val="FootnoteReference"/>
        </w:rPr>
        <w:footnoteRef/>
      </w:r>
      <w:r>
        <w:t xml:space="preserve"> </w:t>
      </w:r>
      <w:r>
        <w:t xml:space="preserve">启 21:9。</w:t>
      </w:r>
    </w:p>
  </w:footnote>
  <w:footnote w:id="1677">
    <w:p>
      <w:pPr>
        <w:pStyle w:val="FootnoteText"/>
      </w:pPr>
      <w:r>
        <w:rPr>
          <w:rStyle w:val="FootnoteReference"/>
        </w:rPr>
        <w:footnoteRef/>
      </w:r>
      <w:r>
        <w:t xml:space="preserve"> </w:t>
      </w:r>
      <w:r>
        <w:t xml:space="preserve">启 21:10-11。</w:t>
      </w:r>
    </w:p>
  </w:footnote>
  <w:footnote w:id="1678">
    <w:p>
      <w:pPr>
        <w:pStyle w:val="FootnoteText"/>
      </w:pPr>
      <w:r>
        <w:rPr>
          <w:rStyle w:val="FootnoteReference"/>
        </w:rPr>
        <w:footnoteRef/>
      </w:r>
      <w:r>
        <w:t xml:space="preserve"> </w:t>
      </w:r>
      <w:r>
        <w:t xml:space="preserve">启 21:14。</w:t>
      </w:r>
    </w:p>
  </w:footnote>
  <w:footnote w:id="1682">
    <w:p>
      <w:pPr>
        <w:pStyle w:val="FootnoteText"/>
      </w:pPr>
      <w:r>
        <w:rPr>
          <w:rStyle w:val="FootnoteReference"/>
        </w:rPr>
        <w:footnoteRef/>
      </w:r>
      <w:r>
        <w:t xml:space="preserve"> </w:t>
      </w:r>
      <w:r>
        <w:t xml:space="preserve">《教会法典》204 条 1 款；参阅《教会宪章》31。</w:t>
      </w:r>
    </w:p>
  </w:footnote>
  <w:footnote w:id="1683">
    <w:p>
      <w:pPr>
        <w:pStyle w:val="FootnoteText"/>
      </w:pPr>
      <w:r>
        <w:rPr>
          <w:rStyle w:val="FootnoteReference"/>
        </w:rPr>
        <w:footnoteRef/>
      </w:r>
      <w:r>
        <w:t xml:space="preserve"> </w:t>
      </w:r>
      <w:r>
        <w:t xml:space="preserve">《教会法典》208 条；参阅《教会宪章》32。</w:t>
      </w:r>
    </w:p>
  </w:footnote>
  <w:footnote w:id="1684">
    <w:p>
      <w:pPr>
        <w:pStyle w:val="FootnoteText"/>
      </w:pPr>
      <w:r>
        <w:rPr>
          <w:rStyle w:val="FootnoteReference"/>
        </w:rPr>
        <w:footnoteRef/>
      </w:r>
      <w:r>
        <w:t xml:space="preserve"> </w:t>
      </w:r>
      <w:r>
        <w:t xml:space="preserve">《教友传教法令》2。</w:t>
      </w:r>
    </w:p>
  </w:footnote>
  <w:footnote w:id="1685">
    <w:p>
      <w:pPr>
        <w:pStyle w:val="FootnoteText"/>
      </w:pPr>
      <w:r>
        <w:rPr>
          <w:rStyle w:val="FootnoteReference"/>
        </w:rPr>
        <w:footnoteRef/>
      </w:r>
      <w:r>
        <w:t xml:space="preserve"> </w:t>
      </w:r>
      <w:r>
        <w:t xml:space="preserve">《教会法典》207 条 2 款。</w:t>
      </w:r>
    </w:p>
  </w:footnote>
  <w:footnote w:id="1686">
    <w:p>
      <w:pPr>
        <w:pStyle w:val="FootnoteText"/>
      </w:pPr>
      <w:r>
        <w:rPr>
          <w:rStyle w:val="FootnoteReference"/>
        </w:rPr>
        <w:footnoteRef/>
      </w:r>
      <w:r>
        <w:t xml:space="preserve"> </w:t>
      </w:r>
      <w:r>
        <w:t xml:space="preserve">《教会宪章》18。</w:t>
      </w:r>
    </w:p>
  </w:footnote>
  <w:footnote w:id="1687">
    <w:p>
      <w:pPr>
        <w:pStyle w:val="FootnoteText"/>
      </w:pPr>
      <w:r>
        <w:rPr>
          <w:rStyle w:val="FootnoteReference"/>
        </w:rPr>
        <w:footnoteRef/>
      </w:r>
      <w:r>
        <w:t xml:space="preserve"> </w:t>
      </w:r>
      <w:r>
        <w:t xml:space="preserve">罗 10:14-15。</w:t>
      </w:r>
    </w:p>
  </w:footnote>
  <w:footnote w:id="1688">
    <w:p>
      <w:pPr>
        <w:pStyle w:val="FootnoteText"/>
      </w:pPr>
      <w:r>
        <w:rPr>
          <w:rStyle w:val="FootnoteReference"/>
        </w:rPr>
        <w:footnoteRef/>
      </w:r>
      <w:r>
        <w:t xml:space="preserve"> </w:t>
      </w:r>
      <w:r>
        <w:t xml:space="preserve">罗 10:17。</w:t>
      </w:r>
    </w:p>
  </w:footnote>
  <w:footnote w:id="1689">
    <w:p>
      <w:pPr>
        <w:pStyle w:val="FootnoteText"/>
      </w:pPr>
      <w:r>
        <w:rPr>
          <w:rStyle w:val="FootnoteReference"/>
        </w:rPr>
        <w:footnoteRef/>
      </w:r>
      <w:r>
        <w:t xml:space="preserve"> </w:t>
      </w:r>
      <w:r>
        <w:t xml:space="preserve">罗 1:1。</w:t>
      </w:r>
    </w:p>
  </w:footnote>
  <w:footnote w:id="1690">
    <w:p>
      <w:pPr>
        <w:pStyle w:val="FootnoteText"/>
      </w:pPr>
      <w:r>
        <w:rPr>
          <w:rStyle w:val="FootnoteReference"/>
        </w:rPr>
        <w:footnoteRef/>
      </w:r>
      <w:r>
        <w:t xml:space="preserve"> </w:t>
      </w:r>
      <w:r>
        <w:t xml:space="preserve">斐 2:7。</w:t>
      </w:r>
    </w:p>
  </w:footnote>
  <w:footnote w:id="1691">
    <w:p>
      <w:pPr>
        <w:pStyle w:val="FootnoteText"/>
      </w:pPr>
      <w:r>
        <w:rPr>
          <w:rStyle w:val="FootnoteReference"/>
        </w:rPr>
        <w:footnoteRef/>
      </w:r>
      <w:r>
        <w:t xml:space="preserve"> </w:t>
      </w:r>
      <w:r>
        <w:t xml:space="preserve">林前 9:19。</w:t>
      </w:r>
    </w:p>
  </w:footnote>
  <w:footnote w:id="1692">
    <w:p>
      <w:pPr>
        <w:pStyle w:val="FootnoteText"/>
      </w:pPr>
      <w:r>
        <w:rPr>
          <w:rStyle w:val="FootnoteReference"/>
        </w:rPr>
        <w:footnoteRef/>
      </w:r>
      <w:r>
        <w:t xml:space="preserve"> </w:t>
      </w:r>
      <w:r>
        <w:t xml:space="preserve">《教会传教法令》5。</w:t>
      </w:r>
    </w:p>
  </w:footnote>
  <w:footnote w:id="1693">
    <w:p>
      <w:pPr>
        <w:pStyle w:val="FootnoteText"/>
      </w:pPr>
      <w:r>
        <w:rPr>
          <w:rStyle w:val="FootnoteReference"/>
        </w:rPr>
        <w:footnoteRef/>
      </w:r>
      <w:r>
        <w:t xml:space="preserve"> </w:t>
      </w:r>
      <w:r>
        <w:t xml:space="preserve">约 17:21-23。</w:t>
      </w:r>
    </w:p>
  </w:footnote>
  <w:footnote w:id="1694">
    <w:p>
      <w:pPr>
        <w:pStyle w:val="FootnoteText"/>
      </w:pPr>
      <w:r>
        <w:rPr>
          <w:rStyle w:val="FootnoteReference"/>
        </w:rPr>
        <w:footnoteRef/>
      </w:r>
      <w:r>
        <w:t xml:space="preserve"> </w:t>
      </w:r>
      <w:r>
        <w:t xml:space="preserve">约 21:22；参太 4:19-21；约 1:4。</w:t>
      </w:r>
    </w:p>
  </w:footnote>
  <w:footnote w:id="1695">
    <w:p>
      <w:pPr>
        <w:pStyle w:val="FootnoteText"/>
      </w:pPr>
      <w:r>
        <w:rPr>
          <w:rStyle w:val="FootnoteReference"/>
        </w:rPr>
        <w:footnoteRef/>
      </w:r>
      <w:r>
        <w:t xml:space="preserve"> </w:t>
      </w:r>
      <w:r>
        <w:t xml:space="preserve">《教会宪章》19；参路 6:13；约 21:15-17。</w:t>
      </w:r>
    </w:p>
  </w:footnote>
  <w:footnote w:id="1696">
    <w:p>
      <w:pPr>
        <w:pStyle w:val="FootnoteText"/>
      </w:pPr>
      <w:r>
        <w:rPr>
          <w:rStyle w:val="FootnoteReference"/>
        </w:rPr>
        <w:footnoteRef/>
      </w:r>
      <w:r>
        <w:t xml:space="preserve"> </w:t>
      </w:r>
      <w:r>
        <w:t xml:space="preserve">《教会宪章》22；参《教会法典》330 条。</w:t>
      </w:r>
    </w:p>
  </w:footnote>
  <w:footnote w:id="1697">
    <w:p>
      <w:pPr>
        <w:pStyle w:val="FootnoteText"/>
      </w:pPr>
      <w:r>
        <w:rPr>
          <w:rStyle w:val="FootnoteReference"/>
        </w:rPr>
        <w:footnoteRef/>
      </w:r>
      <w:r>
        <w:t xml:space="preserve"> </w:t>
      </w:r>
      <w:r>
        <w:t xml:space="preserve">太 16:18-19；约 21:15-17。</w:t>
      </w:r>
    </w:p>
  </w:footnote>
  <w:footnote w:id="1698">
    <w:p>
      <w:pPr>
        <w:pStyle w:val="FootnoteText"/>
      </w:pPr>
      <w:r>
        <w:rPr>
          <w:rStyle w:val="FootnoteReference"/>
        </w:rPr>
        <w:footnoteRef/>
      </w:r>
      <w:r>
        <w:t xml:space="preserve"> </w:t>
      </w:r>
      <w:r>
        <w:t xml:space="preserve">《教会宪章》22 第 2 节。</w:t>
      </w:r>
    </w:p>
  </w:footnote>
  <w:footnote w:id="1699">
    <w:p>
      <w:pPr>
        <w:pStyle w:val="FootnoteText"/>
      </w:pPr>
      <w:r>
        <w:rPr>
          <w:rStyle w:val="FootnoteReference"/>
        </w:rPr>
        <w:footnoteRef/>
      </w:r>
      <w:r>
        <w:t xml:space="preserve"> </w:t>
      </w:r>
      <w:r>
        <w:t xml:space="preserve">《教会宪章》23。</w:t>
      </w:r>
    </w:p>
  </w:footnote>
  <w:footnote w:id="1700">
    <w:p>
      <w:pPr>
        <w:pStyle w:val="FootnoteText"/>
      </w:pPr>
      <w:r>
        <w:rPr>
          <w:rStyle w:val="FootnoteReference"/>
        </w:rPr>
        <w:footnoteRef/>
      </w:r>
      <w:r>
        <w:t xml:space="preserve"> </w:t>
      </w:r>
      <w:r>
        <w:t xml:space="preserve">《教会宪章》22；参阅《主教牧职法令》2,9。</w:t>
      </w:r>
    </w:p>
  </w:footnote>
  <w:footnote w:id="1701">
    <w:p>
      <w:pPr>
        <w:pStyle w:val="FootnoteText"/>
      </w:pPr>
      <w:r>
        <w:rPr>
          <w:rStyle w:val="FootnoteReference"/>
        </w:rPr>
        <w:footnoteRef/>
      </w:r>
      <w:r>
        <w:t xml:space="preserve"> </w:t>
      </w:r>
      <w:r>
        <w:t xml:space="preserve">《教会宪章》22；参阅《教会法典》336 条。</w:t>
      </w:r>
    </w:p>
  </w:footnote>
  <w:footnote w:id="1702">
    <w:p>
      <w:pPr>
        <w:pStyle w:val="FootnoteText"/>
      </w:pPr>
      <w:r>
        <w:rPr>
          <w:rStyle w:val="FootnoteReference"/>
        </w:rPr>
        <w:footnoteRef/>
      </w:r>
      <w:r>
        <w:t xml:space="preserve"> </w:t>
      </w:r>
      <w:r>
        <w:t xml:space="preserve">《教会法典》337 条 1 款。</w:t>
      </w:r>
    </w:p>
  </w:footnote>
  <w:footnote w:id="1703">
    <w:p>
      <w:pPr>
        <w:pStyle w:val="FootnoteText"/>
      </w:pPr>
      <w:r>
        <w:rPr>
          <w:rStyle w:val="FootnoteReference"/>
        </w:rPr>
        <w:footnoteRef/>
      </w:r>
      <w:r>
        <w:t xml:space="preserve"> </w:t>
      </w:r>
      <w:r>
        <w:t xml:space="preserve">《教会宪章》22。</w:t>
      </w:r>
    </w:p>
  </w:footnote>
  <w:footnote w:id="1704">
    <w:p>
      <w:pPr>
        <w:pStyle w:val="FootnoteText"/>
      </w:pPr>
      <w:r>
        <w:rPr>
          <w:rStyle w:val="FootnoteReference"/>
        </w:rPr>
        <w:footnoteRef/>
      </w:r>
      <w:r>
        <w:t xml:space="preserve"> </w:t>
      </w:r>
      <w:r>
        <w:t xml:space="preserve">《教会宪章》22。</w:t>
      </w:r>
    </w:p>
  </w:footnote>
  <w:footnote w:id="1705">
    <w:p>
      <w:pPr>
        <w:pStyle w:val="FootnoteText"/>
      </w:pPr>
      <w:r>
        <w:rPr>
          <w:rStyle w:val="FootnoteReference"/>
        </w:rPr>
        <w:footnoteRef/>
      </w:r>
      <w:r>
        <w:t xml:space="preserve"> </w:t>
      </w:r>
      <w:r>
        <w:t xml:space="preserve">《教会宪章》23。</w:t>
      </w:r>
    </w:p>
  </w:footnote>
  <w:footnote w:id="1706">
    <w:p>
      <w:pPr>
        <w:pStyle w:val="FootnoteText"/>
      </w:pPr>
      <w:r>
        <w:rPr>
          <w:rStyle w:val="FootnoteReference"/>
        </w:rPr>
        <w:footnoteRef/>
      </w:r>
      <w:r>
        <w:t xml:space="preserve"> </w:t>
      </w:r>
      <w:r>
        <w:t xml:space="preserve">《教会宪章》23。</w:t>
      </w:r>
    </w:p>
  </w:footnote>
  <w:footnote w:id="1707">
    <w:p>
      <w:pPr>
        <w:pStyle w:val="FootnoteText"/>
      </w:pPr>
      <w:r>
        <w:rPr>
          <w:rStyle w:val="FootnoteReference"/>
        </w:rPr>
        <w:footnoteRef/>
      </w:r>
      <w:r>
        <w:t xml:space="preserve"> </w:t>
      </w:r>
      <w:r>
        <w:t xml:space="preserve">《主教牧职法令》3。</w:t>
      </w:r>
    </w:p>
  </w:footnote>
  <w:footnote w:id="1708">
    <w:p>
      <w:pPr>
        <w:pStyle w:val="FootnoteText"/>
      </w:pPr>
      <w:r>
        <w:rPr>
          <w:rStyle w:val="FootnoteReference"/>
        </w:rPr>
        <w:footnoteRef/>
      </w:r>
      <w:r>
        <w:t xml:space="preserve"> </w:t>
      </w:r>
      <w:r>
        <w:t xml:space="preserve">《教会宪章》23。</w:t>
      </w:r>
    </w:p>
  </w:footnote>
  <w:footnote w:id="1709">
    <w:p>
      <w:pPr>
        <w:pStyle w:val="FootnoteText"/>
      </w:pPr>
      <w:r>
        <w:rPr>
          <w:rStyle w:val="FootnoteReference"/>
        </w:rPr>
        <w:footnoteRef/>
      </w:r>
      <w:r>
        <w:t xml:space="preserve"> </w:t>
      </w:r>
      <w:r>
        <w:t xml:space="preserve">加 2:10。</w:t>
      </w:r>
    </w:p>
  </w:footnote>
  <w:footnote w:id="1710">
    <w:p>
      <w:pPr>
        <w:pStyle w:val="FootnoteText"/>
      </w:pPr>
      <w:r>
        <w:rPr>
          <w:rStyle w:val="FootnoteReference"/>
        </w:rPr>
        <w:footnoteRef/>
      </w:r>
      <w:r>
        <w:t xml:space="preserve"> </w:t>
      </w:r>
      <w:r>
        <w:t xml:space="preserve">《使徒宪章》34。</w:t>
      </w:r>
    </w:p>
  </w:footnote>
  <w:footnote w:id="1711">
    <w:p>
      <w:pPr>
        <w:pStyle w:val="FootnoteText"/>
      </w:pPr>
      <w:r>
        <w:rPr>
          <w:rStyle w:val="FootnoteReference"/>
        </w:rPr>
        <w:footnoteRef/>
      </w:r>
      <w:r>
        <w:t xml:space="preserve"> </w:t>
      </w:r>
      <w:r>
        <w:t xml:space="preserve">《教会宪章》23 第 3 节。</w:t>
      </w:r>
    </w:p>
  </w:footnote>
  <w:footnote w:id="1712">
    <w:p>
      <w:pPr>
        <w:pStyle w:val="FootnoteText"/>
      </w:pPr>
      <w:r>
        <w:rPr>
          <w:rStyle w:val="FootnoteReference"/>
        </w:rPr>
        <w:footnoteRef/>
      </w:r>
      <w:r>
        <w:t xml:space="preserve"> </w:t>
      </w:r>
      <w:r>
        <w:t xml:space="preserve">《祭司职务与生活法令》4；参可 16:15。</w:t>
      </w:r>
    </w:p>
  </w:footnote>
  <w:footnote w:id="1713">
    <w:p>
      <w:pPr>
        <w:pStyle w:val="FootnoteText"/>
      </w:pPr>
      <w:r>
        <w:rPr>
          <w:rStyle w:val="FootnoteReference"/>
        </w:rPr>
        <w:footnoteRef/>
      </w:r>
      <w:r>
        <w:t xml:space="preserve"> </w:t>
      </w:r>
      <w:r>
        <w:t xml:space="preserve">《教会宪章》25。</w:t>
      </w:r>
    </w:p>
  </w:footnote>
  <w:footnote w:id="1714">
    <w:p>
      <w:pPr>
        <w:pStyle w:val="FootnoteText"/>
      </w:pPr>
      <w:r>
        <w:rPr>
          <w:rStyle w:val="FootnoteReference"/>
        </w:rPr>
        <w:footnoteRef/>
      </w:r>
      <w:r>
        <w:t xml:space="preserve"> </w:t>
      </w:r>
      <w:r>
        <w:t xml:space="preserve">《教会宪章》12；参《神的启示宪章》10。</w:t>
      </w:r>
    </w:p>
  </w:footnote>
  <w:footnote w:id="1715">
    <w:p>
      <w:pPr>
        <w:pStyle w:val="FootnoteText"/>
      </w:pPr>
      <w:r>
        <w:rPr>
          <w:rStyle w:val="FootnoteReference"/>
        </w:rPr>
        <w:footnoteRef/>
      </w:r>
      <w:r>
        <w:t xml:space="preserve"> </w:t>
      </w:r>
      <w:r>
        <w:t xml:space="preserve">《教会宪章》25；参梵蒂冈第一届大公会议：DS 3074。</w:t>
      </w:r>
    </w:p>
  </w:footnote>
  <w:footnote w:id="1716">
    <w:p>
      <w:pPr>
        <w:pStyle w:val="FootnoteText"/>
      </w:pPr>
      <w:r>
        <w:rPr>
          <w:rStyle w:val="FootnoteReference"/>
        </w:rPr>
        <w:footnoteRef/>
      </w:r>
      <w:r>
        <w:t xml:space="preserve"> </w:t>
      </w:r>
      <w:r>
        <w:t xml:space="preserve">《神的启示宪章》10:2。</w:t>
      </w:r>
    </w:p>
  </w:footnote>
  <w:footnote w:id="1717">
    <w:p>
      <w:pPr>
        <w:pStyle w:val="FootnoteText"/>
      </w:pPr>
      <w:r>
        <w:rPr>
          <w:rStyle w:val="FootnoteReference"/>
        </w:rPr>
        <w:footnoteRef/>
      </w:r>
      <w:r>
        <w:t xml:space="preserve"> </w:t>
      </w:r>
      <w:r>
        <w:t xml:space="preserve">《教会宪章》25:2。</w:t>
      </w:r>
    </w:p>
  </w:footnote>
  <w:footnote w:id="1718">
    <w:p>
      <w:pPr>
        <w:pStyle w:val="FootnoteText"/>
      </w:pPr>
      <w:r>
        <w:rPr>
          <w:rStyle w:val="FootnoteReference"/>
        </w:rPr>
        <w:footnoteRef/>
      </w:r>
      <w:r>
        <w:t xml:space="preserve"> </w:t>
      </w:r>
      <w:r>
        <w:t xml:space="preserve">《教会宪章》25。</w:t>
      </w:r>
    </w:p>
  </w:footnote>
  <w:footnote w:id="1719">
    <w:p>
      <w:pPr>
        <w:pStyle w:val="FootnoteText"/>
      </w:pPr>
      <w:r>
        <w:rPr>
          <w:rStyle w:val="FootnoteReference"/>
        </w:rPr>
        <w:footnoteRef/>
      </w:r>
      <w:r>
        <w:t xml:space="preserve"> </w:t>
      </w:r>
      <w:r>
        <w:t xml:space="preserve">《教会宪章》25。</w:t>
      </w:r>
    </w:p>
  </w:footnote>
  <w:footnote w:id="1720">
    <w:p>
      <w:pPr>
        <w:pStyle w:val="FootnoteText"/>
      </w:pPr>
      <w:r>
        <w:rPr>
          <w:rStyle w:val="FootnoteReference"/>
        </w:rPr>
        <w:footnoteRef/>
      </w:r>
      <w:r>
        <w:t xml:space="preserve"> </w:t>
      </w:r>
      <w:r>
        <w:t xml:space="preserve">《教会宪章》26。</w:t>
      </w:r>
    </w:p>
  </w:footnote>
  <w:footnote w:id="1721">
    <w:p>
      <w:pPr>
        <w:pStyle w:val="FootnoteText"/>
      </w:pPr>
      <w:r>
        <w:rPr>
          <w:rStyle w:val="FootnoteReference"/>
        </w:rPr>
        <w:footnoteRef/>
      </w:r>
      <w:r>
        <w:t xml:space="preserve"> </w:t>
      </w:r>
      <w:r>
        <w:t xml:space="preserve">伯前 5:3。</w:t>
      </w:r>
    </w:p>
  </w:footnote>
  <w:footnote w:id="1722">
    <w:p>
      <w:pPr>
        <w:pStyle w:val="FootnoteText"/>
      </w:pPr>
      <w:r>
        <w:rPr>
          <w:rStyle w:val="FootnoteReference"/>
        </w:rPr>
        <w:footnoteRef/>
      </w:r>
      <w:r>
        <w:t xml:space="preserve"> </w:t>
      </w:r>
      <w:r>
        <w:t xml:space="preserve">《教会宪章》26 第 3 节。</w:t>
      </w:r>
    </w:p>
  </w:footnote>
  <w:footnote w:id="1723">
    <w:p>
      <w:pPr>
        <w:pStyle w:val="FootnoteText"/>
      </w:pPr>
      <w:r>
        <w:rPr>
          <w:rStyle w:val="FootnoteReference"/>
        </w:rPr>
        <w:footnoteRef/>
      </w:r>
      <w:r>
        <w:t xml:space="preserve"> </w:t>
      </w:r>
      <w:r>
        <w:t xml:space="preserve">《教会宪章》27；参路 22:26-27。</w:t>
      </w:r>
    </w:p>
  </w:footnote>
  <w:footnote w:id="1724">
    <w:p>
      <w:pPr>
        <w:pStyle w:val="FootnoteText"/>
      </w:pPr>
      <w:r>
        <w:rPr>
          <w:rStyle w:val="FootnoteReference"/>
        </w:rPr>
        <w:footnoteRef/>
      </w:r>
      <w:r>
        <w:t xml:space="preserve"> </w:t>
      </w:r>
      <w:r>
        <w:t xml:space="preserve">《教会宪章》27。</w:t>
      </w:r>
    </w:p>
  </w:footnote>
  <w:footnote w:id="1725">
    <w:p>
      <w:pPr>
        <w:pStyle w:val="FootnoteText"/>
      </w:pPr>
      <w:r>
        <w:rPr>
          <w:rStyle w:val="FootnoteReference"/>
        </w:rPr>
        <w:footnoteRef/>
      </w:r>
      <w:r>
        <w:t xml:space="preserve"> </w:t>
      </w:r>
      <w:r>
        <w:t xml:space="preserve">《教会宪章》27 第 2 节。</w:t>
      </w:r>
    </w:p>
  </w:footnote>
  <w:footnote w:id="1726">
    <w:p>
      <w:pPr>
        <w:pStyle w:val="FootnoteText"/>
      </w:pPr>
      <w:r>
        <w:rPr>
          <w:rStyle w:val="FootnoteReference"/>
        </w:rPr>
        <w:footnoteRef/>
      </w:r>
      <w:r>
        <w:t xml:space="preserve"> </w:t>
      </w:r>
      <w:r>
        <w:t xml:space="preserve">安提阿的圣依纳爵，《致示每拿人书》8，1：《使徒教父》，II/2，309。</w:t>
      </w:r>
    </w:p>
  </w:footnote>
  <w:footnote w:id="1727">
    <w:p>
      <w:pPr>
        <w:pStyle w:val="FootnoteText"/>
      </w:pPr>
      <w:r>
        <w:rPr>
          <w:rStyle w:val="FootnoteReference"/>
        </w:rPr>
        <w:footnoteRef/>
      </w:r>
      <w:r>
        <w:t xml:space="preserve"> </w:t>
      </w:r>
      <w:r>
        <w:t xml:space="preserve">《教会宪章》31。</w:t>
      </w:r>
    </w:p>
  </w:footnote>
  <w:footnote w:id="1728">
    <w:p>
      <w:pPr>
        <w:pStyle w:val="FootnoteText"/>
      </w:pPr>
      <w:r>
        <w:rPr>
          <w:rStyle w:val="FootnoteReference"/>
        </w:rPr>
        <w:footnoteRef/>
      </w:r>
      <w:r>
        <w:t xml:space="preserve"> </w:t>
      </w:r>
      <w:r>
        <w:t xml:space="preserve">《教会宪章》31 第 2 节。</w:t>
      </w:r>
    </w:p>
  </w:footnote>
  <w:footnote w:id="1729">
    <w:p>
      <w:pPr>
        <w:pStyle w:val="FootnoteText"/>
      </w:pPr>
      <w:r>
        <w:rPr>
          <w:rStyle w:val="FootnoteReference"/>
        </w:rPr>
        <w:footnoteRef/>
      </w:r>
      <w:r>
        <w:t xml:space="preserve"> </w:t>
      </w:r>
      <w:r>
        <w:t xml:space="preserve">庇护十二世，《讲话》，1946 年 2 月 20 日：AAS 38（1946）149；若望保禄二世，《平信徒》9 引用。</w:t>
      </w:r>
    </w:p>
  </w:footnote>
  <w:footnote w:id="1730">
    <w:p>
      <w:pPr>
        <w:pStyle w:val="FootnoteText"/>
      </w:pPr>
      <w:r>
        <w:rPr>
          <w:rStyle w:val="FootnoteReference"/>
        </w:rPr>
        <w:footnoteRef/>
      </w:r>
      <w:r>
        <w:t xml:space="preserve"> </w:t>
      </w:r>
      <w:r>
        <w:t xml:space="preserve">《教会宪章》33。</w:t>
      </w:r>
    </w:p>
  </w:footnote>
  <w:footnote w:id="1731">
    <w:p>
      <w:pPr>
        <w:pStyle w:val="FootnoteText"/>
      </w:pPr>
      <w:r>
        <w:rPr>
          <w:rStyle w:val="FootnoteReference"/>
        </w:rPr>
        <w:footnoteRef/>
      </w:r>
      <w:r>
        <w:t xml:space="preserve"> </w:t>
      </w:r>
      <w:r>
        <w:t xml:space="preserve">《教会宪章》34；参阅《教会宪章》10，彼前 2:5。</w:t>
      </w:r>
    </w:p>
  </w:footnote>
  <w:footnote w:id="1732">
    <w:p>
      <w:pPr>
        <w:pStyle w:val="FootnoteText"/>
      </w:pPr>
      <w:r>
        <w:rPr>
          <w:rStyle w:val="FootnoteReference"/>
        </w:rPr>
        <w:footnoteRef/>
      </w:r>
      <w:r>
        <w:t xml:space="preserve"> </w:t>
      </w:r>
      <w:r>
        <w:t xml:space="preserve">《教会法典》835 条 4 款。</w:t>
      </w:r>
    </w:p>
  </w:footnote>
  <w:footnote w:id="1733">
    <w:p>
      <w:pPr>
        <w:pStyle w:val="FootnoteText"/>
      </w:pPr>
      <w:r>
        <w:rPr>
          <w:rStyle w:val="FootnoteReference"/>
        </w:rPr>
        <w:footnoteRef/>
      </w:r>
      <w:r>
        <w:t xml:space="preserve"> </w:t>
      </w:r>
      <w:r>
        <w:t xml:space="preserve">《教会法典》230 条 1 款。</w:t>
      </w:r>
    </w:p>
  </w:footnote>
  <w:footnote w:id="1734">
    <w:p>
      <w:pPr>
        <w:pStyle w:val="FootnoteText"/>
      </w:pPr>
      <w:r>
        <w:rPr>
          <w:rStyle w:val="FootnoteReference"/>
        </w:rPr>
        <w:footnoteRef/>
      </w:r>
      <w:r>
        <w:t xml:space="preserve"> </w:t>
      </w:r>
      <w:r>
        <w:t xml:space="preserve">《教会法典》230 条 3 款。</w:t>
      </w:r>
    </w:p>
  </w:footnote>
  <w:footnote w:id="1735">
    <w:p>
      <w:pPr>
        <w:pStyle w:val="FootnoteText"/>
      </w:pPr>
      <w:r>
        <w:rPr>
          <w:rStyle w:val="FootnoteReference"/>
        </w:rPr>
        <w:footnoteRef/>
      </w:r>
      <w:r>
        <w:t xml:space="preserve"> </w:t>
      </w:r>
      <w:r>
        <w:t xml:space="preserve">《教会宪章》35。</w:t>
      </w:r>
    </w:p>
  </w:footnote>
  <w:footnote w:id="1736">
    <w:p>
      <w:pPr>
        <w:pStyle w:val="FootnoteText"/>
      </w:pPr>
      <w:r>
        <w:rPr>
          <w:rStyle w:val="FootnoteReference"/>
        </w:rPr>
        <w:footnoteRef/>
      </w:r>
      <w:r>
        <w:t xml:space="preserve"> </w:t>
      </w:r>
      <w:r>
        <w:t xml:space="preserve">圣托马斯阿奎那，《神学大全》III，71，4 ad 3。</w:t>
      </w:r>
    </w:p>
  </w:footnote>
  <w:footnote w:id="1737">
    <w:p>
      <w:pPr>
        <w:pStyle w:val="FootnoteText"/>
      </w:pPr>
      <w:r>
        <w:rPr>
          <w:rStyle w:val="FootnoteReference"/>
        </w:rPr>
        <w:footnoteRef/>
      </w:r>
      <w:r>
        <w:t xml:space="preserve"> </w:t>
      </w:r>
      <w:r>
        <w:t xml:space="preserve">《教会宪章》35 §1，§2。</w:t>
      </w:r>
    </w:p>
  </w:footnote>
  <w:footnote w:id="1738">
    <w:p>
      <w:pPr>
        <w:pStyle w:val="FootnoteText"/>
      </w:pPr>
      <w:r>
        <w:rPr>
          <w:rStyle w:val="FootnoteReference"/>
        </w:rPr>
        <w:footnoteRef/>
      </w:r>
      <w:r>
        <w:t xml:space="preserve"> </w:t>
      </w:r>
      <w:r>
        <w:t xml:space="preserve">《平信徒传教法令》6 §3；参《传教工作法令》15。</w:t>
      </w:r>
    </w:p>
  </w:footnote>
  <w:footnote w:id="1739">
    <w:p>
      <w:pPr>
        <w:pStyle w:val="FootnoteText"/>
      </w:pPr>
      <w:r>
        <w:rPr>
          <w:rStyle w:val="FootnoteReference"/>
        </w:rPr>
        <w:footnoteRef/>
      </w:r>
      <w:r>
        <w:t xml:space="preserve"> </w:t>
      </w:r>
      <w:r>
        <w:t xml:space="preserve">《教会法典》，229、774、776、780、823 §1 条。</w:t>
      </w:r>
    </w:p>
  </w:footnote>
  <w:footnote w:id="1740">
    <w:p>
      <w:pPr>
        <w:pStyle w:val="FootnoteText"/>
      </w:pPr>
      <w:r>
        <w:rPr>
          <w:rStyle w:val="FootnoteReference"/>
        </w:rPr>
        <w:footnoteRef/>
      </w:r>
      <w:r>
        <w:t xml:space="preserve"> </w:t>
      </w:r>
      <w:r>
        <w:t xml:space="preserve">《教会法典》212 条 3 款。</w:t>
      </w:r>
    </w:p>
  </w:footnote>
  <w:footnote w:id="1741">
    <w:p>
      <w:pPr>
        <w:pStyle w:val="FootnoteText"/>
      </w:pPr>
      <w:r>
        <w:rPr>
          <w:rStyle w:val="FootnoteReference"/>
        </w:rPr>
        <w:footnoteRef/>
      </w:r>
      <w:r>
        <w:t xml:space="preserve"> </w:t>
      </w:r>
      <w:r>
        <w:t xml:space="preserve">腓 2:8-9。</w:t>
      </w:r>
    </w:p>
  </w:footnote>
  <w:footnote w:id="1742">
    <w:p>
      <w:pPr>
        <w:pStyle w:val="FootnoteText"/>
      </w:pPr>
      <w:r>
        <w:rPr>
          <w:rStyle w:val="FootnoteReference"/>
        </w:rPr>
        <w:footnoteRef/>
      </w:r>
      <w:r>
        <w:t xml:space="preserve"> </w:t>
      </w:r>
      <w:r>
        <w:t xml:space="preserve">《教会论》36。</w:t>
      </w:r>
    </w:p>
  </w:footnote>
  <w:footnote w:id="1743">
    <w:p>
      <w:pPr>
        <w:pStyle w:val="FootnoteText"/>
      </w:pPr>
      <w:r>
        <w:rPr>
          <w:rStyle w:val="FootnoteReference"/>
        </w:rPr>
        <w:footnoteRef/>
      </w:r>
      <w:r>
        <w:t xml:space="preserve"> </w:t>
      </w:r>
      <w:r>
        <w:t xml:space="preserve">圣安博，《圣咏集注》118:14:30:PL 15:1476。</w:t>
      </w:r>
    </w:p>
  </w:footnote>
  <w:footnote w:id="1744">
    <w:p>
      <w:pPr>
        <w:pStyle w:val="FootnoteText"/>
      </w:pPr>
      <w:r>
        <w:rPr>
          <w:rStyle w:val="FootnoteReference"/>
        </w:rPr>
        <w:footnoteRef/>
      </w:r>
      <w:r>
        <w:t xml:space="preserve"> </w:t>
      </w:r>
      <w:r>
        <w:t xml:space="preserve">PC 1。</w:t>
      </w:r>
    </w:p>
  </w:footnote>
  <w:footnote w:id="1745">
    <w:p>
      <w:pPr>
        <w:pStyle w:val="FootnoteText"/>
      </w:pPr>
      <w:r>
        <w:rPr>
          <w:rStyle w:val="FootnoteReference"/>
        </w:rPr>
        <w:footnoteRef/>
      </w:r>
      <w:r>
        <w:t xml:space="preserve"> </w:t>
      </w:r>
      <w:r>
        <w:t xml:space="preserve">CIC，can. 605。</w:t>
      </w:r>
    </w:p>
  </w:footnote>
  <w:footnote w:id="1746">
    <w:p>
      <w:pPr>
        <w:pStyle w:val="FootnoteText"/>
      </w:pPr>
      <w:r>
        <w:rPr>
          <w:rStyle w:val="FootnoteReference"/>
        </w:rPr>
        <w:footnoteRef/>
      </w:r>
      <w:r>
        <w:t xml:space="preserve"> </w:t>
      </w:r>
      <w:r>
        <w:t xml:space="preserve">CIC，can. 603 § 1。</w:t>
      </w:r>
    </w:p>
  </w:footnote>
  <w:footnote w:id="1747">
    <w:p>
      <w:pPr>
        <w:pStyle w:val="FootnoteText"/>
      </w:pPr>
      <w:r>
        <w:rPr>
          <w:rStyle w:val="FootnoteReference"/>
        </w:rPr>
        <w:footnoteRef/>
      </w:r>
      <w:r>
        <w:t xml:space="preserve"> </w:t>
      </w:r>
      <w:r>
        <w:t xml:space="preserve">《教会法典》604 条 1 款；《童贞献身礼》序言 2。</w:t>
      </w:r>
    </w:p>
  </w:footnote>
  <w:footnote w:id="1748">
    <w:p>
      <w:pPr>
        <w:pStyle w:val="FootnoteText"/>
      </w:pPr>
      <w:r>
        <w:rPr>
          <w:rStyle w:val="FootnoteReference"/>
        </w:rPr>
        <w:footnoteRef/>
      </w:r>
      <w:r>
        <w:t xml:space="preserve"> </w:t>
      </w:r>
      <w:r>
        <w:t xml:space="preserve">《教会法典》604 条 2 款。</w:t>
      </w:r>
    </w:p>
  </w:footnote>
  <w:footnote w:id="1749">
    <w:p>
      <w:pPr>
        <w:pStyle w:val="FootnoteText"/>
      </w:pPr>
      <w:r>
        <w:rPr>
          <w:rStyle w:val="FootnoteReference"/>
        </w:rPr>
        <w:footnoteRef/>
      </w:r>
      <w:r>
        <w:t xml:space="preserve"> </w:t>
      </w:r>
      <w:r>
        <w:t xml:space="preserve">《教会法典》607 条；573 条；《教会合一法令》15。</w:t>
      </w:r>
    </w:p>
  </w:footnote>
  <w:footnote w:id="1750">
    <w:p>
      <w:pPr>
        <w:pStyle w:val="FootnoteText"/>
      </w:pPr>
      <w:r>
        <w:rPr>
          <w:rStyle w:val="FootnoteReference"/>
        </w:rPr>
        <w:footnoteRef/>
      </w:r>
      <w:r>
        <w:t xml:space="preserve"> </w:t>
      </w:r>
      <w:r>
        <w:t xml:space="preserve">《论主教牧职》33-35；《教会法典》591 条。</w:t>
      </w:r>
    </w:p>
  </w:footnote>
  <w:footnote w:id="1751">
    <w:p>
      <w:pPr>
        <w:pStyle w:val="FootnoteText"/>
      </w:pPr>
      <w:r>
        <w:rPr>
          <w:rStyle w:val="FootnoteReference"/>
        </w:rPr>
        <w:footnoteRef/>
      </w:r>
      <w:r>
        <w:t xml:space="preserve"> </w:t>
      </w:r>
      <w:r>
        <w:t xml:space="preserve">《论教会传教工作》18；40。</w:t>
      </w:r>
    </w:p>
  </w:footnote>
  <w:footnote w:id="1752">
    <w:p>
      <w:pPr>
        <w:pStyle w:val="FootnoteText"/>
      </w:pPr>
      <w:r>
        <w:rPr>
          <w:rStyle w:val="FootnoteReference"/>
        </w:rPr>
        <w:footnoteRef/>
      </w:r>
      <w:r>
        <w:t xml:space="preserve"> </w:t>
      </w:r>
      <w:r>
        <w:t xml:space="preserve">若望保禄二世，《救主的使命》69。</w:t>
      </w:r>
    </w:p>
  </w:footnote>
  <w:footnote w:id="1753">
    <w:p>
      <w:pPr>
        <w:pStyle w:val="FootnoteText"/>
      </w:pPr>
      <w:r>
        <w:rPr>
          <w:rStyle w:val="FootnoteReference"/>
        </w:rPr>
        <w:footnoteRef/>
      </w:r>
      <w:r>
        <w:t xml:space="preserve"> </w:t>
      </w:r>
      <w:r>
        <w:t xml:space="preserve">《教会法典》710 条。</w:t>
      </w:r>
    </w:p>
  </w:footnote>
  <w:footnote w:id="1754">
    <w:p>
      <w:pPr>
        <w:pStyle w:val="FootnoteText"/>
      </w:pPr>
      <w:r>
        <w:rPr>
          <w:rStyle w:val="FootnoteReference"/>
        </w:rPr>
        <w:footnoteRef/>
      </w:r>
      <w:r>
        <w:t xml:space="preserve"> </w:t>
      </w:r>
      <w:r>
        <w:t xml:space="preserve">庇护十二世，《慈母训令》；参《论修会生活的革新》11。</w:t>
      </w:r>
    </w:p>
  </w:footnote>
  <w:footnote w:id="1755">
    <w:p>
      <w:pPr>
        <w:pStyle w:val="FootnoteText"/>
      </w:pPr>
      <w:r>
        <w:rPr>
          <w:rStyle w:val="FootnoteReference"/>
        </w:rPr>
        <w:footnoteRef/>
      </w:r>
      <w:r>
        <w:t xml:space="preserve"> </w:t>
      </w:r>
      <w:r>
        <w:t xml:space="preserve">《教会法典》713 条 2 款。</w:t>
      </w:r>
    </w:p>
  </w:footnote>
  <w:footnote w:id="1756">
    <w:p>
      <w:pPr>
        <w:pStyle w:val="FootnoteText"/>
      </w:pPr>
      <w:r>
        <w:rPr>
          <w:rStyle w:val="FootnoteReference"/>
        </w:rPr>
        <w:footnoteRef/>
      </w:r>
      <w:r>
        <w:t xml:space="preserve"> </w:t>
      </w:r>
      <w:r>
        <w:t xml:space="preserve">《教会宪章》31 条 2 款。</w:t>
      </w:r>
    </w:p>
  </w:footnote>
  <w:footnote w:id="1757">
    <w:p>
      <w:pPr>
        <w:pStyle w:val="FootnoteText"/>
      </w:pPr>
      <w:r>
        <w:rPr>
          <w:rStyle w:val="FootnoteReference"/>
        </w:rPr>
        <w:footnoteRef/>
      </w:r>
      <w:r>
        <w:t xml:space="preserve"> </w:t>
      </w:r>
      <w:r>
        <w:t xml:space="preserve">《教会宪章》44 条 3 款。</w:t>
      </w:r>
    </w:p>
  </w:footnote>
  <w:footnote w:id="1759">
    <w:p>
      <w:pPr>
        <w:pStyle w:val="FootnoteText"/>
      </w:pPr>
      <w:r>
        <w:rPr>
          <w:rStyle w:val="FootnoteReference"/>
        </w:rPr>
        <w:footnoteRef/>
      </w:r>
      <w:r>
        <w:t xml:space="preserve"> </w:t>
      </w:r>
      <w:r>
        <w:t xml:space="preserve">《平信徒传教法令》2 条 2 款。</w:t>
      </w:r>
    </w:p>
  </w:footnote>
  <w:footnote w:id="1760">
    <w:p>
      <w:pPr>
        <w:pStyle w:val="FootnoteText"/>
      </w:pPr>
      <w:r>
        <w:rPr>
          <w:rStyle w:val="FootnoteReference"/>
        </w:rPr>
        <w:footnoteRef/>
      </w:r>
      <w:r>
        <w:t xml:space="preserve"> </w:t>
      </w:r>
      <w:r>
        <w:t xml:space="preserve">《教会在现代世界牧职宪章》43 条 4 款。</w:t>
      </w:r>
    </w:p>
  </w:footnote>
  <w:footnote w:id="1763">
    <w:p>
      <w:pPr>
        <w:pStyle w:val="FootnoteText"/>
      </w:pPr>
      <w:r>
        <w:rPr>
          <w:rStyle w:val="FootnoteReference"/>
        </w:rPr>
        <w:footnoteRef/>
      </w:r>
      <w:r>
        <w:t xml:space="preserve"> </w:t>
      </w:r>
      <w:r>
        <w:t xml:space="preserve">Nicetas, Expl. Symb., 10:PL 52:871B.</w:t>
      </w:r>
    </w:p>
  </w:footnote>
  <w:footnote w:id="1764">
    <w:p>
      <w:pPr>
        <w:pStyle w:val="FootnoteText"/>
      </w:pPr>
      <w:r>
        <w:rPr>
          <w:rStyle w:val="FootnoteReference"/>
        </w:rPr>
        <w:footnoteRef/>
      </w:r>
      <w:r>
        <w:t xml:space="preserve"> </w:t>
      </w:r>
      <w:r>
        <w:t xml:space="preserve">圣托马斯阿奎那，Symb., 10.</w:t>
      </w:r>
    </w:p>
  </w:footnote>
  <w:footnote w:id="1765">
    <w:p>
      <w:pPr>
        <w:pStyle w:val="FootnoteText"/>
      </w:pPr>
      <w:r>
        <w:rPr>
          <w:rStyle w:val="FootnoteReference"/>
        </w:rPr>
        <w:footnoteRef/>
      </w:r>
      <w:r>
        <w:t xml:space="preserve"> </w:t>
      </w:r>
      <w:r>
        <w:t xml:space="preserve">罗马教理 I, 10,24.</w:t>
      </w:r>
    </w:p>
  </w:footnote>
  <w:footnote w:id="1766">
    <w:p>
      <w:pPr>
        <w:pStyle w:val="FootnoteText"/>
      </w:pPr>
      <w:r>
        <w:rPr>
          <w:rStyle w:val="FootnoteReference"/>
        </w:rPr>
        <w:footnoteRef/>
      </w:r>
      <w:r>
        <w:t xml:space="preserve"> </w:t>
      </w:r>
      <w:r>
        <w:t xml:space="preserve">使徒行传 2:42</w:t>
      </w:r>
    </w:p>
  </w:footnote>
  <w:footnote w:id="1767">
    <w:p>
      <w:pPr>
        <w:pStyle w:val="FootnoteText"/>
      </w:pPr>
      <w:r>
        <w:rPr>
          <w:rStyle w:val="FootnoteReference"/>
        </w:rPr>
        <w:footnoteRef/>
      </w:r>
      <w:r>
        <w:t xml:space="preserve"> </w:t>
      </w:r>
      <w:r>
        <w:t xml:space="preserve">罗马教理 I, 10,24.</w:t>
      </w:r>
    </w:p>
  </w:footnote>
  <w:footnote w:id="1768">
    <w:p>
      <w:pPr>
        <w:pStyle w:val="FootnoteText"/>
      </w:pPr>
      <w:r>
        <w:rPr>
          <w:rStyle w:val="FootnoteReference"/>
        </w:rPr>
        <w:footnoteRef/>
      </w:r>
      <w:r>
        <w:t xml:space="preserve"> </w:t>
      </w:r>
      <w:r>
        <w:t xml:space="preserve">LG 12 § 2.</w:t>
      </w:r>
    </w:p>
  </w:footnote>
  <w:footnote w:id="1769">
    <w:p>
      <w:pPr>
        <w:pStyle w:val="FootnoteText"/>
      </w:pPr>
      <w:r>
        <w:rPr>
          <w:rStyle w:val="FootnoteReference"/>
        </w:rPr>
        <w:footnoteRef/>
      </w:r>
      <w:r>
        <w:t xml:space="preserve"> </w:t>
      </w:r>
      <w:r>
        <w:t xml:space="preserve">哥林多前书 12:7</w:t>
      </w:r>
    </w:p>
  </w:footnote>
  <w:footnote w:id="1770">
    <w:p>
      <w:pPr>
        <w:pStyle w:val="FootnoteText"/>
      </w:pPr>
      <w:r>
        <w:rPr>
          <w:rStyle w:val="FootnoteReference"/>
        </w:rPr>
        <w:footnoteRef/>
      </w:r>
      <w:r>
        <w:t xml:space="preserve"> </w:t>
      </w:r>
      <w:r>
        <w:t xml:space="preserve">使徒行传 4:32</w:t>
      </w:r>
    </w:p>
  </w:footnote>
  <w:footnote w:id="1771">
    <w:p>
      <w:pPr>
        <w:pStyle w:val="FootnoteText"/>
      </w:pPr>
      <w:r>
        <w:rPr>
          <w:rStyle w:val="FootnoteReference"/>
        </w:rPr>
        <w:footnoteRef/>
      </w:r>
      <w:r>
        <w:t xml:space="preserve"> </w:t>
      </w:r>
      <w:r>
        <w:t xml:space="preserve">罗马教理 I, 10,27.</w:t>
      </w:r>
    </w:p>
  </w:footnote>
  <w:footnote w:id="1772">
    <w:p>
      <w:pPr>
        <w:pStyle w:val="FootnoteText"/>
      </w:pPr>
      <w:r>
        <w:rPr>
          <w:rStyle w:val="FootnoteReference"/>
        </w:rPr>
        <w:footnoteRef/>
      </w:r>
      <w:r>
        <w:t xml:space="preserve"> </w:t>
      </w:r>
      <w:r>
        <w:t xml:space="preserve">参见路加福音 16:1, 3</w:t>
      </w:r>
    </w:p>
  </w:footnote>
  <w:footnote w:id="1773">
    <w:p>
      <w:pPr>
        <w:pStyle w:val="FootnoteText"/>
      </w:pPr>
      <w:r>
        <w:rPr>
          <w:rStyle w:val="FootnoteReference"/>
        </w:rPr>
        <w:footnoteRef/>
      </w:r>
      <w:r>
        <w:t xml:space="preserve"> </w:t>
      </w:r>
      <w:r>
        <w:t xml:space="preserve">罗马书 14:7</w:t>
      </w:r>
    </w:p>
  </w:footnote>
  <w:footnote w:id="1774">
    <w:p>
      <w:pPr>
        <w:pStyle w:val="FootnoteText"/>
      </w:pPr>
      <w:r>
        <w:rPr>
          <w:rStyle w:val="FootnoteReference"/>
        </w:rPr>
        <w:footnoteRef/>
      </w:r>
      <w:r>
        <w:t xml:space="preserve"> </w:t>
      </w:r>
      <w:r>
        <w:t xml:space="preserve">哥林多前书 12:26-27</w:t>
      </w:r>
    </w:p>
  </w:footnote>
  <w:footnote w:id="1775">
    <w:p>
      <w:pPr>
        <w:pStyle w:val="FootnoteText"/>
      </w:pPr>
      <w:r>
        <w:rPr>
          <w:rStyle w:val="FootnoteReference"/>
        </w:rPr>
        <w:footnoteRef/>
      </w:r>
      <w:r>
        <w:t xml:space="preserve"> </w:t>
      </w:r>
      <w:r>
        <w:t xml:space="preserve">哥林多前书 13:5；参见 10:24</w:t>
      </w:r>
    </w:p>
  </w:footnote>
  <w:footnote w:id="1777">
    <w:p>
      <w:pPr>
        <w:pStyle w:val="FootnoteText"/>
      </w:pPr>
      <w:r>
        <w:rPr>
          <w:rStyle w:val="FootnoteReference"/>
        </w:rPr>
        <w:footnoteRef/>
      </w:r>
      <w:r>
        <w:t xml:space="preserve"> </w:t>
      </w:r>
      <w:r>
        <w:t xml:space="preserve">LG 49；参见玛窦福音 25:31；哥林多前书 15:26-27；佛罗伦萨大公会议（1439）：DS 1305</w:t>
      </w:r>
    </w:p>
  </w:footnote>
  <w:footnote w:id="1778">
    <w:p>
      <w:pPr>
        <w:pStyle w:val="FootnoteText"/>
      </w:pPr>
      <w:r>
        <w:rPr>
          <w:rStyle w:val="FootnoteReference"/>
        </w:rPr>
        <w:footnoteRef/>
      </w:r>
      <w:r>
        <w:t xml:space="preserve"> </w:t>
      </w:r>
      <w:r>
        <w:t xml:space="preserve">LG 49；参见以弗所书 4:16</w:t>
      </w:r>
    </w:p>
  </w:footnote>
  <w:footnote w:id="1779">
    <w:p>
      <w:pPr>
        <w:pStyle w:val="FootnoteText"/>
      </w:pPr>
      <w:r>
        <w:rPr>
          <w:rStyle w:val="FootnoteReference"/>
        </w:rPr>
        <w:footnoteRef/>
      </w:r>
      <w:r>
        <w:t xml:space="preserve"> </w:t>
      </w:r>
      <w:r>
        <w:t xml:space="preserve">LG 49</w:t>
      </w:r>
    </w:p>
  </w:footnote>
  <w:footnote w:id="1780">
    <w:p>
      <w:pPr>
        <w:pStyle w:val="FootnoteText"/>
      </w:pPr>
      <w:r>
        <w:rPr>
          <w:rStyle w:val="FootnoteReference"/>
        </w:rPr>
        <w:footnoteRef/>
      </w:r>
      <w:r>
        <w:t xml:space="preserve"> </w:t>
      </w:r>
      <w:r>
        <w:t xml:space="preserve">LG 49；参见提摩太前书 2:5</w:t>
      </w:r>
    </w:p>
  </w:footnote>
  <w:footnote w:id="1781">
    <w:p>
      <w:pPr>
        <w:pStyle w:val="FootnoteText"/>
      </w:pPr>
      <w:r>
        <w:rPr>
          <w:rStyle w:val="FootnoteReference"/>
        </w:rPr>
        <w:footnoteRef/>
      </w:r>
      <w:r>
        <w:t xml:space="preserve"> </w:t>
      </w:r>
      <w:r>
        <w:t xml:space="preserve">圣道明临终时对弟兄们的遗言。</w:t>
      </w:r>
    </w:p>
  </w:footnote>
  <w:footnote w:id="1782">
    <w:p>
      <w:pPr>
        <w:pStyle w:val="FootnoteText"/>
      </w:pPr>
      <w:r>
        <w:rPr>
          <w:rStyle w:val="FootnoteReference"/>
        </w:rPr>
        <w:footnoteRef/>
      </w:r>
      <w:r>
        <w:t xml:space="preserve"> </w:t>
      </w:r>
      <w:r>
        <w:t xml:space="preserve">圣道明临终时对他的弟兄们说</w:t>
      </w:r>
    </w:p>
  </w:footnote>
  <w:footnote w:id="1783">
    <w:p>
      <w:pPr>
        <w:pStyle w:val="FootnoteText"/>
      </w:pPr>
      <w:r>
        <w:rPr>
          <w:rStyle w:val="FootnoteReference"/>
        </w:rPr>
        <w:footnoteRef/>
      </w:r>
      <w:r>
        <w:t xml:space="preserve"> </w:t>
      </w:r>
      <w:r>
        <w:t xml:space="preserve">利雪的圣德兰，《最后谈话》，约翰·克拉克译（华盛顿：ICS，1977），102</w:t>
      </w:r>
    </w:p>
  </w:footnote>
  <w:footnote w:id="1784">
    <w:p>
      <w:pPr>
        <w:pStyle w:val="FootnoteText"/>
      </w:pPr>
      <w:r>
        <w:rPr>
          <w:rStyle w:val="FootnoteReference"/>
        </w:rPr>
        <w:footnoteRef/>
      </w:r>
      <w:r>
        <w:t xml:space="preserve"> </w:t>
      </w:r>
      <w:r>
        <w:t xml:space="preserve">LG 50；参见以弗所书 4:1-6</w:t>
      </w:r>
    </w:p>
  </w:footnote>
  <w:footnote w:id="1785">
    <w:p>
      <w:pPr>
        <w:pStyle w:val="FootnoteText"/>
      </w:pPr>
      <w:r>
        <w:rPr>
          <w:rStyle w:val="FootnoteReference"/>
        </w:rPr>
        <w:footnoteRef/>
      </w:r>
      <w:r>
        <w:t xml:space="preserve"> </w:t>
      </w:r>
      <w:r>
        <w:t xml:space="preserve">波利卡普殉道记，17：宗徒教父文集 II/3,396</w:t>
      </w:r>
    </w:p>
  </w:footnote>
  <w:footnote w:id="1786">
    <w:p>
      <w:pPr>
        <w:pStyle w:val="FootnoteText"/>
      </w:pPr>
      <w:r>
        <w:rPr>
          <w:rStyle w:val="FootnoteReference"/>
        </w:rPr>
        <w:footnoteRef/>
      </w:r>
      <w:r>
        <w:t xml:space="preserve"> </w:t>
      </w:r>
      <w:r>
        <w:t xml:space="preserve">LG 50；参见玛加伯下 12:45</w:t>
      </w:r>
    </w:p>
  </w:footnote>
  <w:footnote w:id="1787">
    <w:p>
      <w:pPr>
        <w:pStyle w:val="FootnoteText"/>
      </w:pPr>
      <w:r>
        <w:rPr>
          <w:rStyle w:val="FootnoteReference"/>
        </w:rPr>
        <w:footnoteRef/>
      </w:r>
      <w:r>
        <w:t xml:space="preserve"> </w:t>
      </w:r>
      <w:r>
        <w:t xml:space="preserve">LG 51；参见希伯来书 3:6</w:t>
      </w:r>
    </w:p>
  </w:footnote>
  <w:footnote w:id="1791">
    <w:p>
      <w:pPr>
        <w:pStyle w:val="FootnoteText"/>
      </w:pPr>
      <w:r>
        <w:rPr>
          <w:rStyle w:val="FootnoteReference"/>
        </w:rPr>
        <w:footnoteRef/>
      </w:r>
      <w:r>
        <w:t xml:space="preserve"> </w:t>
      </w:r>
      <w:r>
        <w:t xml:space="preserve">《教会宪章》53；参阅圣奥古斯丁，《论童贞》6:PL 40,399。</w:t>
      </w:r>
    </w:p>
  </w:footnote>
  <w:footnote w:id="1792">
    <w:p>
      <w:pPr>
        <w:pStyle w:val="FootnoteText"/>
      </w:pPr>
      <w:r>
        <w:rPr>
          <w:rStyle w:val="FootnoteReference"/>
        </w:rPr>
        <w:footnoteRef/>
      </w:r>
      <w:r>
        <w:t xml:space="preserve"> </w:t>
      </w:r>
      <w:r>
        <w:t xml:space="preserve">保禄六世，讲道，1964 年 11 月 21 日。</w:t>
      </w:r>
    </w:p>
  </w:footnote>
  <w:footnote w:id="1793">
    <w:p>
      <w:pPr>
        <w:pStyle w:val="FootnoteText"/>
      </w:pPr>
      <w:r>
        <w:rPr>
          <w:rStyle w:val="FootnoteReference"/>
        </w:rPr>
        <w:footnoteRef/>
      </w:r>
      <w:r>
        <w:t xml:space="preserve"> </w:t>
      </w:r>
      <w:r>
        <w:t xml:space="preserve">《教会宪章》57。</w:t>
      </w:r>
    </w:p>
  </w:footnote>
  <w:footnote w:id="1794">
    <w:p>
      <w:pPr>
        <w:pStyle w:val="FootnoteText"/>
      </w:pPr>
      <w:r>
        <w:rPr>
          <w:rStyle w:val="FootnoteReference"/>
        </w:rPr>
        <w:footnoteRef/>
      </w:r>
      <w:r>
        <w:t xml:space="preserve"> </w:t>
      </w:r>
      <w:r>
        <w:t xml:space="preserve">《教会宪章》58；参阅约 19:26-27。</w:t>
      </w:r>
    </w:p>
  </w:footnote>
  <w:footnote w:id="1795">
    <w:p>
      <w:pPr>
        <w:pStyle w:val="FootnoteText"/>
      </w:pPr>
      <w:r>
        <w:rPr>
          <w:rStyle w:val="FootnoteReference"/>
        </w:rPr>
        <w:footnoteRef/>
      </w:r>
      <w:r>
        <w:t xml:space="preserve"> </w:t>
      </w:r>
      <w:r>
        <w:t xml:space="preserve">《教会宪章》69。</w:t>
      </w:r>
    </w:p>
  </w:footnote>
  <w:footnote w:id="1796">
    <w:p>
      <w:pPr>
        <w:pStyle w:val="FootnoteText"/>
      </w:pPr>
      <w:r>
        <w:rPr>
          <w:rStyle w:val="FootnoteReference"/>
        </w:rPr>
        <w:footnoteRef/>
      </w:r>
      <w:r>
        <w:t xml:space="preserve"> </w:t>
      </w:r>
      <w:r>
        <w:t xml:space="preserve">《教会宪章》59。</w:t>
      </w:r>
    </w:p>
  </w:footnote>
  <w:footnote w:id="1797">
    <w:p>
      <w:pPr>
        <w:pStyle w:val="FootnoteText"/>
      </w:pPr>
      <w:r>
        <w:rPr>
          <w:rStyle w:val="FootnoteReference"/>
        </w:rPr>
        <w:footnoteRef/>
      </w:r>
      <w:r>
        <w:t xml:space="preserve"> </w:t>
      </w:r>
      <w:r>
        <w:t xml:space="preserve">《教会宪章》59；参阅庇护十二世，《最慷慨的神》（1950）：DS 3903；参阅启 19:16。</w:t>
      </w:r>
    </w:p>
  </w:footnote>
  <w:footnote w:id="1798">
    <w:p>
      <w:pPr>
        <w:pStyle w:val="FootnoteText"/>
      </w:pPr>
      <w:r>
        <w:rPr>
          <w:rStyle w:val="FootnoteReference"/>
        </w:rPr>
        <w:footnoteRef/>
      </w:r>
      <w:r>
        <w:t xml:space="preserve"> </w:t>
      </w:r>
      <w:r>
        <w:t xml:space="preserve">拜占庭礼仪，圣颂，圣母安息瞻礼，8 月 15 日。</w:t>
      </w:r>
    </w:p>
  </w:footnote>
  <w:footnote w:id="1799">
    <w:p>
      <w:pPr>
        <w:pStyle w:val="FootnoteText"/>
      </w:pPr>
      <w:r>
        <w:rPr>
          <w:rStyle w:val="FootnoteReference"/>
        </w:rPr>
        <w:footnoteRef/>
      </w:r>
      <w:r>
        <w:t xml:space="preserve"> </w:t>
      </w:r>
      <w:r>
        <w:t xml:space="preserve">《教会宪章》53；63。</w:t>
      </w:r>
    </w:p>
  </w:footnote>
  <w:footnote w:id="1800">
    <w:p>
      <w:pPr>
        <w:pStyle w:val="FootnoteText"/>
      </w:pPr>
      <w:r>
        <w:rPr>
          <w:rStyle w:val="FootnoteReference"/>
        </w:rPr>
        <w:footnoteRef/>
      </w:r>
      <w:r>
        <w:t xml:space="preserve"> </w:t>
      </w:r>
      <w:r>
        <w:t xml:space="preserve">《教会宪章》61。</w:t>
      </w:r>
    </w:p>
  </w:footnote>
  <w:footnote w:id="1801">
    <w:p>
      <w:pPr>
        <w:pStyle w:val="FootnoteText"/>
      </w:pPr>
      <w:r>
        <w:rPr>
          <w:rStyle w:val="FootnoteReference"/>
        </w:rPr>
        <w:footnoteRef/>
      </w:r>
      <w:r>
        <w:t xml:space="preserve"> </w:t>
      </w:r>
      <w:r>
        <w:t xml:space="preserve">《教会宪章》62。</w:t>
      </w:r>
    </w:p>
  </w:footnote>
  <w:footnote w:id="1802">
    <w:p>
      <w:pPr>
        <w:pStyle w:val="FootnoteText"/>
      </w:pPr>
      <w:r>
        <w:rPr>
          <w:rStyle w:val="FootnoteReference"/>
        </w:rPr>
        <w:footnoteRef/>
      </w:r>
      <w:r>
        <w:t xml:space="preserve"> </w:t>
      </w:r>
      <w:r>
        <w:t xml:space="preserve">《教会宪章》60。</w:t>
      </w:r>
    </w:p>
  </w:footnote>
  <w:footnote w:id="1803">
    <w:p>
      <w:pPr>
        <w:pStyle w:val="FootnoteText"/>
      </w:pPr>
      <w:r>
        <w:rPr>
          <w:rStyle w:val="FootnoteReference"/>
        </w:rPr>
        <w:footnoteRef/>
      </w:r>
      <w:r>
        <w:t xml:space="preserve"> </w:t>
      </w:r>
      <w:r>
        <w:t xml:space="preserve">《教会宪章》62。</w:t>
      </w:r>
    </w:p>
  </w:footnote>
  <w:footnote w:id="1805">
    <w:p>
      <w:pPr>
        <w:pStyle w:val="FootnoteText"/>
      </w:pPr>
      <w:r>
        <w:rPr>
          <w:rStyle w:val="FootnoteReference"/>
        </w:rPr>
        <w:footnoteRef/>
      </w:r>
      <w:r>
        <w:t xml:space="preserve"> </w:t>
      </w:r>
      <w:r>
        <w:t xml:space="preserve">路 1:48；保禄六世，《童贞马利亚敬奉》56。</w:t>
      </w:r>
    </w:p>
  </w:footnote>
  <w:footnote w:id="1806">
    <w:p>
      <w:pPr>
        <w:pStyle w:val="FootnoteText"/>
      </w:pPr>
      <w:r>
        <w:rPr>
          <w:rStyle w:val="FootnoteReference"/>
        </w:rPr>
        <w:footnoteRef/>
      </w:r>
      <w:r>
        <w:t xml:space="preserve"> </w:t>
      </w:r>
      <w:r>
        <w:t xml:space="preserve">《教会宪章》66。</w:t>
      </w:r>
    </w:p>
  </w:footnote>
  <w:footnote w:id="1807">
    <w:p>
      <w:pPr>
        <w:pStyle w:val="FootnoteText"/>
      </w:pPr>
      <w:r>
        <w:rPr>
          <w:rStyle w:val="FootnoteReference"/>
        </w:rPr>
        <w:footnoteRef/>
      </w:r>
      <w:r>
        <w:t xml:space="preserve"> </w:t>
      </w:r>
      <w:r>
        <w:t xml:space="preserve">参阅保禄六世，《童贞马利亚敬奉》42；《礼仪宪章》103。</w:t>
      </w:r>
    </w:p>
  </w:footnote>
  <w:footnote w:id="1809">
    <w:p>
      <w:pPr>
        <w:pStyle w:val="FootnoteText"/>
      </w:pPr>
      <w:r>
        <w:rPr>
          <w:rStyle w:val="FootnoteReference"/>
        </w:rPr>
        <w:footnoteRef/>
      </w:r>
      <w:r>
        <w:t xml:space="preserve"> </w:t>
      </w:r>
      <w:r>
        <w:t xml:space="preserve">《教会宪章》69。</w:t>
      </w:r>
    </w:p>
  </w:footnote>
  <w:footnote w:id="1810">
    <w:p>
      <w:pPr>
        <w:pStyle w:val="FootnoteText"/>
      </w:pPr>
      <w:r>
        <w:rPr>
          <w:rStyle w:val="FootnoteReference"/>
        </w:rPr>
        <w:footnoteRef/>
      </w:r>
      <w:r>
        <w:t xml:space="preserve"> </w:t>
      </w:r>
      <w:r>
        <w:t xml:space="preserve">《教会宪章》68；参阅彼后 3:10。</w:t>
      </w:r>
    </w:p>
  </w:footnote>
  <w:footnote w:id="1815">
    <w:p>
      <w:pPr>
        <w:pStyle w:val="FootnoteText"/>
      </w:pPr>
      <w:r>
        <w:rPr>
          <w:rStyle w:val="FootnoteReference"/>
        </w:rPr>
        <w:footnoteRef/>
      </w:r>
      <w:r>
        <w:t xml:space="preserve"> </w:t>
      </w:r>
      <w:r>
        <w:t xml:space="preserve">约 20:22-23。</w:t>
      </w:r>
    </w:p>
  </w:footnote>
  <w:footnote w:id="1816">
    <w:p>
      <w:pPr>
        <w:pStyle w:val="FootnoteText"/>
      </w:pPr>
      <w:r>
        <w:rPr>
          <w:rStyle w:val="FootnoteReference"/>
        </w:rPr>
        <w:footnoteRef/>
      </w:r>
      <w:r>
        <w:t xml:space="preserve"> </w:t>
      </w:r>
      <w:r>
        <w:t xml:space="preserve">可 16:15-16。</w:t>
      </w:r>
    </w:p>
  </w:footnote>
  <w:footnote w:id="1817">
    <w:p>
      <w:pPr>
        <w:pStyle w:val="FootnoteText"/>
      </w:pPr>
      <w:r>
        <w:rPr>
          <w:rStyle w:val="FootnoteReference"/>
        </w:rPr>
        <w:footnoteRef/>
      </w:r>
      <w:r>
        <w:t xml:space="preserve"> </w:t>
      </w:r>
      <w:r>
        <w:t xml:space="preserve">罗 6:4；参 4:25。</w:t>
      </w:r>
    </w:p>
  </w:footnote>
  <w:footnote w:id="1818">
    <w:p>
      <w:pPr>
        <w:pStyle w:val="FootnoteText"/>
      </w:pPr>
      <w:r>
        <w:rPr>
          <w:rStyle w:val="FootnoteReference"/>
        </w:rPr>
        <w:footnoteRef/>
      </w:r>
      <w:r>
        <w:t xml:space="preserve"> </w:t>
      </w:r>
      <w:r>
        <w:t xml:space="preserve">《罗马教理》I, 11,3。</w:t>
      </w:r>
    </w:p>
  </w:footnote>
  <w:footnote w:id="1819">
    <w:p>
      <w:pPr>
        <w:pStyle w:val="FootnoteText"/>
      </w:pPr>
      <w:r>
        <w:rPr>
          <w:rStyle w:val="FootnoteReference"/>
        </w:rPr>
        <w:footnoteRef/>
      </w:r>
      <w:r>
        <w:t xml:space="preserve"> </w:t>
      </w:r>
      <w:r>
        <w:t xml:space="preserve">《罗马教理》I, 11,4。</w:t>
      </w:r>
    </w:p>
  </w:footnote>
  <w:footnote w:id="1820">
    <w:p>
      <w:pPr>
        <w:pStyle w:val="FootnoteText"/>
      </w:pPr>
      <w:r>
        <w:rPr>
          <w:rStyle w:val="FootnoteReference"/>
        </w:rPr>
        <w:footnoteRef/>
      </w:r>
      <w:r>
        <w:t xml:space="preserve"> </w:t>
      </w:r>
      <w:r>
        <w:t xml:space="preserve">特兰特大公会议（1551 年）：DS 1672；参纳齐安的圣额我略，《讲道集》39,17：PG 36,356。</w:t>
      </w:r>
    </w:p>
  </w:footnote>
  <w:footnote w:id="1822">
    <w:p>
      <w:pPr>
        <w:pStyle w:val="FootnoteText"/>
      </w:pPr>
      <w:r>
        <w:rPr>
          <w:rStyle w:val="FootnoteReference"/>
        </w:rPr>
        <w:footnoteRef/>
      </w:r>
      <w:r>
        <w:t xml:space="preserve"> </w:t>
      </w:r>
      <w:r>
        <w:t xml:space="preserve">路 24:47。</w:t>
      </w:r>
    </w:p>
  </w:footnote>
  <w:footnote w:id="1823">
    <w:p>
      <w:pPr>
        <w:pStyle w:val="FootnoteText"/>
      </w:pPr>
      <w:r>
        <w:rPr>
          <w:rStyle w:val="FootnoteReference"/>
        </w:rPr>
        <w:footnoteRef/>
      </w:r>
      <w:r>
        <w:t xml:space="preserve"> </w:t>
      </w:r>
      <w:r>
        <w:t xml:space="preserve">林后 5:18。</w:t>
      </w:r>
    </w:p>
  </w:footnote>
  <w:footnote w:id="1824">
    <w:p>
      <w:pPr>
        <w:pStyle w:val="FootnoteText"/>
      </w:pPr>
      <w:r>
        <w:rPr>
          <w:rStyle w:val="FootnoteReference"/>
        </w:rPr>
        <w:footnoteRef/>
      </w:r>
      <w:r>
        <w:t xml:space="preserve"> </w:t>
      </w:r>
      <w:r>
        <w:t xml:space="preserve">圣奥古斯丁，《讲道集》214,11：PL 38,1071-1072。</w:t>
      </w:r>
    </w:p>
  </w:footnote>
  <w:footnote w:id="1825">
    <w:p>
      <w:pPr>
        <w:pStyle w:val="FootnoteText"/>
      </w:pPr>
      <w:r>
        <w:rPr>
          <w:rStyle w:val="FootnoteReference"/>
        </w:rPr>
        <w:footnoteRef/>
      </w:r>
      <w:r>
        <w:t xml:space="preserve"> </w:t>
      </w:r>
      <w:r>
        <w:t xml:space="preserve">《罗马教理》I, 11,5。</w:t>
      </w:r>
    </w:p>
  </w:footnote>
  <w:footnote w:id="1826">
    <w:p>
      <w:pPr>
        <w:pStyle w:val="FootnoteText"/>
      </w:pPr>
      <w:r>
        <w:rPr>
          <w:rStyle w:val="FootnoteReference"/>
        </w:rPr>
        <w:footnoteRef/>
      </w:r>
      <w:r>
        <w:t xml:space="preserve"> </w:t>
      </w:r>
      <w:r>
        <w:t xml:space="preserve">参玛 18:21-22。</w:t>
      </w:r>
    </w:p>
  </w:footnote>
  <w:footnote w:id="1827">
    <w:p>
      <w:pPr>
        <w:pStyle w:val="FootnoteText"/>
      </w:pPr>
      <w:r>
        <w:rPr>
          <w:rStyle w:val="FootnoteReference"/>
        </w:rPr>
        <w:footnoteRef/>
      </w:r>
      <w:r>
        <w:t xml:space="preserve"> </w:t>
      </w:r>
      <w:r>
        <w:t xml:space="preserve">参圣安波罗修，《论忏悔》I, 15:PL 16,490。</w:t>
      </w:r>
    </w:p>
  </w:footnote>
  <w:footnote w:id="1828">
    <w:p>
      <w:pPr>
        <w:pStyle w:val="FootnoteText"/>
      </w:pPr>
      <w:r>
        <w:rPr>
          <w:rStyle w:val="FootnoteReference"/>
        </w:rPr>
        <w:footnoteRef/>
      </w:r>
      <w:r>
        <w:t xml:space="preserve"> </w:t>
      </w:r>
      <w:r>
        <w:t xml:space="preserve">圣金口约翰，《论祭司职》3, 5:PG 48,643。</w:t>
      </w:r>
    </w:p>
  </w:footnote>
  <w:footnote w:id="1829">
    <w:p>
      <w:pPr>
        <w:pStyle w:val="FootnoteText"/>
      </w:pPr>
      <w:r>
        <w:rPr>
          <w:rStyle w:val="FootnoteReference"/>
        </w:rPr>
        <w:footnoteRef/>
      </w:r>
      <w:r>
        <w:t xml:space="preserve"> </w:t>
      </w:r>
      <w:r>
        <w:t xml:space="preserve">参圣安波罗修，《悔罪论》I, 15：PL 16,490。</w:t>
      </w:r>
    </w:p>
  </w:footnote>
  <w:footnote w:id="1830">
    <w:p>
      <w:pPr>
        <w:pStyle w:val="FootnoteText"/>
      </w:pPr>
      <w:r>
        <w:rPr>
          <w:rStyle w:val="FootnoteReference"/>
        </w:rPr>
        <w:footnoteRef/>
      </w:r>
      <w:r>
        <w:t xml:space="preserve"> </w:t>
      </w:r>
      <w:r>
        <w:t xml:space="preserve">屈梭多模，《论司祭》3,5：PG 48,643。</w:t>
      </w:r>
    </w:p>
  </w:footnote>
  <w:footnote w:id="1831">
    <w:p>
      <w:pPr>
        <w:pStyle w:val="FootnoteText"/>
      </w:pPr>
      <w:r>
        <w:rPr>
          <w:rStyle w:val="FootnoteReference"/>
        </w:rPr>
        <w:footnoteRef/>
      </w:r>
      <w:r>
        <w:t xml:space="preserve"> </w:t>
      </w:r>
      <w:r>
        <w:t xml:space="preserve">圣奥古斯丁，《讲道集》213, 8：PL 38,1064。</w:t>
      </w:r>
    </w:p>
  </w:footnote>
  <w:footnote w:id="1835">
    <w:p>
      <w:pPr>
        <w:pStyle w:val="FootnoteText"/>
      </w:pPr>
      <w:r>
        <w:rPr>
          <w:rStyle w:val="FootnoteReference"/>
        </w:rPr>
        <w:footnoteRef/>
      </w:r>
      <w:r>
        <w:t xml:space="preserve"> </w:t>
      </w:r>
      <w:r>
        <w:t xml:space="preserve">参约 6:39-40。</w:t>
      </w:r>
    </w:p>
  </w:footnote>
  <w:footnote w:id="1836">
    <w:p>
      <w:pPr>
        <w:pStyle w:val="FootnoteText"/>
      </w:pPr>
      <w:r>
        <w:rPr>
          <w:rStyle w:val="FootnoteReference"/>
        </w:rPr>
        <w:footnoteRef/>
      </w:r>
      <w:r>
        <w:t xml:space="preserve"> </w:t>
      </w:r>
      <w:r>
        <w:t xml:space="preserve">罗 8:11；参帖前 4:14；林前 6:14；林后 4:14；腓 3:10-11。</w:t>
      </w:r>
    </w:p>
  </w:footnote>
  <w:footnote w:id="1837">
    <w:p>
      <w:pPr>
        <w:pStyle w:val="FootnoteText"/>
      </w:pPr>
      <w:r>
        <w:rPr>
          <w:rStyle w:val="FootnoteReference"/>
        </w:rPr>
        <w:footnoteRef/>
      </w:r>
      <w:r>
        <w:t xml:space="preserve"> </w:t>
      </w:r>
      <w:r>
        <w:t xml:space="preserve">参创 6:3；诗 56:5；赛 40:6。</w:t>
      </w:r>
    </w:p>
  </w:footnote>
  <w:footnote w:id="1838">
    <w:p>
      <w:pPr>
        <w:pStyle w:val="FootnoteText"/>
      </w:pPr>
      <w:r>
        <w:rPr>
          <w:rStyle w:val="FootnoteReference"/>
        </w:rPr>
        <w:footnoteRef/>
      </w:r>
      <w:r>
        <w:t xml:space="preserve"> </w:t>
      </w:r>
      <w:r>
        <w:t xml:space="preserve">罗 8:11。</w:t>
      </w:r>
    </w:p>
  </w:footnote>
  <w:footnote w:id="1839">
    <w:p>
      <w:pPr>
        <w:pStyle w:val="FootnoteText"/>
      </w:pPr>
      <w:r>
        <w:rPr>
          <w:rStyle w:val="FootnoteReference"/>
        </w:rPr>
        <w:footnoteRef/>
      </w:r>
      <w:r>
        <w:t xml:space="preserve"> </w:t>
      </w:r>
      <w:r>
        <w:t xml:space="preserve">特土良，《论复活》1,1：PL 2,841。</w:t>
      </w:r>
    </w:p>
  </w:footnote>
  <w:footnote w:id="1840">
    <w:p>
      <w:pPr>
        <w:pStyle w:val="FootnoteText"/>
      </w:pPr>
      <w:r>
        <w:rPr>
          <w:rStyle w:val="FootnoteReference"/>
        </w:rPr>
        <w:footnoteRef/>
      </w:r>
      <w:r>
        <w:t xml:space="preserve"> </w:t>
      </w:r>
      <w:r>
        <w:t xml:space="preserve">林前 15:12-14。</w:t>
      </w:r>
    </w:p>
  </w:footnote>
  <w:footnote w:id="1841">
    <w:p>
      <w:pPr>
        <w:pStyle w:val="FootnoteText"/>
      </w:pPr>
      <w:r>
        <w:rPr>
          <w:rStyle w:val="FootnoteReference"/>
        </w:rPr>
        <w:footnoteRef/>
      </w:r>
      <w:r>
        <w:t xml:space="preserve"> </w:t>
      </w:r>
      <w:r>
        <w:t xml:space="preserve">玛加伯下 7:9。</w:t>
      </w:r>
    </w:p>
  </w:footnote>
  <w:footnote w:id="1842">
    <w:p>
      <w:pPr>
        <w:pStyle w:val="FootnoteText"/>
      </w:pPr>
      <w:r>
        <w:rPr>
          <w:rStyle w:val="FootnoteReference"/>
        </w:rPr>
        <w:footnoteRef/>
      </w:r>
      <w:r>
        <w:t xml:space="preserve"> </w:t>
      </w:r>
      <w:r>
        <w:t xml:space="preserve">玛加伯下 7:14；参 7:29；但 12:1-13。</w:t>
      </w:r>
    </w:p>
  </w:footnote>
  <w:footnote w:id="1843">
    <w:p>
      <w:pPr>
        <w:pStyle w:val="FootnoteText"/>
      </w:pPr>
      <w:r>
        <w:rPr>
          <w:rStyle w:val="FootnoteReference"/>
        </w:rPr>
        <w:footnoteRef/>
      </w:r>
      <w:r>
        <w:t xml:space="preserve"> </w:t>
      </w:r>
      <w:r>
        <w:t xml:space="preserve">可 12:24；参约 11:24；徒 23:6。</w:t>
      </w:r>
    </w:p>
  </w:footnote>
  <w:footnote w:id="1844">
    <w:p>
      <w:pPr>
        <w:pStyle w:val="FootnoteText"/>
      </w:pPr>
      <w:r>
        <w:rPr>
          <w:rStyle w:val="FootnoteReference"/>
        </w:rPr>
        <w:footnoteRef/>
      </w:r>
      <w:r>
        <w:t xml:space="preserve"> </w:t>
      </w:r>
      <w:r>
        <w:t xml:space="preserve">可 12:27。</w:t>
      </w:r>
    </w:p>
  </w:footnote>
  <w:footnote w:id="1845">
    <w:p>
      <w:pPr>
        <w:pStyle w:val="FootnoteText"/>
      </w:pPr>
      <w:r>
        <w:rPr>
          <w:rStyle w:val="FootnoteReference"/>
        </w:rPr>
        <w:footnoteRef/>
      </w:r>
      <w:r>
        <w:t xml:space="preserve"> </w:t>
      </w:r>
      <w:r>
        <w:t xml:space="preserve">约 11:25。</w:t>
      </w:r>
    </w:p>
  </w:footnote>
  <w:footnote w:id="1846">
    <w:p>
      <w:pPr>
        <w:pStyle w:val="FootnoteText"/>
      </w:pPr>
      <w:r>
        <w:rPr>
          <w:rStyle w:val="FootnoteReference"/>
        </w:rPr>
        <w:footnoteRef/>
      </w:r>
      <w:r>
        <w:t xml:space="preserve"> </w:t>
      </w:r>
      <w:r>
        <w:t xml:space="preserve">参约 5:24-25；6:40,54。</w:t>
      </w:r>
    </w:p>
  </w:footnote>
  <w:footnote w:id="1847">
    <w:p>
      <w:pPr>
        <w:pStyle w:val="FootnoteText"/>
      </w:pPr>
      <w:r>
        <w:rPr>
          <w:rStyle w:val="FootnoteReference"/>
        </w:rPr>
        <w:footnoteRef/>
      </w:r>
      <w:r>
        <w:t xml:space="preserve"> </w:t>
      </w:r>
      <w:r>
        <w:t xml:space="preserve">参可 5:21-42；路 7:11-17；约 11。</w:t>
      </w:r>
    </w:p>
  </w:footnote>
  <w:footnote w:id="1848">
    <w:p>
      <w:pPr>
        <w:pStyle w:val="FootnoteText"/>
      </w:pPr>
      <w:r>
        <w:rPr>
          <w:rStyle w:val="FootnoteReference"/>
        </w:rPr>
        <w:footnoteRef/>
      </w:r>
      <w:r>
        <w:t xml:space="preserve"> </w:t>
      </w:r>
      <w:r>
        <w:t xml:space="preserve">太 12:39。</w:t>
      </w:r>
    </w:p>
  </w:footnote>
  <w:footnote w:id="1849">
    <w:p>
      <w:pPr>
        <w:pStyle w:val="FootnoteText"/>
      </w:pPr>
      <w:r>
        <w:rPr>
          <w:rStyle w:val="FootnoteReference"/>
        </w:rPr>
        <w:footnoteRef/>
      </w:r>
      <w:r>
        <w:t xml:space="preserve"> </w:t>
      </w:r>
      <w:r>
        <w:t xml:space="preserve">参可 10:34；约 2:19-22。</w:t>
      </w:r>
    </w:p>
  </w:footnote>
  <w:footnote w:id="1850">
    <w:p>
      <w:pPr>
        <w:pStyle w:val="FootnoteText"/>
      </w:pPr>
      <w:r>
        <w:rPr>
          <w:rStyle w:val="FootnoteReference"/>
        </w:rPr>
        <w:footnoteRef/>
      </w:r>
      <w:r>
        <w:t xml:space="preserve"> </w:t>
      </w:r>
      <w:r>
        <w:t xml:space="preserve">徒 1:22；10:41；参 4:33。</w:t>
      </w:r>
    </w:p>
  </w:footnote>
  <w:footnote w:id="1851">
    <w:p>
      <w:pPr>
        <w:pStyle w:val="FootnoteText"/>
      </w:pPr>
      <w:r>
        <w:rPr>
          <w:rStyle w:val="FootnoteReference"/>
        </w:rPr>
        <w:footnoteRef/>
      </w:r>
      <w:r>
        <w:t xml:space="preserve"> </w:t>
      </w:r>
      <w:r>
        <w:t xml:space="preserve">参徒 17:32；林前 15:12-13。</w:t>
      </w:r>
    </w:p>
  </w:footnote>
  <w:footnote w:id="1852">
    <w:p>
      <w:pPr>
        <w:pStyle w:val="FootnoteText"/>
      </w:pPr>
      <w:r>
        <w:rPr>
          <w:rStyle w:val="FootnoteReference"/>
        </w:rPr>
        <w:footnoteRef/>
      </w:r>
      <w:r>
        <w:t xml:space="preserve"> </w:t>
      </w:r>
      <w:r>
        <w:t xml:space="preserve">圣奥古斯丁，《诗篇释义》88,5：PL 37,1134。</w:t>
      </w:r>
    </w:p>
  </w:footnote>
  <w:footnote w:id="1854">
    <w:p>
      <w:pPr>
        <w:pStyle w:val="FootnoteText"/>
      </w:pPr>
      <w:r>
        <w:rPr>
          <w:rStyle w:val="FootnoteReference"/>
        </w:rPr>
        <w:footnoteRef/>
      </w:r>
      <w:r>
        <w:t xml:space="preserve"> </w:t>
      </w:r>
      <w:r>
        <w:t xml:space="preserve">约 5:29；参但 12:2。</w:t>
      </w:r>
    </w:p>
  </w:footnote>
  <w:footnote w:id="1855">
    <w:p>
      <w:pPr>
        <w:pStyle w:val="FootnoteText"/>
      </w:pPr>
      <w:r>
        <w:rPr>
          <w:rStyle w:val="FootnoteReference"/>
        </w:rPr>
        <w:footnoteRef/>
      </w:r>
      <w:r>
        <w:t xml:space="preserve"> </w:t>
      </w:r>
      <w:r>
        <w:t xml:space="preserve">路 24:39。</w:t>
      </w:r>
    </w:p>
  </w:footnote>
  <w:footnote w:id="1856">
    <w:p>
      <w:pPr>
        <w:pStyle w:val="FootnoteText"/>
      </w:pPr>
      <w:r>
        <w:rPr>
          <w:rStyle w:val="FootnoteReference"/>
        </w:rPr>
        <w:footnoteRef/>
      </w:r>
      <w:r>
        <w:t xml:space="preserve"> </w:t>
      </w:r>
      <w:r>
        <w:t xml:space="preserve">第四次拉特朗大公会议（1215 年）：DS 801；腓 3:21；林前 15:44。</w:t>
      </w:r>
    </w:p>
  </w:footnote>
  <w:footnote w:id="1857">
    <w:p>
      <w:pPr>
        <w:pStyle w:val="FootnoteText"/>
      </w:pPr>
      <w:r>
        <w:rPr>
          <w:rStyle w:val="FootnoteReference"/>
        </w:rPr>
        <w:footnoteRef/>
      </w:r>
      <w:r>
        <w:t xml:space="preserve"> </w:t>
      </w:r>
      <w:r>
        <w:t xml:space="preserve">林前 15:35-37,42,52,53。</w:t>
      </w:r>
    </w:p>
  </w:footnote>
  <w:footnote w:id="1858">
    <w:p>
      <w:pPr>
        <w:pStyle w:val="FootnoteText"/>
      </w:pPr>
      <w:r>
        <w:rPr>
          <w:rStyle w:val="FootnoteReference"/>
        </w:rPr>
        <w:footnoteRef/>
      </w:r>
      <w:r>
        <w:t xml:space="preserve"> </w:t>
      </w:r>
      <w:r>
        <w:t xml:space="preserve">圣爱任纽，《反对异端》4,18,4-5：PG 7/1,1028-1029。</w:t>
      </w:r>
    </w:p>
  </w:footnote>
  <w:footnote w:id="1860">
    <w:p>
      <w:pPr>
        <w:pStyle w:val="FootnoteText"/>
      </w:pPr>
      <w:r>
        <w:rPr>
          <w:rStyle w:val="FootnoteReference"/>
        </w:rPr>
        <w:footnoteRef/>
      </w:r>
      <w:r>
        <w:t xml:space="preserve"> </w:t>
      </w:r>
      <w:r>
        <w:t xml:space="preserve">帖前 4:16。</w:t>
      </w:r>
    </w:p>
  </w:footnote>
  <w:footnote w:id="1861">
    <w:p>
      <w:pPr>
        <w:pStyle w:val="FootnoteText"/>
      </w:pPr>
      <w:r>
        <w:rPr>
          <w:rStyle w:val="FootnoteReference"/>
        </w:rPr>
        <w:footnoteRef/>
      </w:r>
      <w:r>
        <w:t xml:space="preserve"> </w:t>
      </w:r>
      <w:r>
        <w:t xml:space="preserve">路 24:39。</w:t>
      </w:r>
    </w:p>
  </w:footnote>
  <w:footnote w:id="1862">
    <w:p>
      <w:pPr>
        <w:pStyle w:val="FootnoteText"/>
      </w:pPr>
      <w:r>
        <w:rPr>
          <w:rStyle w:val="FootnoteReference"/>
        </w:rPr>
        <w:footnoteRef/>
      </w:r>
      <w:r>
        <w:t xml:space="preserve"> </w:t>
      </w:r>
      <w:r>
        <w:t xml:space="preserve">西 2:12；3:1。</w:t>
      </w:r>
    </w:p>
  </w:footnote>
  <w:footnote w:id="1863">
    <w:p>
      <w:pPr>
        <w:pStyle w:val="FootnoteText"/>
      </w:pPr>
      <w:r>
        <w:rPr>
          <w:rStyle w:val="FootnoteReference"/>
        </w:rPr>
        <w:footnoteRef/>
      </w:r>
      <w:r>
        <w:t xml:space="preserve"> </w:t>
      </w:r>
      <w:r>
        <w:t xml:space="preserve">西 3:3；参腓 3:20。</w:t>
      </w:r>
    </w:p>
  </w:footnote>
  <w:footnote w:id="1864">
    <w:p>
      <w:pPr>
        <w:pStyle w:val="FootnoteText"/>
      </w:pPr>
      <w:r>
        <w:rPr>
          <w:rStyle w:val="FootnoteReference"/>
        </w:rPr>
        <w:footnoteRef/>
      </w:r>
      <w:r>
        <w:t xml:space="preserve"> </w:t>
      </w:r>
      <w:r>
        <w:t xml:space="preserve">弗 2:6。</w:t>
      </w:r>
    </w:p>
  </w:footnote>
  <w:footnote w:id="1865">
    <w:p>
      <w:pPr>
        <w:pStyle w:val="FootnoteText"/>
      </w:pPr>
      <w:r>
        <w:rPr>
          <w:rStyle w:val="FootnoteReference"/>
        </w:rPr>
        <w:footnoteRef/>
      </w:r>
      <w:r>
        <w:t xml:space="preserve"> </w:t>
      </w:r>
      <w:r>
        <w:t xml:space="preserve">西 3:4。</w:t>
      </w:r>
    </w:p>
  </w:footnote>
  <w:footnote w:id="1866">
    <w:p>
      <w:pPr>
        <w:pStyle w:val="FootnoteText"/>
      </w:pPr>
      <w:r>
        <w:rPr>
          <w:rStyle w:val="FootnoteReference"/>
        </w:rPr>
        <w:footnoteRef/>
      </w:r>
      <w:r>
        <w:t xml:space="preserve"> </w:t>
      </w:r>
      <w:r>
        <w:t xml:space="preserve">林前 6:13-15,19-20。</w:t>
      </w:r>
    </w:p>
  </w:footnote>
  <w:footnote w:id="1869">
    <w:p>
      <w:pPr>
        <w:pStyle w:val="FootnoteText"/>
      </w:pPr>
      <w:r>
        <w:rPr>
          <w:rStyle w:val="FootnoteReference"/>
        </w:rPr>
        <w:footnoteRef/>
      </w:r>
      <w:r>
        <w:t xml:space="preserve"> </w:t>
      </w:r>
      <w:r>
        <w:t xml:space="preserve">林后 5:8。</w:t>
      </w:r>
    </w:p>
  </w:footnote>
  <w:footnote w:id="1870">
    <w:p>
      <w:pPr>
        <w:pStyle w:val="FootnoteText"/>
      </w:pPr>
      <w:r>
        <w:rPr>
          <w:rStyle w:val="FootnoteReference"/>
        </w:rPr>
        <w:footnoteRef/>
      </w:r>
      <w:r>
        <w:t xml:space="preserve"> </w:t>
      </w:r>
      <w:r>
        <w:t xml:space="preserve">参腓 1:23。</w:t>
      </w:r>
    </w:p>
  </w:footnote>
  <w:footnote w:id="1871">
    <w:p>
      <w:pPr>
        <w:pStyle w:val="FootnoteText"/>
      </w:pPr>
      <w:r>
        <w:rPr>
          <w:rStyle w:val="FootnoteReference"/>
        </w:rPr>
        <w:footnoteRef/>
      </w:r>
      <w:r>
        <w:t xml:space="preserve"> </w:t>
      </w:r>
      <w:r>
        <w:t xml:space="preserve">参保禄六世，《教会宪章》§28。</w:t>
      </w:r>
    </w:p>
  </w:footnote>
  <w:footnote w:id="1872">
    <w:p>
      <w:pPr>
        <w:pStyle w:val="FootnoteText"/>
      </w:pPr>
      <w:r>
        <w:rPr>
          <w:rStyle w:val="FootnoteReference"/>
        </w:rPr>
        <w:footnoteRef/>
      </w:r>
      <w:r>
        <w:t xml:space="preserve"> </w:t>
      </w:r>
      <w:r>
        <w:t xml:space="preserve">GS 18。</w:t>
      </w:r>
    </w:p>
  </w:footnote>
  <w:footnote w:id="1873">
    <w:p>
      <w:pPr>
        <w:pStyle w:val="FootnoteText"/>
      </w:pPr>
      <w:r>
        <w:rPr>
          <w:rStyle w:val="FootnoteReference"/>
        </w:rPr>
        <w:footnoteRef/>
      </w:r>
      <w:r>
        <w:t xml:space="preserve"> </w:t>
      </w:r>
      <w:r>
        <w:t xml:space="preserve">罗 6:23；参创 2:17。</w:t>
      </w:r>
    </w:p>
  </w:footnote>
  <w:footnote w:id="1874">
    <w:p>
      <w:pPr>
        <w:pStyle w:val="FootnoteText"/>
      </w:pPr>
      <w:r>
        <w:rPr>
          <w:rStyle w:val="FootnoteReference"/>
        </w:rPr>
        <w:footnoteRef/>
      </w:r>
      <w:r>
        <w:t xml:space="preserve"> </w:t>
      </w:r>
      <w:r>
        <w:t xml:space="preserve">参罗 6:3-9；腓 3:10-11。</w:t>
      </w:r>
    </w:p>
  </w:footnote>
  <w:footnote w:id="1875">
    <w:p>
      <w:pPr>
        <w:pStyle w:val="FootnoteText"/>
      </w:pPr>
      <w:r>
        <w:rPr>
          <w:rStyle w:val="FootnoteReference"/>
        </w:rPr>
        <w:footnoteRef/>
      </w:r>
      <w:r>
        <w:t xml:space="preserve"> </w:t>
      </w:r>
      <w:r>
        <w:t xml:space="preserve">传 12:1,7。</w:t>
      </w:r>
    </w:p>
  </w:footnote>
  <w:footnote w:id="1876">
    <w:p>
      <w:pPr>
        <w:pStyle w:val="FootnoteText"/>
      </w:pPr>
      <w:r>
        <w:rPr>
          <w:rStyle w:val="FootnoteReference"/>
        </w:rPr>
        <w:footnoteRef/>
      </w:r>
      <w:r>
        <w:t xml:space="preserve"> </w:t>
      </w:r>
      <w:r>
        <w:t xml:space="preserve">参创 2:17；3:3,19；智 1:13；罗 5:12；6:23；DS 1511。</w:t>
      </w:r>
    </w:p>
  </w:footnote>
  <w:footnote w:id="1877">
    <w:p>
      <w:pPr>
        <w:pStyle w:val="FootnoteText"/>
      </w:pPr>
      <w:r>
        <w:rPr>
          <w:rStyle w:val="FootnoteReference"/>
        </w:rPr>
        <w:footnoteRef/>
      </w:r>
      <w:r>
        <w:t xml:space="preserve"> </w:t>
      </w:r>
      <w:r>
        <w:t xml:space="preserve">参智 2:23-24。</w:t>
      </w:r>
    </w:p>
  </w:footnote>
  <w:footnote w:id="1878">
    <w:p>
      <w:pPr>
        <w:pStyle w:val="FootnoteText"/>
      </w:pPr>
      <w:r>
        <w:rPr>
          <w:rStyle w:val="FootnoteReference"/>
        </w:rPr>
        <w:footnoteRef/>
      </w:r>
      <w:r>
        <w:t xml:space="preserve"> </w:t>
      </w:r>
      <w:r>
        <w:t xml:space="preserve">GS 18 §2；参林前 15:26。</w:t>
      </w:r>
    </w:p>
  </w:footnote>
  <w:footnote w:id="1879">
    <w:p>
      <w:pPr>
        <w:pStyle w:val="FootnoteText"/>
      </w:pPr>
      <w:r>
        <w:rPr>
          <w:rStyle w:val="FootnoteReference"/>
        </w:rPr>
        <w:footnoteRef/>
      </w:r>
      <w:r>
        <w:t xml:space="preserve"> </w:t>
      </w:r>
      <w:r>
        <w:t xml:space="preserve">参可 14:33-34；来 5:7-8。</w:t>
      </w:r>
    </w:p>
  </w:footnote>
  <w:footnote w:id="1880">
    <w:p>
      <w:pPr>
        <w:pStyle w:val="FootnoteText"/>
      </w:pPr>
      <w:r>
        <w:rPr>
          <w:rStyle w:val="FootnoteReference"/>
        </w:rPr>
        <w:footnoteRef/>
      </w:r>
      <w:r>
        <w:t xml:space="preserve"> </w:t>
      </w:r>
      <w:r>
        <w:t xml:space="preserve">参罗 5:19-21。</w:t>
      </w:r>
    </w:p>
  </w:footnote>
  <w:footnote w:id="1881">
    <w:p>
      <w:pPr>
        <w:pStyle w:val="FootnoteText"/>
      </w:pPr>
      <w:r>
        <w:rPr>
          <w:rStyle w:val="FootnoteReference"/>
        </w:rPr>
        <w:footnoteRef/>
      </w:r>
      <w:r>
        <w:t xml:space="preserve"> </w:t>
      </w:r>
      <w:r>
        <w:t xml:space="preserve">腓 1:21。</w:t>
      </w:r>
    </w:p>
  </w:footnote>
  <w:footnote w:id="1882">
    <w:p>
      <w:pPr>
        <w:pStyle w:val="FootnoteText"/>
      </w:pPr>
      <w:r>
        <w:rPr>
          <w:rStyle w:val="FootnoteReference"/>
        </w:rPr>
        <w:footnoteRef/>
      </w:r>
      <w:r>
        <w:t xml:space="preserve"> </w:t>
      </w:r>
      <w:r>
        <w:t xml:space="preserve">提后 2:11。</w:t>
      </w:r>
    </w:p>
  </w:footnote>
  <w:footnote w:id="1883">
    <w:p>
      <w:pPr>
        <w:pStyle w:val="FootnoteText"/>
      </w:pPr>
      <w:r>
        <w:rPr>
          <w:rStyle w:val="FootnoteReference"/>
        </w:rPr>
        <w:footnoteRef/>
      </w:r>
      <w:r>
        <w:t xml:space="preserve"> </w:t>
      </w:r>
      <w:r>
        <w:t xml:space="preserve">安提阿的圣依纳爵，《致罗马人书》6,1-2：使徒教父，II/2,217-220。</w:t>
      </w:r>
    </w:p>
  </w:footnote>
  <w:footnote w:id="1884">
    <w:p>
      <w:pPr>
        <w:pStyle w:val="FootnoteText"/>
      </w:pPr>
      <w:r>
        <w:rPr>
          <w:rStyle w:val="FootnoteReference"/>
        </w:rPr>
        <w:footnoteRef/>
      </w:r>
      <w:r>
        <w:t xml:space="preserve"> </w:t>
      </w:r>
      <w:r>
        <w:t xml:space="preserve">腓 1:23。</w:t>
      </w:r>
    </w:p>
  </w:footnote>
  <w:footnote w:id="1885">
    <w:p>
      <w:pPr>
        <w:pStyle w:val="FootnoteText"/>
      </w:pPr>
      <w:r>
        <w:rPr>
          <w:rStyle w:val="FootnoteReference"/>
        </w:rPr>
        <w:footnoteRef/>
      </w:r>
      <w:r>
        <w:t xml:space="preserve"> </w:t>
      </w:r>
      <w:r>
        <w:t xml:space="preserve">参路 23:46。</w:t>
      </w:r>
    </w:p>
  </w:footnote>
  <w:footnote w:id="1886">
    <w:p>
      <w:pPr>
        <w:pStyle w:val="FootnoteText"/>
      </w:pPr>
      <w:r>
        <w:rPr>
          <w:rStyle w:val="FootnoteReference"/>
        </w:rPr>
        <w:footnoteRef/>
      </w:r>
      <w:r>
        <w:t xml:space="preserve"> </w:t>
      </w:r>
      <w:r>
        <w:t xml:space="preserve">安提阿的圣依纳爵，《致罗马人书》6,1-2：使徒教父，II/2,223-224。</w:t>
      </w:r>
    </w:p>
  </w:footnote>
  <w:footnote w:id="1887">
    <w:p>
      <w:pPr>
        <w:pStyle w:val="FootnoteText"/>
      </w:pPr>
      <w:r>
        <w:rPr>
          <w:rStyle w:val="FootnoteReference"/>
        </w:rPr>
        <w:footnoteRef/>
      </w:r>
      <w:r>
        <w:t xml:space="preserve"> </w:t>
      </w:r>
      <w:r>
        <w:t xml:space="preserve">圣德兰·阿维拉，《生平》第一章。</w:t>
      </w:r>
    </w:p>
  </w:footnote>
  <w:footnote w:id="1888">
    <w:p>
      <w:pPr>
        <w:pStyle w:val="FootnoteText"/>
      </w:pPr>
      <w:r>
        <w:rPr>
          <w:rStyle w:val="FootnoteReference"/>
        </w:rPr>
        <w:footnoteRef/>
      </w:r>
      <w:r>
        <w:t xml:space="preserve"> </w:t>
      </w:r>
      <w:r>
        <w:t xml:space="preserve">圣小德兰，《最后的对话》。</w:t>
      </w:r>
    </w:p>
  </w:footnote>
  <w:footnote w:id="1889">
    <w:p>
      <w:pPr>
        <w:pStyle w:val="FootnoteText"/>
      </w:pPr>
      <w:r>
        <w:rPr>
          <w:rStyle w:val="FootnoteReference"/>
        </w:rPr>
        <w:footnoteRef/>
      </w:r>
      <w:r>
        <w:t xml:space="preserve"> </w:t>
      </w:r>
      <w:r>
        <w:t xml:space="preserve">参帖前 4:13-14。</w:t>
      </w:r>
    </w:p>
  </w:footnote>
  <w:footnote w:id="1890">
    <w:p>
      <w:pPr>
        <w:pStyle w:val="FootnoteText"/>
      </w:pPr>
      <w:r>
        <w:rPr>
          <w:rStyle w:val="FootnoteReference"/>
        </w:rPr>
        <w:footnoteRef/>
      </w:r>
      <w:r>
        <w:t xml:space="preserve"> </w:t>
      </w:r>
      <w:r>
        <w:t xml:space="preserve">《罗马弥撒经书》，基督徒死亡颂谢词一。</w:t>
      </w:r>
    </w:p>
  </w:footnote>
  <w:footnote w:id="1891">
    <w:p>
      <w:pPr>
        <w:pStyle w:val="FootnoteText"/>
      </w:pPr>
      <w:r>
        <w:rPr>
          <w:rStyle w:val="FootnoteReference"/>
        </w:rPr>
        <w:footnoteRef/>
      </w:r>
      <w:r>
        <w:t xml:space="preserve"> </w:t>
      </w:r>
      <w:r>
        <w:t xml:space="preserve">LG 48 §3。</w:t>
      </w:r>
    </w:p>
  </w:footnote>
  <w:footnote w:id="1892">
    <w:p>
      <w:pPr>
        <w:pStyle w:val="FootnoteText"/>
      </w:pPr>
      <w:r>
        <w:rPr>
          <w:rStyle w:val="FootnoteReference"/>
        </w:rPr>
        <w:footnoteRef/>
      </w:r>
      <w:r>
        <w:t xml:space="preserve"> </w:t>
      </w:r>
      <w:r>
        <w:t xml:space="preserve">来 9:27。</w:t>
      </w:r>
    </w:p>
  </w:footnote>
  <w:footnote w:id="1893">
    <w:p>
      <w:pPr>
        <w:pStyle w:val="FootnoteText"/>
      </w:pPr>
      <w:r>
        <w:rPr>
          <w:rStyle w:val="FootnoteReference"/>
        </w:rPr>
        <w:footnoteRef/>
      </w:r>
      <w:r>
        <w:t xml:space="preserve"> </w:t>
      </w:r>
      <w:r>
        <w:t xml:space="preserve">《效法基督》1,23,1。</w:t>
      </w:r>
    </w:p>
  </w:footnote>
  <w:footnote w:id="1894">
    <w:p>
      <w:pPr>
        <w:pStyle w:val="FootnoteText"/>
      </w:pPr>
      <w:r>
        <w:rPr>
          <w:rStyle w:val="FootnoteReference"/>
        </w:rPr>
        <w:footnoteRef/>
      </w:r>
      <w:r>
        <w:t xml:space="preserve"> </w:t>
      </w:r>
      <w:r>
        <w:t xml:space="preserve">《效法基督》1,23,1。</w:t>
      </w:r>
    </w:p>
  </w:footnote>
  <w:footnote w:id="1895">
    <w:p>
      <w:pPr>
        <w:pStyle w:val="FootnoteText"/>
      </w:pPr>
      <w:r>
        <w:rPr>
          <w:rStyle w:val="FootnoteReference"/>
        </w:rPr>
        <w:footnoteRef/>
      </w:r>
      <w:r>
        <w:t xml:space="preserve"> </w:t>
      </w:r>
      <w:r>
        <w:t xml:space="preserve">《效法基督》1,23,1。</w:t>
      </w:r>
    </w:p>
  </w:footnote>
  <w:footnote w:id="1896">
    <w:p>
      <w:pPr>
        <w:pStyle w:val="FootnoteText"/>
      </w:pPr>
      <w:r>
        <w:rPr>
          <w:rStyle w:val="FootnoteReference"/>
        </w:rPr>
        <w:footnoteRef/>
      </w:r>
      <w:r>
        <w:t xml:space="preserve"> </w:t>
      </w:r>
      <w:r>
        <w:t xml:space="preserve">圣方济各亚西西，《万物颂》。</w:t>
      </w:r>
    </w:p>
  </w:footnote>
  <w:footnote w:id="1901">
    <w:p>
      <w:pPr>
        <w:pStyle w:val="FootnoteText"/>
      </w:pPr>
      <w:r>
        <w:rPr>
          <w:rStyle w:val="FootnoteReference"/>
        </w:rPr>
        <w:footnoteRef/>
      </w:r>
      <w:r>
        <w:t xml:space="preserve"> </w:t>
      </w:r>
      <w:r>
        <w:t xml:space="preserve">OCF，《托付祈祷》。</w:t>
      </w:r>
    </w:p>
  </w:footnote>
  <w:footnote w:id="1902">
    <w:p>
      <w:pPr>
        <w:pStyle w:val="FootnoteText"/>
      </w:pPr>
      <w:r>
        <w:rPr>
          <w:rStyle w:val="FootnoteReference"/>
        </w:rPr>
        <w:footnoteRef/>
      </w:r>
      <w:r>
        <w:t xml:space="preserve"> </w:t>
      </w:r>
      <w:r>
        <w:t xml:space="preserve">参 提后 1:9-10。</w:t>
      </w:r>
    </w:p>
  </w:footnote>
  <w:footnote w:id="1903">
    <w:p>
      <w:pPr>
        <w:pStyle w:val="FootnoteText"/>
      </w:pPr>
      <w:r>
        <w:rPr>
          <w:rStyle w:val="FootnoteReference"/>
        </w:rPr>
        <w:footnoteRef/>
      </w:r>
      <w:r>
        <w:t xml:space="preserve"> </w:t>
      </w:r>
      <w:r>
        <w:t xml:space="preserve">参 路 16:22；23:43；太 16:26；林后 5:8；腓 1:23；来 9:27；12:23。</w:t>
      </w:r>
    </w:p>
  </w:footnote>
  <w:footnote w:id="1904">
    <w:p>
      <w:pPr>
        <w:pStyle w:val="FootnoteText"/>
      </w:pPr>
      <w:r>
        <w:rPr>
          <w:rStyle w:val="FootnoteReference"/>
        </w:rPr>
        <w:footnoteRef/>
      </w:r>
      <w:r>
        <w:t xml:space="preserve"> </w:t>
      </w:r>
      <w:r>
        <w:t xml:space="preserve">参 里昂第二次大公会议(1274)：DS 857-858；佛罗伦斯大公会议(1439)：DS 1304-1306；特利腾大公会议(1563)：DS 1820。</w:t>
      </w:r>
    </w:p>
  </w:footnote>
  <w:footnote w:id="1905">
    <w:p>
      <w:pPr>
        <w:pStyle w:val="FootnoteText"/>
      </w:pPr>
      <w:r>
        <w:rPr>
          <w:rStyle w:val="FootnoteReference"/>
        </w:rPr>
        <w:footnoteRef/>
      </w:r>
      <w:r>
        <w:t xml:space="preserve"> </w:t>
      </w:r>
      <w:r>
        <w:t xml:space="preserve">参 本笃十二世，《Benedictus Deus》(1336)：DS 1000-1001；若望二十二世，《Ne super his》(1334)：DS 990。</w:t>
      </w:r>
    </w:p>
  </w:footnote>
  <w:footnote w:id="1906">
    <w:p>
      <w:pPr>
        <w:pStyle w:val="FootnoteText"/>
      </w:pPr>
      <w:r>
        <w:rPr>
          <w:rStyle w:val="FootnoteReference"/>
        </w:rPr>
        <w:footnoteRef/>
      </w:r>
      <w:r>
        <w:t xml:space="preserve"> </w:t>
      </w:r>
      <w:r>
        <w:t xml:space="preserve">参 本笃十二世，《Benedictus Deus》(1336)：DS 1002。</w:t>
      </w:r>
    </w:p>
  </w:footnote>
  <w:footnote w:id="1907">
    <w:p>
      <w:pPr>
        <w:pStyle w:val="FootnoteText"/>
      </w:pPr>
      <w:r>
        <w:rPr>
          <w:rStyle w:val="FootnoteReference"/>
        </w:rPr>
        <w:footnoteRef/>
      </w:r>
      <w:r>
        <w:t xml:space="preserve"> </w:t>
      </w:r>
      <w:r>
        <w:t xml:space="preserve">十字圣若望，《箴言集》64。</w:t>
      </w:r>
    </w:p>
  </w:footnote>
  <w:footnote w:id="1909">
    <w:p>
      <w:pPr>
        <w:pStyle w:val="FootnoteText"/>
      </w:pPr>
      <w:r>
        <w:rPr>
          <w:rStyle w:val="FootnoteReference"/>
        </w:rPr>
        <w:footnoteRef/>
      </w:r>
      <w:r>
        <w:t xml:space="preserve"> </w:t>
      </w:r>
      <w:r>
        <w:t xml:space="preserve">约壹 3:2；参 林前 13:12；启 22:4。</w:t>
      </w:r>
    </w:p>
  </w:footnote>
  <w:footnote w:id="1910">
    <w:p>
      <w:pPr>
        <w:pStyle w:val="FootnoteText"/>
      </w:pPr>
      <w:r>
        <w:rPr>
          <w:rStyle w:val="FootnoteReference"/>
        </w:rPr>
        <w:footnoteRef/>
      </w:r>
      <w:r>
        <w:t xml:space="preserve"> </w:t>
      </w:r>
      <w:r>
        <w:t xml:space="preserve">本笃十二世，《Benedictus Deus》(1336)：DS 1000；参《教会宪章》(LG) 49。</w:t>
      </w:r>
    </w:p>
  </w:footnote>
  <w:footnote w:id="1911">
    <w:p>
      <w:pPr>
        <w:pStyle w:val="FootnoteText"/>
      </w:pPr>
      <w:r>
        <w:rPr>
          <w:rStyle w:val="FootnoteReference"/>
        </w:rPr>
        <w:footnoteRef/>
      </w:r>
      <w:r>
        <w:t xml:space="preserve"> </w:t>
      </w:r>
      <w:r>
        <w:t xml:space="preserve">腓 1:23；参 约 14:3；帖前 4:17。</w:t>
      </w:r>
    </w:p>
  </w:footnote>
  <w:footnote w:id="1912">
    <w:p>
      <w:pPr>
        <w:pStyle w:val="FootnoteText"/>
      </w:pPr>
      <w:r>
        <w:rPr>
          <w:rStyle w:val="FootnoteReference"/>
        </w:rPr>
        <w:footnoteRef/>
      </w:r>
      <w:r>
        <w:t xml:space="preserve"> </w:t>
      </w:r>
      <w:r>
        <w:t xml:space="preserve">参 启 2:17。</w:t>
      </w:r>
    </w:p>
  </w:footnote>
  <w:footnote w:id="1913">
    <w:p>
      <w:pPr>
        <w:pStyle w:val="FootnoteText"/>
      </w:pPr>
      <w:r>
        <w:rPr>
          <w:rStyle w:val="FootnoteReference"/>
        </w:rPr>
        <w:footnoteRef/>
      </w:r>
      <w:r>
        <w:t xml:space="preserve"> </w:t>
      </w:r>
      <w:r>
        <w:t xml:space="preserve">圣安博罗削，《论路加福音》10,121：PL 15 1834A。</w:t>
      </w:r>
    </w:p>
  </w:footnote>
  <w:footnote w:id="1914">
    <w:p>
      <w:pPr>
        <w:pStyle w:val="FootnoteText"/>
      </w:pPr>
      <w:r>
        <w:rPr>
          <w:rStyle w:val="FootnoteReference"/>
        </w:rPr>
        <w:footnoteRef/>
      </w:r>
      <w:r>
        <w:t xml:space="preserve"> </w:t>
      </w:r>
      <w:r>
        <w:t xml:space="preserve">林前 2:9。</w:t>
      </w:r>
    </w:p>
  </w:footnote>
  <w:footnote w:id="1915">
    <w:p>
      <w:pPr>
        <w:pStyle w:val="FootnoteText"/>
      </w:pPr>
      <w:r>
        <w:rPr>
          <w:rStyle w:val="FootnoteReference"/>
        </w:rPr>
        <w:footnoteRef/>
      </w:r>
      <w:r>
        <w:t xml:space="preserve"> </w:t>
      </w:r>
      <w:r>
        <w:t xml:space="preserve">圣西帕里安，书信 58,10,1：CSEL 3/2,665。</w:t>
      </w:r>
    </w:p>
  </w:footnote>
  <w:footnote w:id="1916">
    <w:p>
      <w:pPr>
        <w:pStyle w:val="FootnoteText"/>
      </w:pPr>
      <w:r>
        <w:rPr>
          <w:rStyle w:val="FootnoteReference"/>
        </w:rPr>
        <w:footnoteRef/>
      </w:r>
      <w:r>
        <w:t xml:space="preserve"> </w:t>
      </w:r>
      <w:r>
        <w:t xml:space="preserve">启 22:5；参 太 25:21,23。</w:t>
      </w:r>
    </w:p>
  </w:footnote>
  <w:footnote w:id="1918">
    <w:p>
      <w:pPr>
        <w:pStyle w:val="FootnoteText"/>
      </w:pPr>
      <w:r>
        <w:rPr>
          <w:rStyle w:val="FootnoteReference"/>
        </w:rPr>
        <w:footnoteRef/>
      </w:r>
      <w:r>
        <w:t xml:space="preserve"> </w:t>
      </w:r>
      <w:r>
        <w:t xml:space="preserve">参 佛罗伦斯大公会议(1439)：DS 1304；特利腾大公会议(1563)：DS 1820；(1547)：1580；亦见 本笃十二世，《Benedictus Deus》(1336)：DS 1000。</w:t>
      </w:r>
    </w:p>
  </w:footnote>
  <w:footnote w:id="1919">
    <w:p>
      <w:pPr>
        <w:pStyle w:val="FootnoteText"/>
      </w:pPr>
      <w:r>
        <w:rPr>
          <w:rStyle w:val="FootnoteReference"/>
        </w:rPr>
        <w:footnoteRef/>
      </w:r>
      <w:r>
        <w:t xml:space="preserve"> </w:t>
      </w:r>
      <w:r>
        <w:t xml:space="preserve">参 林前 3:15；彼前 1:7。</w:t>
      </w:r>
    </w:p>
  </w:footnote>
  <w:footnote w:id="1920">
    <w:p>
      <w:pPr>
        <w:pStyle w:val="FootnoteText"/>
      </w:pPr>
      <w:r>
        <w:rPr>
          <w:rStyle w:val="FootnoteReference"/>
        </w:rPr>
        <w:footnoteRef/>
      </w:r>
      <w:r>
        <w:t xml:space="preserve"> </w:t>
      </w:r>
      <w:r>
        <w:t xml:space="preserve">圣额我略大，神操纪事 4,39：PL 77,396；参 太 12:31。</w:t>
      </w:r>
    </w:p>
  </w:footnote>
  <w:footnote w:id="1921">
    <w:p>
      <w:pPr>
        <w:pStyle w:val="FootnoteText"/>
      </w:pPr>
      <w:r>
        <w:rPr>
          <w:rStyle w:val="FootnoteReference"/>
        </w:rPr>
        <w:footnoteRef/>
      </w:r>
      <w:r>
        <w:t xml:space="preserve"> </w:t>
      </w:r>
      <w:r>
        <w:t xml:space="preserve">玛加伯下 12:46。</w:t>
      </w:r>
    </w:p>
  </w:footnote>
  <w:footnote w:id="1922">
    <w:p>
      <w:pPr>
        <w:pStyle w:val="FootnoteText"/>
      </w:pPr>
      <w:r>
        <w:rPr>
          <w:rStyle w:val="FootnoteReference"/>
        </w:rPr>
        <w:footnoteRef/>
      </w:r>
      <w:r>
        <w:t xml:space="preserve"> </w:t>
      </w:r>
      <w:r>
        <w:t xml:space="preserve">参 里昂第二次大公会议(1274)：DS 856。</w:t>
      </w:r>
    </w:p>
  </w:footnote>
  <w:footnote w:id="1924">
    <w:p>
      <w:pPr>
        <w:pStyle w:val="FootnoteText"/>
      </w:pPr>
      <w:r>
        <w:rPr>
          <w:rStyle w:val="FootnoteReference"/>
        </w:rPr>
        <w:footnoteRef/>
      </w:r>
      <w:r>
        <w:t xml:space="preserve"> </w:t>
      </w:r>
      <w:r>
        <w:t xml:space="preserve">约壹 3:14-15。</w:t>
      </w:r>
    </w:p>
  </w:footnote>
  <w:footnote w:id="1925">
    <w:p>
      <w:pPr>
        <w:pStyle w:val="FootnoteText"/>
      </w:pPr>
      <w:r>
        <w:rPr>
          <w:rStyle w:val="FootnoteReference"/>
        </w:rPr>
        <w:footnoteRef/>
      </w:r>
      <w:r>
        <w:t xml:space="preserve"> </w:t>
      </w:r>
      <w:r>
        <w:t xml:space="preserve">参 太 25:31-46。</w:t>
      </w:r>
    </w:p>
  </w:footnote>
  <w:footnote w:id="1926">
    <w:p>
      <w:pPr>
        <w:pStyle w:val="FootnoteText"/>
      </w:pPr>
      <w:r>
        <w:rPr>
          <w:rStyle w:val="FootnoteReference"/>
        </w:rPr>
        <w:footnoteRef/>
      </w:r>
      <w:r>
        <w:t xml:space="preserve"> </w:t>
      </w:r>
      <w:r>
        <w:t xml:space="preserve">参 太 5:22,29；10:28；13:42,50；可 9:43-48。</w:t>
      </w:r>
    </w:p>
  </w:footnote>
  <w:footnote w:id="1927">
    <w:p>
      <w:pPr>
        <w:pStyle w:val="FootnoteText"/>
      </w:pPr>
      <w:r>
        <w:rPr>
          <w:rStyle w:val="FootnoteReference"/>
        </w:rPr>
        <w:footnoteRef/>
      </w:r>
      <w:r>
        <w:t xml:space="preserve"> </w:t>
      </w:r>
      <w:r>
        <w:t xml:space="preserve">太 13:41-42。</w:t>
      </w:r>
    </w:p>
  </w:footnote>
  <w:footnote w:id="1928">
    <w:p>
      <w:pPr>
        <w:pStyle w:val="FootnoteText"/>
      </w:pPr>
      <w:r>
        <w:rPr>
          <w:rStyle w:val="FootnoteReference"/>
        </w:rPr>
        <w:footnoteRef/>
      </w:r>
      <w:r>
        <w:t xml:space="preserve"> </w:t>
      </w:r>
      <w:r>
        <w:t xml:space="preserve">太 25:41。</w:t>
      </w:r>
    </w:p>
  </w:footnote>
  <w:footnote w:id="1929">
    <w:p>
      <w:pPr>
        <w:pStyle w:val="FootnoteText"/>
      </w:pPr>
      <w:r>
        <w:rPr>
          <w:rStyle w:val="FootnoteReference"/>
        </w:rPr>
        <w:footnoteRef/>
      </w:r>
      <w:r>
        <w:t xml:space="preserve"> </w:t>
      </w:r>
      <w:r>
        <w:t xml:space="preserve">参 DS 76；409；411；801；858；1002；1351；1575；保禄六世，《CPG》§ 12。</w:t>
      </w:r>
    </w:p>
  </w:footnote>
  <w:footnote w:id="1931">
    <w:p>
      <w:pPr>
        <w:pStyle w:val="FootnoteText"/>
      </w:pPr>
      <w:r>
        <w:rPr>
          <w:rStyle w:val="FootnoteReference"/>
        </w:rPr>
        <w:footnoteRef/>
      </w:r>
      <w:r>
        <w:t xml:space="preserve"> </w:t>
      </w:r>
      <w:r>
        <w:t xml:space="preserve">太 7:13-14。</w:t>
      </w:r>
    </w:p>
  </w:footnote>
  <w:footnote w:id="1932">
    <w:p>
      <w:pPr>
        <w:pStyle w:val="FootnoteText"/>
      </w:pPr>
      <w:r>
        <w:rPr>
          <w:rStyle w:val="FootnoteReference"/>
        </w:rPr>
        <w:footnoteRef/>
      </w:r>
      <w:r>
        <w:t xml:space="preserve"> </w:t>
      </w:r>
      <w:r>
        <w:t xml:space="preserve">参《教会宪章》(LG) 48 § 3；太 22:13；参 来 9:27；太 25:13,26,30,31-46。</w:t>
      </w:r>
    </w:p>
  </w:footnote>
  <w:footnote w:id="1933">
    <w:p>
      <w:pPr>
        <w:pStyle w:val="FootnoteText"/>
      </w:pPr>
      <w:r>
        <w:rPr>
          <w:rStyle w:val="FootnoteReference"/>
        </w:rPr>
        <w:footnoteRef/>
      </w:r>
      <w:r>
        <w:t xml:space="preserve"> </w:t>
      </w:r>
      <w:r>
        <w:t xml:space="preserve">太 5:22，29；10:28；13:42，50；可 9:43-48。</w:t>
      </w:r>
    </w:p>
  </w:footnote>
  <w:footnote w:id="1934">
    <w:p>
      <w:pPr>
        <w:pStyle w:val="FootnoteText"/>
      </w:pPr>
      <w:r>
        <w:rPr>
          <w:rStyle w:val="FootnoteReference"/>
        </w:rPr>
        <w:footnoteRef/>
      </w:r>
      <w:r>
        <w:t xml:space="preserve"> </w:t>
      </w:r>
      <w:r>
        <w:t xml:space="preserve">太 25:41。</w:t>
      </w:r>
    </w:p>
  </w:footnote>
  <w:footnote w:id="1935">
    <w:p>
      <w:pPr>
        <w:pStyle w:val="FootnoteText"/>
      </w:pPr>
      <w:r>
        <w:rPr>
          <w:rStyle w:val="FootnoteReference"/>
        </w:rPr>
        <w:footnoteRef/>
      </w:r>
      <w:r>
        <w:t xml:space="preserve"> </w:t>
      </w:r>
      <w:r>
        <w:t xml:space="preserve">参 彼后 3:9。</w:t>
      </w:r>
    </w:p>
  </w:footnote>
  <w:footnote w:id="1936">
    <w:p>
      <w:pPr>
        <w:pStyle w:val="FootnoteText"/>
      </w:pPr>
      <w:r>
        <w:rPr>
          <w:rStyle w:val="FootnoteReference"/>
        </w:rPr>
        <w:footnoteRef/>
      </w:r>
      <w:r>
        <w:t xml:space="preserve"> </w:t>
      </w:r>
      <w:r>
        <w:t xml:space="preserve">《罗马弥撒经书》，第一罗马圣祭文(EP I) 88。</w:t>
      </w:r>
    </w:p>
  </w:footnote>
  <w:footnote w:id="1938">
    <w:p>
      <w:pPr>
        <w:pStyle w:val="FootnoteText"/>
      </w:pPr>
      <w:r>
        <w:rPr>
          <w:rStyle w:val="FootnoteReference"/>
        </w:rPr>
        <w:footnoteRef/>
      </w:r>
      <w:r>
        <w:t xml:space="preserve"> </w:t>
      </w:r>
      <w:r>
        <w:t xml:space="preserve">参 林前 3:15；彼前 1:7。</w:t>
      </w:r>
    </w:p>
  </w:footnote>
  <w:footnote w:id="1939">
    <w:p>
      <w:pPr>
        <w:pStyle w:val="FootnoteText"/>
      </w:pPr>
      <w:r>
        <w:rPr>
          <w:rStyle w:val="FootnoteReference"/>
        </w:rPr>
        <w:footnoteRef/>
      </w:r>
      <w:r>
        <w:t xml:space="preserve"> </w:t>
      </w:r>
      <w:r>
        <w:t xml:space="preserve">圣额我略大，《神操纪事》4,39：PL 77,396；参 太 12:31。</w:t>
      </w:r>
    </w:p>
  </w:footnote>
  <w:footnote w:id="1940">
    <w:p>
      <w:pPr>
        <w:pStyle w:val="FootnoteText"/>
      </w:pPr>
      <w:r>
        <w:rPr>
          <w:rStyle w:val="FootnoteReference"/>
        </w:rPr>
        <w:footnoteRef/>
      </w:r>
      <w:r>
        <w:t xml:space="preserve"> </w:t>
      </w:r>
      <w:r>
        <w:t xml:space="preserve">玛加伯下 12:46。</w:t>
      </w:r>
    </w:p>
  </w:footnote>
  <w:footnote w:id="1941">
    <w:p>
      <w:pPr>
        <w:pStyle w:val="FootnoteText"/>
      </w:pPr>
      <w:r>
        <w:rPr>
          <w:rStyle w:val="FootnoteReference"/>
        </w:rPr>
        <w:footnoteRef/>
      </w:r>
      <w:r>
        <w:t xml:space="preserve"> </w:t>
      </w:r>
      <w:r>
        <w:t xml:space="preserve">参 里昂第二次大公会议(1274)：DS 856。</w:t>
      </w:r>
    </w:p>
  </w:footnote>
  <w:footnote w:id="1942">
    <w:p>
      <w:pPr>
        <w:pStyle w:val="FootnoteText"/>
      </w:pPr>
      <w:r>
        <w:rPr>
          <w:rStyle w:val="FootnoteReference"/>
        </w:rPr>
        <w:footnoteRef/>
      </w:r>
      <w:r>
        <w:t xml:space="preserve"> </w:t>
      </w:r>
      <w:r>
        <w:t xml:space="preserve">圣约翰·屈梭多模，《论哥林多前书讲道集》41,5：PG 61,361；参 伯 1:5。</w:t>
      </w:r>
    </w:p>
  </w:footnote>
  <w:footnote w:id="1943">
    <w:p>
      <w:pPr>
        <w:pStyle w:val="FootnoteText"/>
      </w:pPr>
      <w:r>
        <w:rPr>
          <w:rStyle w:val="FootnoteReference"/>
        </w:rPr>
        <w:footnoteRef/>
      </w:r>
      <w:r>
        <w:t xml:space="preserve"> </w:t>
      </w:r>
      <w:r>
        <w:t xml:space="preserve">约壹 3:14-15。</w:t>
      </w:r>
    </w:p>
  </w:footnote>
  <w:footnote w:id="1944">
    <w:p>
      <w:pPr>
        <w:pStyle w:val="FootnoteText"/>
      </w:pPr>
      <w:r>
        <w:rPr>
          <w:rStyle w:val="FootnoteReference"/>
        </w:rPr>
        <w:footnoteRef/>
      </w:r>
      <w:r>
        <w:t xml:space="preserve"> </w:t>
      </w:r>
      <w:r>
        <w:t xml:space="preserve">参 太 25:31-46。</w:t>
      </w:r>
    </w:p>
  </w:footnote>
  <w:footnote w:id="1945">
    <w:p>
      <w:pPr>
        <w:pStyle w:val="FootnoteText"/>
      </w:pPr>
      <w:r>
        <w:rPr>
          <w:rStyle w:val="FootnoteReference"/>
        </w:rPr>
        <w:footnoteRef/>
      </w:r>
      <w:r>
        <w:t xml:space="preserve"> </w:t>
      </w:r>
      <w:r>
        <w:t xml:space="preserve">参林前 3:15；彼前 1:7。</w:t>
      </w:r>
    </w:p>
  </w:footnote>
  <w:footnote w:id="1946">
    <w:p>
      <w:pPr>
        <w:pStyle w:val="FootnoteText"/>
      </w:pPr>
      <w:r>
        <w:rPr>
          <w:rStyle w:val="FootnoteReference"/>
        </w:rPr>
        <w:footnoteRef/>
      </w:r>
      <w:r>
        <w:t xml:space="preserve"> </w:t>
      </w:r>
      <w:r>
        <w:t xml:space="preserve">太 13:41-42。</w:t>
      </w:r>
    </w:p>
  </w:footnote>
  <w:footnote w:id="1947">
    <w:p>
      <w:pPr>
        <w:pStyle w:val="FootnoteText"/>
      </w:pPr>
      <w:r>
        <w:rPr>
          <w:rStyle w:val="FootnoteReference"/>
        </w:rPr>
        <w:footnoteRef/>
      </w:r>
      <w:r>
        <w:t xml:space="preserve"> </w:t>
      </w:r>
      <w:r>
        <w:t xml:space="preserve">太 25:41。</w:t>
      </w:r>
    </w:p>
  </w:footnote>
  <w:footnote w:id="1948">
    <w:p>
      <w:pPr>
        <w:pStyle w:val="FootnoteText"/>
      </w:pPr>
      <w:r>
        <w:rPr>
          <w:rStyle w:val="FootnoteReference"/>
        </w:rPr>
        <w:footnoteRef/>
      </w:r>
      <w:r>
        <w:t xml:space="preserve"> </w:t>
      </w:r>
      <w:r>
        <w:t xml:space="preserve">太 25:41。</w:t>
      </w:r>
    </w:p>
  </w:footnote>
  <w:footnote w:id="1949">
    <w:p>
      <w:pPr>
        <w:pStyle w:val="FootnoteText"/>
      </w:pPr>
      <w:r>
        <w:rPr>
          <w:rStyle w:val="FootnoteReference"/>
        </w:rPr>
        <w:footnoteRef/>
      </w:r>
      <w:r>
        <w:t xml:space="preserve"> </w:t>
      </w:r>
      <w:r>
        <w:t xml:space="preserve">参太 25:41。</w:t>
      </w:r>
    </w:p>
  </w:footnote>
  <w:footnote w:id="1950">
    <w:p>
      <w:pPr>
        <w:pStyle w:val="FootnoteText"/>
      </w:pPr>
      <w:r>
        <w:rPr>
          <w:rStyle w:val="FootnoteReference"/>
        </w:rPr>
        <w:footnoteRef/>
      </w:r>
      <w:r>
        <w:t xml:space="preserve"> </w:t>
      </w:r>
      <w:r>
        <w:t xml:space="preserve">太 5:22，29；10:28；13:42，50；可 9:43-48。</w:t>
      </w:r>
    </w:p>
  </w:footnote>
  <w:footnote w:id="1951">
    <w:p>
      <w:pPr>
        <w:pStyle w:val="FootnoteText"/>
      </w:pPr>
      <w:r>
        <w:rPr>
          <w:rStyle w:val="FootnoteReference"/>
        </w:rPr>
        <w:footnoteRef/>
      </w:r>
      <w:r>
        <w:t xml:space="preserve"> </w:t>
      </w:r>
      <w:r>
        <w:t xml:space="preserve">太 13:41-42。</w:t>
      </w:r>
    </w:p>
  </w:footnote>
  <w:footnote w:id="1954">
    <w:p>
      <w:pPr>
        <w:pStyle w:val="FootnoteText"/>
      </w:pPr>
      <w:r>
        <w:rPr>
          <w:rStyle w:val="FootnoteReference"/>
        </w:rPr>
        <w:footnoteRef/>
      </w:r>
      <w:r>
        <w:t xml:space="preserve"> </w:t>
      </w:r>
      <w:r>
        <w:t xml:space="preserve">圣耶路撒冷的区利罗，《慕道讲授》18,29：PG 33,1049。</w:t>
      </w:r>
    </w:p>
  </w:footnote>
  <w:footnote w:id="1955">
    <w:p>
      <w:pPr>
        <w:pStyle w:val="FootnoteText"/>
      </w:pPr>
      <w:r>
        <w:rPr>
          <w:rStyle w:val="FootnoteReference"/>
        </w:rPr>
        <w:footnoteRef/>
      </w:r>
      <w:r>
        <w:t xml:space="preserve"> </w:t>
      </w:r>
      <w:r>
        <w:t xml:space="preserve">参 启 22:21。</w:t>
      </w:r>
    </w:p>
  </w:footnote>
  <w:footnote w:id="1956">
    <w:p>
      <w:pPr>
        <w:pStyle w:val="FootnoteText"/>
      </w:pPr>
      <w:r>
        <w:rPr>
          <w:rStyle w:val="FootnoteReference"/>
        </w:rPr>
        <w:footnoteRef/>
      </w:r>
      <w:r>
        <w:t xml:space="preserve"> </w:t>
      </w:r>
      <w:r>
        <w:t xml:space="preserve">参《罗马弥撒经书》，圣餐祷文一（罗马礼典） 88。</w:t>
      </w:r>
    </w:p>
  </w:footnote>
  <w:footnote w:id="1957">
    <w:p>
      <w:pPr>
        <w:pStyle w:val="FootnoteText"/>
      </w:pPr>
      <w:r>
        <w:rPr>
          <w:rStyle w:val="FootnoteReference"/>
        </w:rPr>
        <w:footnoteRef/>
      </w:r>
      <w:r>
        <w:t xml:space="preserve"> </w:t>
      </w:r>
      <w:r>
        <w:t xml:space="preserve">参 太 6:2,5,16；约 5:19。</w:t>
      </w:r>
    </w:p>
  </w:footnote>
  <w:footnote w:id="1958">
    <w:p>
      <w:pPr>
        <w:pStyle w:val="FootnoteText"/>
      </w:pPr>
      <w:r>
        <w:rPr>
          <w:rStyle w:val="FootnoteReference"/>
        </w:rPr>
        <w:footnoteRef/>
      </w:r>
      <w:r>
        <w:t xml:space="preserve"> </w:t>
      </w:r>
      <w:r>
        <w:t xml:space="preserve">圣奥古斯丁，《讲道集》58,11,13：PL 38,399。</w:t>
      </w:r>
    </w:p>
  </w:footnote>
  <w:footnote w:id="1959">
    <w:p>
      <w:pPr>
        <w:pStyle w:val="FootnoteText"/>
      </w:pPr>
      <w:r>
        <w:rPr>
          <w:rStyle w:val="FootnoteReference"/>
        </w:rPr>
        <w:footnoteRef/>
      </w:r>
      <w:r>
        <w:t xml:space="preserve"> </w:t>
      </w:r>
      <w:r>
        <w:t xml:space="preserve">参 林后 1:20。</w:t>
      </w:r>
    </w:p>
  </w:footnote>
  <w:footnote w:id="1965">
    <w:p>
      <w:pPr>
        <w:pStyle w:val="FootnoteText"/>
      </w:pPr>
      <w:r>
        <w:rPr>
          <w:rStyle w:val="FootnoteReference"/>
        </w:rPr>
        <w:footnoteRef/>
      </w:r>
      <w:r>
        <w:t xml:space="preserve"> </w:t>
      </w:r>
      <w:r>
        <w:t xml:space="preserve">弗 1:9。</w:t>
      </w:r>
    </w:p>
  </w:footnote>
  <w:footnote w:id="1966">
    <w:p>
      <w:pPr>
        <w:pStyle w:val="FootnoteText"/>
      </w:pPr>
      <w:r>
        <w:rPr>
          <w:rStyle w:val="FootnoteReference"/>
        </w:rPr>
        <w:footnoteRef/>
      </w:r>
      <w:r>
        <w:t xml:space="preserve"> </w:t>
      </w:r>
      <w:r>
        <w:t xml:space="preserve">弗 3:9；参 3:4。</w:t>
      </w:r>
    </w:p>
  </w:footnote>
  <w:footnote w:id="1967">
    <w:p>
      <w:pPr>
        <w:pStyle w:val="FootnoteText"/>
      </w:pPr>
      <w:r>
        <w:rPr>
          <w:rStyle w:val="FootnoteReference"/>
        </w:rPr>
        <w:footnoteRef/>
      </w:r>
      <w:r>
        <w:t xml:space="preserve"> </w:t>
      </w:r>
      <w:r>
        <w:t xml:space="preserve">SC 5 § 2；参圣奥古斯丁，《诗篇讲解》138,2:PL 37,1784-1785。</w:t>
      </w:r>
    </w:p>
  </w:footnote>
  <w:footnote w:id="1968">
    <w:p>
      <w:pPr>
        <w:pStyle w:val="FootnoteText"/>
      </w:pPr>
      <w:r>
        <w:rPr>
          <w:rStyle w:val="FootnoteReference"/>
        </w:rPr>
        <w:footnoteRef/>
      </w:r>
      <w:r>
        <w:t xml:space="preserve"> </w:t>
      </w:r>
      <w:r>
        <w:t xml:space="preserve">SC 2。</w:t>
      </w:r>
    </w:p>
  </w:footnote>
  <w:footnote w:id="1970">
    <w:p>
      <w:pPr>
        <w:pStyle w:val="FootnoteText"/>
      </w:pPr>
      <w:r>
        <w:rPr>
          <w:rStyle w:val="FootnoteReference"/>
        </w:rPr>
        <w:footnoteRef/>
      </w:r>
      <w:r>
        <w:t xml:space="preserve"> </w:t>
      </w:r>
      <w:r>
        <w:t xml:space="preserve">参约 17:4。</w:t>
      </w:r>
    </w:p>
  </w:footnote>
  <w:footnote w:id="1971">
    <w:p>
      <w:pPr>
        <w:pStyle w:val="FootnoteText"/>
      </w:pPr>
      <w:r>
        <w:rPr>
          <w:rStyle w:val="FootnoteReference"/>
        </w:rPr>
        <w:footnoteRef/>
      </w:r>
      <w:r>
        <w:t xml:space="preserve"> </w:t>
      </w:r>
      <w:r>
        <w:t xml:space="preserve">参路 1:23；徒 13:2；罗 15:16,27；林后 9:12；腓 2:14-17,25,30。</w:t>
      </w:r>
    </w:p>
  </w:footnote>
  <w:footnote w:id="1972">
    <w:p>
      <w:pPr>
        <w:pStyle w:val="FootnoteText"/>
      </w:pPr>
      <w:r>
        <w:rPr>
          <w:rStyle w:val="FootnoteReference"/>
        </w:rPr>
        <w:footnoteRef/>
      </w:r>
      <w:r>
        <w:t xml:space="preserve"> </w:t>
      </w:r>
      <w:r>
        <w:t xml:space="preserve">参来 8:2,6。</w:t>
      </w:r>
    </w:p>
  </w:footnote>
  <w:footnote w:id="1973">
    <w:p>
      <w:pPr>
        <w:pStyle w:val="FootnoteText"/>
      </w:pPr>
      <w:r>
        <w:rPr>
          <w:rStyle w:val="FootnoteReference"/>
        </w:rPr>
        <w:footnoteRef/>
      </w:r>
      <w:r>
        <w:t xml:space="preserve"> </w:t>
      </w:r>
      <w:r>
        <w:t xml:space="preserve">SC 7 § 2-3。</w:t>
      </w:r>
    </w:p>
  </w:footnote>
  <w:footnote w:id="1975">
    <w:p>
      <w:pPr>
        <w:pStyle w:val="FootnoteText"/>
      </w:pPr>
      <w:r>
        <w:rPr>
          <w:rStyle w:val="FootnoteReference"/>
        </w:rPr>
        <w:footnoteRef/>
      </w:r>
      <w:r>
        <w:t xml:space="preserve"> </w:t>
      </w:r>
      <w:r>
        <w:t xml:space="preserve">SC 11。</w:t>
      </w:r>
    </w:p>
  </w:footnote>
  <w:footnote w:id="1976">
    <w:p>
      <w:pPr>
        <w:pStyle w:val="FootnoteText"/>
      </w:pPr>
      <w:r>
        <w:rPr>
          <w:rStyle w:val="FootnoteReference"/>
        </w:rPr>
        <w:footnoteRef/>
      </w:r>
      <w:r>
        <w:t xml:space="preserve"> </w:t>
      </w:r>
      <w:r>
        <w:t xml:space="preserve">SC 9。</w:t>
      </w:r>
    </w:p>
  </w:footnote>
  <w:footnote w:id="1978">
    <w:p>
      <w:pPr>
        <w:pStyle w:val="FootnoteText"/>
      </w:pPr>
      <w:r>
        <w:rPr>
          <w:rStyle w:val="FootnoteReference"/>
        </w:rPr>
        <w:footnoteRef/>
      </w:r>
      <w:r>
        <w:t xml:space="preserve"> </w:t>
      </w:r>
      <w:r>
        <w:t xml:space="preserve">弗 2:4；3:16-17。</w:t>
      </w:r>
    </w:p>
  </w:footnote>
  <w:footnote w:id="1979">
    <w:p>
      <w:pPr>
        <w:pStyle w:val="FootnoteText"/>
      </w:pPr>
      <w:r>
        <w:rPr>
          <w:rStyle w:val="FootnoteReference"/>
        </w:rPr>
        <w:footnoteRef/>
      </w:r>
      <w:r>
        <w:t xml:space="preserve"> </w:t>
      </w:r>
      <w:r>
        <w:t xml:space="preserve">弗 6:18。</w:t>
      </w:r>
    </w:p>
  </w:footnote>
  <w:footnote w:id="1981">
    <w:p>
      <w:pPr>
        <w:pStyle w:val="FootnoteText"/>
      </w:pPr>
      <w:r>
        <w:rPr>
          <w:rStyle w:val="FootnoteReference"/>
        </w:rPr>
        <w:footnoteRef/>
      </w:r>
      <w:r>
        <w:t xml:space="preserve"> </w:t>
      </w:r>
      <w:r>
        <w:t xml:space="preserve">SC 10。</w:t>
      </w:r>
    </w:p>
  </w:footnote>
  <w:footnote w:id="1982">
    <w:p>
      <w:pPr>
        <w:pStyle w:val="FootnoteText"/>
      </w:pPr>
      <w:r>
        <w:rPr>
          <w:rStyle w:val="FootnoteReference"/>
        </w:rPr>
        <w:footnoteRef/>
      </w:r>
      <w:r>
        <w:t xml:space="preserve"> </w:t>
      </w:r>
      <w:r>
        <w:t xml:space="preserve">若望保禄二世，CT 23。</w:t>
      </w:r>
    </w:p>
  </w:footnote>
  <w:footnote w:id="1983">
    <w:p>
      <w:pPr>
        <w:pStyle w:val="FootnoteText"/>
      </w:pPr>
      <w:r>
        <w:rPr>
          <w:rStyle w:val="FootnoteReference"/>
        </w:rPr>
        <w:footnoteRef/>
      </w:r>
      <w:r>
        <w:t xml:space="preserve"> </w:t>
      </w:r>
      <w:r>
        <w:t xml:space="preserve">参 SC 3-4。</w:t>
      </w:r>
    </w:p>
  </w:footnote>
  <w:footnote w:id="1985">
    <w:p>
      <w:pPr>
        <w:pStyle w:val="FootnoteText"/>
      </w:pPr>
      <w:r>
        <w:rPr>
          <w:rStyle w:val="FootnoteReference"/>
        </w:rPr>
        <w:footnoteRef/>
      </w:r>
      <w:r>
        <w:t xml:space="preserve"> </w:t>
      </w:r>
      <w:r>
        <w:t xml:space="preserve">弗 1:3-6。</w:t>
      </w:r>
    </w:p>
  </w:footnote>
  <w:footnote w:id="1986">
    <w:p>
      <w:pPr>
        <w:pStyle w:val="FootnoteText"/>
      </w:pPr>
      <w:r>
        <w:rPr>
          <w:rStyle w:val="FootnoteReference"/>
        </w:rPr>
        <w:footnoteRef/>
      </w:r>
      <w:r>
        <w:t xml:space="preserve"> </w:t>
      </w:r>
      <w:r>
        <w:t xml:space="preserve">eu-logia，bene-dictio。</w:t>
      </w:r>
    </w:p>
  </w:footnote>
  <w:footnote w:id="1987">
    <w:p>
      <w:pPr>
        <w:pStyle w:val="FootnoteText"/>
      </w:pPr>
      <w:r>
        <w:rPr>
          <w:rStyle w:val="FootnoteReference"/>
        </w:rPr>
        <w:footnoteRef/>
      </w:r>
      <w:r>
        <w:t xml:space="preserve"> </w:t>
      </w:r>
      <w:r>
        <w:t xml:space="preserve">路 10:21。</w:t>
      </w:r>
    </w:p>
  </w:footnote>
  <w:footnote w:id="1988">
    <w:p>
      <w:pPr>
        <w:pStyle w:val="FootnoteText"/>
      </w:pPr>
      <w:r>
        <w:rPr>
          <w:rStyle w:val="FootnoteReference"/>
        </w:rPr>
        <w:footnoteRef/>
      </w:r>
      <w:r>
        <w:t xml:space="preserve"> </w:t>
      </w:r>
      <w:r>
        <w:t xml:space="preserve">林后 9:15。</w:t>
      </w:r>
    </w:p>
  </w:footnote>
  <w:footnote w:id="1989">
    <w:p>
      <w:pPr>
        <w:pStyle w:val="FootnoteText"/>
      </w:pPr>
      <w:r>
        <w:rPr>
          <w:rStyle w:val="FootnoteReference"/>
        </w:rPr>
        <w:footnoteRef/>
      </w:r>
      <w:r>
        <w:t xml:space="preserve"> </w:t>
      </w:r>
      <w:r>
        <w:t xml:space="preserve">弗 1:6。</w:t>
      </w:r>
    </w:p>
  </w:footnote>
  <w:footnote w:id="1991">
    <w:p>
      <w:pPr>
        <w:pStyle w:val="FootnoteText"/>
      </w:pPr>
      <w:r>
        <w:rPr>
          <w:rStyle w:val="FootnoteReference"/>
        </w:rPr>
        <w:footnoteRef/>
      </w:r>
      <w:r>
        <w:t xml:space="preserve"> </w:t>
      </w:r>
      <w:r>
        <w:t xml:space="preserve">罗 6:10；来 7:27；9:12；参约 13:1；17:1。</w:t>
      </w:r>
    </w:p>
  </w:footnote>
  <w:footnote w:id="1992">
    <w:p>
      <w:pPr>
        <w:pStyle w:val="FootnoteText"/>
      </w:pPr>
      <w:r>
        <w:rPr>
          <w:rStyle w:val="FootnoteReference"/>
        </w:rPr>
        <w:footnoteRef/>
      </w:r>
      <w:r>
        <w:t xml:space="preserve"> </w:t>
      </w:r>
      <w:r>
        <w:t xml:space="preserve">SC 6。</w:t>
      </w:r>
    </w:p>
  </w:footnote>
  <w:footnote w:id="1993">
    <w:p>
      <w:pPr>
        <w:pStyle w:val="FootnoteText"/>
      </w:pPr>
      <w:r>
        <w:rPr>
          <w:rStyle w:val="FootnoteReference"/>
        </w:rPr>
        <w:footnoteRef/>
      </w:r>
      <w:r>
        <w:t xml:space="preserve"> </w:t>
      </w:r>
      <w:r>
        <w:t xml:space="preserve">参约 20:21-23。</w:t>
      </w:r>
    </w:p>
  </w:footnote>
  <w:footnote w:id="1994">
    <w:p>
      <w:pPr>
        <w:pStyle w:val="FootnoteText"/>
      </w:pPr>
      <w:r>
        <w:rPr>
          <w:rStyle w:val="FootnoteReference"/>
        </w:rPr>
        <w:footnoteRef/>
      </w:r>
      <w:r>
        <w:t xml:space="preserve"> </w:t>
      </w:r>
      <w:r>
        <w:t xml:space="preserve">SC 7；太 18:20。</w:t>
      </w:r>
    </w:p>
  </w:footnote>
  <w:footnote w:id="1995">
    <w:p>
      <w:pPr>
        <w:pStyle w:val="FootnoteText"/>
      </w:pPr>
      <w:r>
        <w:rPr>
          <w:rStyle w:val="FootnoteReference"/>
        </w:rPr>
        <w:footnoteRef/>
      </w:r>
      <w:r>
        <w:t xml:space="preserve"> </w:t>
      </w:r>
      <w:r>
        <w:t xml:space="preserve">SC 7。</w:t>
      </w:r>
    </w:p>
  </w:footnote>
  <w:footnote w:id="1996">
    <w:p>
      <w:pPr>
        <w:pStyle w:val="FootnoteText"/>
      </w:pPr>
      <w:r>
        <w:rPr>
          <w:rStyle w:val="FootnoteReference"/>
        </w:rPr>
        <w:footnoteRef/>
      </w:r>
      <w:r>
        <w:t xml:space="preserve"> </w:t>
      </w:r>
      <w:r>
        <w:t xml:space="preserve">SC 8；参 LG 50。</w:t>
      </w:r>
    </w:p>
  </w:footnote>
  <w:footnote w:id="1998">
    <w:p>
      <w:pPr>
        <w:pStyle w:val="FootnoteText"/>
      </w:pPr>
      <w:r>
        <w:rPr>
          <w:rStyle w:val="FootnoteReference"/>
        </w:rPr>
        <w:footnoteRef/>
      </w:r>
      <w:r>
        <w:t xml:space="preserve"> </w:t>
      </w:r>
      <w:r>
        <w:t xml:space="preserve">LG 2.</w:t>
      </w:r>
    </w:p>
  </w:footnote>
  <w:footnote w:id="1999">
    <w:p>
      <w:pPr>
        <w:pStyle w:val="FootnoteText"/>
      </w:pPr>
      <w:r>
        <w:rPr>
          <w:rStyle w:val="FootnoteReference"/>
        </w:rPr>
        <w:footnoteRef/>
      </w:r>
      <w:r>
        <w:t xml:space="preserve"> </w:t>
      </w:r>
      <w:r>
        <w:t xml:space="preserve">参 DV 14-16；路 24:13-49。</w:t>
      </w:r>
    </w:p>
  </w:footnote>
  <w:footnote w:id="2000">
    <w:p>
      <w:pPr>
        <w:pStyle w:val="FootnoteText"/>
      </w:pPr>
      <w:r>
        <w:rPr>
          <w:rStyle w:val="FootnoteReference"/>
        </w:rPr>
        <w:footnoteRef/>
      </w:r>
      <w:r>
        <w:t xml:space="preserve"> </w:t>
      </w:r>
      <w:r>
        <w:t xml:space="preserve">参林后 3:14-16。</w:t>
      </w:r>
    </w:p>
  </w:footnote>
  <w:footnote w:id="2001">
    <w:p>
      <w:pPr>
        <w:pStyle w:val="FootnoteText"/>
      </w:pPr>
      <w:r>
        <w:rPr>
          <w:rStyle w:val="FootnoteReference"/>
        </w:rPr>
        <w:footnoteRef/>
      </w:r>
      <w:r>
        <w:t xml:space="preserve"> </w:t>
      </w:r>
      <w:r>
        <w:t xml:space="preserve">参彼前 3:21。</w:t>
      </w:r>
    </w:p>
  </w:footnote>
  <w:footnote w:id="2002">
    <w:p>
      <w:pPr>
        <w:pStyle w:val="FootnoteText"/>
      </w:pPr>
      <w:r>
        <w:rPr>
          <w:rStyle w:val="FootnoteReference"/>
        </w:rPr>
        <w:footnoteRef/>
      </w:r>
      <w:r>
        <w:t xml:space="preserve"> </w:t>
      </w:r>
      <w:r>
        <w:t xml:space="preserve">参约 6:32；参林前 10:1-6。</w:t>
      </w:r>
    </w:p>
  </w:footnote>
  <w:footnote w:id="2004">
    <w:p>
      <w:pPr>
        <w:pStyle w:val="FootnoteText"/>
      </w:pPr>
      <w:r>
        <w:rPr>
          <w:rStyle w:val="FootnoteReference"/>
        </w:rPr>
        <w:footnoteRef/>
      </w:r>
      <w:r>
        <w:t xml:space="preserve"> </w:t>
      </w:r>
      <w:r>
        <w:t xml:space="preserve">参约 14:26。</w:t>
      </w:r>
    </w:p>
  </w:footnote>
  <w:footnote w:id="2005">
    <w:p>
      <w:pPr>
        <w:pStyle w:val="FootnoteText"/>
      </w:pPr>
      <w:r>
        <w:rPr>
          <w:rStyle w:val="FootnoteReference"/>
        </w:rPr>
        <w:footnoteRef/>
      </w:r>
      <w:r>
        <w:t xml:space="preserve"> </w:t>
      </w:r>
      <w:r>
        <w:t xml:space="preserve">SC 24.</w:t>
      </w:r>
    </w:p>
  </w:footnote>
  <w:footnote w:id="2006">
    <w:p>
      <w:pPr>
        <w:pStyle w:val="FootnoteText"/>
      </w:pPr>
      <w:r>
        <w:rPr>
          <w:rStyle w:val="FootnoteReference"/>
        </w:rPr>
        <w:footnoteRef/>
      </w:r>
      <w:r>
        <w:t xml:space="preserve"> </w:t>
      </w:r>
      <w:r>
        <w:t xml:space="preserve">PO 4.</w:t>
      </w:r>
    </w:p>
  </w:footnote>
  <w:footnote w:id="2007">
    <w:p>
      <w:pPr>
        <w:pStyle w:val="FootnoteText"/>
      </w:pPr>
      <w:r>
        <w:rPr>
          <w:rStyle w:val="FootnoteReference"/>
        </w:rPr>
        <w:footnoteRef/>
      </w:r>
      <w:r>
        <w:t xml:space="preserve"> </w:t>
      </w:r>
      <w:r>
        <w:t xml:space="preserve">DV 2.</w:t>
      </w:r>
    </w:p>
  </w:footnote>
  <w:footnote w:id="2009">
    <w:p>
      <w:pPr>
        <w:pStyle w:val="FootnoteText"/>
      </w:pPr>
      <w:r>
        <w:rPr>
          <w:rStyle w:val="FootnoteReference"/>
        </w:rPr>
        <w:footnoteRef/>
      </w:r>
      <w:r>
        <w:t xml:space="preserve"> </w:t>
      </w:r>
      <w:r>
        <w:t xml:space="preserve">参罗 12:1。</w:t>
      </w:r>
    </w:p>
  </w:footnote>
  <w:footnote w:id="2010">
    <w:p>
      <w:pPr>
        <w:pStyle w:val="FootnoteText"/>
      </w:pPr>
      <w:r>
        <w:rPr>
          <w:rStyle w:val="FootnoteReference"/>
        </w:rPr>
        <w:footnoteRef/>
      </w:r>
      <w:r>
        <w:t xml:space="preserve"> </w:t>
      </w:r>
      <w:r>
        <w:t xml:space="preserve">圣约翰·达马森，《正统信仰》4,13:PG 94,1145A。</w:t>
      </w:r>
    </w:p>
  </w:footnote>
  <w:footnote w:id="2011">
    <w:p>
      <w:pPr>
        <w:pStyle w:val="FootnoteText"/>
      </w:pPr>
      <w:r>
        <w:rPr>
          <w:rStyle w:val="FootnoteReference"/>
        </w:rPr>
        <w:footnoteRef/>
      </w:r>
      <w:r>
        <w:t xml:space="preserve"> </w:t>
      </w:r>
      <w:r>
        <w:t xml:space="preserve">参弗 1:14；林后 1:22。</w:t>
      </w:r>
    </w:p>
  </w:footnote>
  <w:footnote w:id="2013">
    <w:p>
      <w:pPr>
        <w:pStyle w:val="FootnoteText"/>
      </w:pPr>
      <w:r>
        <w:rPr>
          <w:rStyle w:val="FootnoteReference"/>
        </w:rPr>
        <w:footnoteRef/>
      </w:r>
      <w:r>
        <w:t xml:space="preserve"> </w:t>
      </w:r>
      <w:r>
        <w:t xml:space="preserve">参约 15:1-17；加 5:22。</w:t>
      </w:r>
    </w:p>
  </w:footnote>
  <w:footnote w:id="2014">
    <w:p>
      <w:pPr>
        <w:pStyle w:val="FootnoteText"/>
      </w:pPr>
      <w:r>
        <w:rPr>
          <w:rStyle w:val="FootnoteReference"/>
        </w:rPr>
        <w:footnoteRef/>
      </w:r>
      <w:r>
        <w:t xml:space="preserve"> </w:t>
      </w:r>
      <w:r>
        <w:t xml:space="preserve">参约一 1:3-7。</w:t>
      </w:r>
    </w:p>
  </w:footnote>
  <w:footnote w:id="2015">
    <w:p>
      <w:pPr>
        <w:pStyle w:val="FootnoteText"/>
      </w:pPr>
      <w:r>
        <w:rPr>
          <w:rStyle w:val="FootnoteReference"/>
        </w:rPr>
        <w:footnoteRef/>
      </w:r>
      <w:r>
        <w:t xml:space="preserve"> </w:t>
      </w:r>
      <w:r>
        <w:t xml:space="preserve">林后 13:14。</w:t>
      </w:r>
    </w:p>
  </w:footnote>
  <w:footnote w:id="2020">
    <w:p>
      <w:pPr>
        <w:pStyle w:val="FootnoteText"/>
      </w:pPr>
      <w:r>
        <w:rPr>
          <w:rStyle w:val="FootnoteReference"/>
        </w:rPr>
        <w:footnoteRef/>
      </w:r>
      <w:r>
        <w:t xml:space="preserve"> </w:t>
      </w:r>
      <w:r>
        <w:t xml:space="preserve">参 SC 6。</w:t>
      </w:r>
    </w:p>
  </w:footnote>
  <w:footnote w:id="2021">
    <w:p>
      <w:pPr>
        <w:pStyle w:val="FootnoteText"/>
      </w:pPr>
      <w:r>
        <w:rPr>
          <w:rStyle w:val="FootnoteReference"/>
        </w:rPr>
        <w:footnoteRef/>
      </w:r>
      <w:r>
        <w:t xml:space="preserve"> </w:t>
      </w:r>
      <w:r>
        <w:t xml:space="preserve">参第二次里昂会议（1274 年）：DS 860；佛罗伦萨会议（1439 年）：DS 1310；特利腾会议（1547 年）：DS 1601。</w:t>
      </w:r>
    </w:p>
  </w:footnote>
  <w:footnote w:id="2022">
    <w:p>
      <w:pPr>
        <w:pStyle w:val="FootnoteText"/>
      </w:pPr>
      <w:r>
        <w:rPr>
          <w:rStyle w:val="FootnoteReference"/>
        </w:rPr>
        <w:footnoteRef/>
      </w:r>
      <w:r>
        <w:t xml:space="preserve"> </w:t>
      </w:r>
      <w:r>
        <w:t xml:space="preserve">特利腾会议（1547 年）：DS 1600-1601。</w:t>
      </w:r>
    </w:p>
  </w:footnote>
  <w:footnote w:id="2023">
    <w:p>
      <w:pPr>
        <w:pStyle w:val="FootnoteText"/>
      </w:pPr>
      <w:r>
        <w:rPr>
          <w:rStyle w:val="FootnoteReference"/>
        </w:rPr>
        <w:footnoteRef/>
      </w:r>
      <w:r>
        <w:t xml:space="preserve"> </w:t>
      </w:r>
      <w:r>
        <w:t xml:space="preserve">教宗圣良一世，《讲道》74,2：PL 54,398。</w:t>
      </w:r>
    </w:p>
  </w:footnote>
  <w:footnote w:id="2024">
    <w:p>
      <w:pPr>
        <w:pStyle w:val="FootnoteText"/>
      </w:pPr>
      <w:r>
        <w:rPr>
          <w:rStyle w:val="FootnoteReference"/>
        </w:rPr>
        <w:footnoteRef/>
      </w:r>
      <w:r>
        <w:t xml:space="preserve"> </w:t>
      </w:r>
      <w:r>
        <w:t xml:space="preserve">参路 5:17；6:19；8:46。</w:t>
      </w:r>
    </w:p>
  </w:footnote>
  <w:footnote w:id="2026">
    <w:p>
      <w:pPr>
        <w:pStyle w:val="FootnoteText"/>
      </w:pPr>
      <w:r>
        <w:rPr>
          <w:rStyle w:val="FootnoteReference"/>
        </w:rPr>
        <w:footnoteRef/>
      </w:r>
      <w:r>
        <w:t xml:space="preserve"> </w:t>
      </w:r>
      <w:r>
        <w:t xml:space="preserve">参约 16:13；参太 13:52；林前 4:1。</w:t>
      </w:r>
    </w:p>
  </w:footnote>
  <w:footnote w:id="2027">
    <w:p>
      <w:pPr>
        <w:pStyle w:val="FootnoteText"/>
      </w:pPr>
      <w:r>
        <w:rPr>
          <w:rStyle w:val="FootnoteReference"/>
        </w:rPr>
        <w:footnoteRef/>
      </w:r>
      <w:r>
        <w:t xml:space="preserve"> </w:t>
      </w:r>
      <w:r>
        <w:t xml:space="preserve">圣奥古斯丁，《上帝之城》22,17：PL 41,779；参圣托马斯阿奎那，《神学大全》III,64,2 ad 3。</w:t>
      </w:r>
    </w:p>
  </w:footnote>
  <w:footnote w:id="2028">
    <w:p>
      <w:pPr>
        <w:pStyle w:val="FootnoteText"/>
      </w:pPr>
      <w:r>
        <w:rPr>
          <w:rStyle w:val="FootnoteReference"/>
        </w:rPr>
        <w:footnoteRef/>
      </w:r>
      <w:r>
        <w:t xml:space="preserve"> </w:t>
      </w:r>
      <w:r>
        <w:t xml:space="preserve">LG 11；参庇护十二世，《基督奥体》（1943 年）。</w:t>
      </w:r>
    </w:p>
  </w:footnote>
  <w:footnote w:id="2029">
    <w:p>
      <w:pPr>
        <w:pStyle w:val="FootnoteText"/>
      </w:pPr>
      <w:r>
        <w:rPr>
          <w:rStyle w:val="FootnoteReference"/>
        </w:rPr>
        <w:footnoteRef/>
      </w:r>
      <w:r>
        <w:t xml:space="preserve"> </w:t>
      </w:r>
      <w:r>
        <w:t xml:space="preserve">LG 11 § 2。</w:t>
      </w:r>
    </w:p>
  </w:footnote>
  <w:footnote w:id="2030">
    <w:p>
      <w:pPr>
        <w:pStyle w:val="FootnoteText"/>
      </w:pPr>
      <w:r>
        <w:rPr>
          <w:rStyle w:val="FootnoteReference"/>
        </w:rPr>
        <w:footnoteRef/>
      </w:r>
      <w:r>
        <w:t xml:space="preserve"> </w:t>
      </w:r>
      <w:r>
        <w:t xml:space="preserve">参 LG 10 § 2。</w:t>
      </w:r>
    </w:p>
  </w:footnote>
  <w:footnote w:id="2031">
    <w:p>
      <w:pPr>
        <w:pStyle w:val="FootnoteText"/>
      </w:pPr>
      <w:r>
        <w:rPr>
          <w:rStyle w:val="FootnoteReference"/>
        </w:rPr>
        <w:footnoteRef/>
      </w:r>
      <w:r>
        <w:t xml:space="preserve"> </w:t>
      </w:r>
      <w:r>
        <w:t xml:space="preserve">参约 20:21-23；路 24:47；太 28:18-20。</w:t>
      </w:r>
    </w:p>
  </w:footnote>
  <w:footnote w:id="2032">
    <w:p>
      <w:pPr>
        <w:pStyle w:val="FootnoteText"/>
      </w:pPr>
      <w:r>
        <w:rPr>
          <w:rStyle w:val="FootnoteReference"/>
        </w:rPr>
        <w:footnoteRef/>
      </w:r>
      <w:r>
        <w:t xml:space="preserve"> </w:t>
      </w:r>
      <w:r>
        <w:t xml:space="preserve">参特利腾会议（1547 年）：DS 1609。</w:t>
      </w:r>
    </w:p>
  </w:footnote>
  <w:footnote w:id="2034">
    <w:p>
      <w:pPr>
        <w:pStyle w:val="FootnoteText"/>
      </w:pPr>
      <w:r>
        <w:rPr>
          <w:rStyle w:val="FootnoteReference"/>
        </w:rPr>
        <w:footnoteRef/>
      </w:r>
      <w:r>
        <w:t xml:space="preserve"> </w:t>
      </w:r>
      <w:r>
        <w:t xml:space="preserve">路 24:47。</w:t>
      </w:r>
    </w:p>
  </w:footnote>
  <w:footnote w:id="2035">
    <w:p>
      <w:pPr>
        <w:pStyle w:val="FootnoteText"/>
      </w:pPr>
      <w:r>
        <w:rPr>
          <w:rStyle w:val="FootnoteReference"/>
        </w:rPr>
        <w:footnoteRef/>
      </w:r>
      <w:r>
        <w:t xml:space="preserve"> </w:t>
      </w:r>
      <w:r>
        <w:t xml:space="preserve">太 28:19。</w:t>
      </w:r>
    </w:p>
  </w:footnote>
  <w:footnote w:id="2036">
    <w:p>
      <w:pPr>
        <w:pStyle w:val="FootnoteText"/>
      </w:pPr>
      <w:r>
        <w:rPr>
          <w:rStyle w:val="FootnoteReference"/>
        </w:rPr>
        <w:footnoteRef/>
      </w:r>
      <w:r>
        <w:t xml:space="preserve"> </w:t>
      </w:r>
      <w:r>
        <w:t xml:space="preserve">PO 4 §§ 1,2。</w:t>
      </w:r>
    </w:p>
  </w:footnote>
  <w:footnote w:id="2037">
    <w:p>
      <w:pPr>
        <w:pStyle w:val="FootnoteText"/>
      </w:pPr>
      <w:r>
        <w:rPr>
          <w:rStyle w:val="FootnoteReference"/>
        </w:rPr>
        <w:footnoteRef/>
      </w:r>
      <w:r>
        <w:t xml:space="preserve"> </w:t>
      </w:r>
      <w:r>
        <w:t xml:space="preserve">SC 59.</w:t>
      </w:r>
    </w:p>
  </w:footnote>
  <w:footnote w:id="2038">
    <w:p>
      <w:pPr>
        <w:pStyle w:val="FootnoteText"/>
      </w:pPr>
      <w:r>
        <w:rPr>
          <w:rStyle w:val="FootnoteReference"/>
        </w:rPr>
        <w:footnoteRef/>
      </w:r>
      <w:r>
        <w:t xml:space="preserve"> </w:t>
      </w:r>
      <w:r>
        <w:t xml:space="preserve">Ep. 8。</w:t>
      </w:r>
    </w:p>
  </w:footnote>
  <w:footnote w:id="2039">
    <w:p>
      <w:pPr>
        <w:pStyle w:val="FootnoteText"/>
      </w:pPr>
      <w:r>
        <w:rPr>
          <w:rStyle w:val="FootnoteReference"/>
        </w:rPr>
        <w:footnoteRef/>
      </w:r>
      <w:r>
        <w:t xml:space="preserve"> </w:t>
      </w:r>
      <w:r>
        <w:t xml:space="preserve">参 DV 8。</w:t>
      </w:r>
    </w:p>
  </w:footnote>
  <w:footnote w:id="2040">
    <w:p>
      <w:pPr>
        <w:pStyle w:val="FootnoteText"/>
      </w:pPr>
      <w:r>
        <w:rPr>
          <w:rStyle w:val="FootnoteReference"/>
        </w:rPr>
        <w:footnoteRef/>
      </w:r>
      <w:r>
        <w:t xml:space="preserve"> </w:t>
      </w:r>
      <w:r>
        <w:t xml:space="preserve">参 UR 2；15。</w:t>
      </w:r>
    </w:p>
  </w:footnote>
  <w:footnote w:id="2042">
    <w:p>
      <w:pPr>
        <w:pStyle w:val="FootnoteText"/>
      </w:pPr>
      <w:r>
        <w:rPr>
          <w:rStyle w:val="FootnoteReference"/>
        </w:rPr>
        <w:footnoteRef/>
      </w:r>
      <w:r>
        <w:t xml:space="preserve"> </w:t>
      </w:r>
      <w:r>
        <w:t xml:space="preserve">参特利腾会议（1547 年）：DS 1605；DS 1606。</w:t>
      </w:r>
    </w:p>
  </w:footnote>
  <w:footnote w:id="2043">
    <w:p>
      <w:pPr>
        <w:pStyle w:val="FootnoteText"/>
      </w:pPr>
      <w:r>
        <w:rPr>
          <w:rStyle w:val="FootnoteReference"/>
        </w:rPr>
        <w:footnoteRef/>
      </w:r>
      <w:r>
        <w:t xml:space="preserve"> </w:t>
      </w:r>
      <w:r>
        <w:t xml:space="preserve">参特利腾会议（1547 年）：DS 1608。</w:t>
      </w:r>
    </w:p>
  </w:footnote>
  <w:footnote w:id="2044">
    <w:p>
      <w:pPr>
        <w:pStyle w:val="FootnoteText"/>
      </w:pPr>
      <w:r>
        <w:rPr>
          <w:rStyle w:val="FootnoteReference"/>
        </w:rPr>
        <w:footnoteRef/>
      </w:r>
      <w:r>
        <w:t xml:space="preserve"> </w:t>
      </w:r>
      <w:r>
        <w:t xml:space="preserve">圣托马斯阿奎那，《神学大全》III, 68,8。</w:t>
      </w:r>
    </w:p>
  </w:footnote>
  <w:footnote w:id="2045">
    <w:p>
      <w:pPr>
        <w:pStyle w:val="FootnoteText"/>
      </w:pPr>
      <w:r>
        <w:rPr>
          <w:rStyle w:val="FootnoteReference"/>
        </w:rPr>
        <w:footnoteRef/>
      </w:r>
      <w:r>
        <w:t xml:space="preserve"> </w:t>
      </w:r>
      <w:r>
        <w:t xml:space="preserve">参特利腾会议（1547 年）：DS 1604。</w:t>
      </w:r>
    </w:p>
  </w:footnote>
  <w:footnote w:id="2046">
    <w:p>
      <w:pPr>
        <w:pStyle w:val="FootnoteText"/>
      </w:pPr>
      <w:r>
        <w:rPr>
          <w:rStyle w:val="FootnoteReference"/>
        </w:rPr>
        <w:footnoteRef/>
      </w:r>
      <w:r>
        <w:t xml:space="preserve"> </w:t>
      </w:r>
      <w:r>
        <w:t xml:space="preserve">参彼后 1:4。</w:t>
      </w:r>
    </w:p>
  </w:footnote>
  <w:footnote w:id="2048">
    <w:p>
      <w:pPr>
        <w:pStyle w:val="FootnoteText"/>
      </w:pPr>
      <w:r>
        <w:rPr>
          <w:rStyle w:val="FootnoteReference"/>
        </w:rPr>
        <w:footnoteRef/>
      </w:r>
      <w:r>
        <w:t xml:space="preserve"> </w:t>
      </w:r>
      <w:r>
        <w:t xml:space="preserve">林前 11:26；15:28。</w:t>
      </w:r>
    </w:p>
  </w:footnote>
  <w:footnote w:id="2049">
    <w:p>
      <w:pPr>
        <w:pStyle w:val="FootnoteText"/>
      </w:pPr>
      <w:r>
        <w:rPr>
          <w:rStyle w:val="FootnoteReference"/>
        </w:rPr>
        <w:footnoteRef/>
      </w:r>
      <w:r>
        <w:t xml:space="preserve"> </w:t>
      </w:r>
      <w:r>
        <w:t xml:space="preserve">林前 16:22。</w:t>
      </w:r>
    </w:p>
  </w:footnote>
  <w:footnote w:id="2050">
    <w:p>
      <w:pPr>
        <w:pStyle w:val="FootnoteText"/>
      </w:pPr>
      <w:r>
        <w:rPr>
          <w:rStyle w:val="FootnoteReference"/>
        </w:rPr>
        <w:footnoteRef/>
      </w:r>
      <w:r>
        <w:t xml:space="preserve"> </w:t>
      </w:r>
      <w:r>
        <w:t xml:space="preserve">路 22:15。</w:t>
      </w:r>
    </w:p>
  </w:footnote>
  <w:footnote w:id="2051">
    <w:p>
      <w:pPr>
        <w:pStyle w:val="FootnoteText"/>
      </w:pPr>
      <w:r>
        <w:rPr>
          <w:rStyle w:val="FootnoteReference"/>
        </w:rPr>
        <w:footnoteRef/>
      </w:r>
      <w:r>
        <w:t xml:space="preserve"> </w:t>
      </w:r>
      <w:r>
        <w:t xml:space="preserve">多 2:13。</w:t>
      </w:r>
    </w:p>
  </w:footnote>
  <w:footnote w:id="2052">
    <w:p>
      <w:pPr>
        <w:pStyle w:val="FootnoteText"/>
      </w:pPr>
      <w:r>
        <w:rPr>
          <w:rStyle w:val="FootnoteReference"/>
        </w:rPr>
        <w:footnoteRef/>
      </w:r>
      <w:r>
        <w:t xml:space="preserve"> </w:t>
      </w:r>
      <w:r>
        <w:t xml:space="preserve">启 22:17, 20。</w:t>
      </w:r>
    </w:p>
  </w:footnote>
  <w:footnote w:id="2053">
    <w:p>
      <w:pPr>
        <w:pStyle w:val="FootnoteText"/>
      </w:pPr>
      <w:r>
        <w:rPr>
          <w:rStyle w:val="FootnoteReference"/>
        </w:rPr>
        <w:footnoteRef/>
      </w:r>
      <w:r>
        <w:t xml:space="preserve"> </w:t>
      </w:r>
      <w:r>
        <w:t xml:space="preserve">圣托马斯阿奎那，《神学大全》III,60,3。</w:t>
      </w:r>
    </w:p>
  </w:footnote>
  <w:footnote w:id="2058">
    <w:p>
      <w:pPr>
        <w:pStyle w:val="FootnoteText"/>
      </w:pPr>
      <w:r>
        <w:rPr>
          <w:rStyle w:val="FootnoteReference"/>
        </w:rPr>
        <w:footnoteRef/>
      </w:r>
      <w:r>
        <w:t xml:space="preserve"> </w:t>
      </w:r>
      <w:r>
        <w:t xml:space="preserve">启 4:2，8；赛 6:1；参结 1:26-28。</w:t>
      </w:r>
    </w:p>
  </w:footnote>
  <w:footnote w:id="2059">
    <w:p>
      <w:pPr>
        <w:pStyle w:val="FootnoteText"/>
      </w:pPr>
      <w:r>
        <w:rPr>
          <w:rStyle w:val="FootnoteReference"/>
        </w:rPr>
        <w:footnoteRef/>
      </w:r>
      <w:r>
        <w:t xml:space="preserve"> </w:t>
      </w:r>
      <w:r>
        <w:t xml:space="preserve">启 5:6；屈梭多模圣礼奉献祷词；参约 1:29；来 4:14-15；10:19-2。</w:t>
      </w:r>
    </w:p>
  </w:footnote>
  <w:footnote w:id="2060">
    <w:p>
      <w:pPr>
        <w:pStyle w:val="FootnoteText"/>
      </w:pPr>
      <w:r>
        <w:rPr>
          <w:rStyle w:val="FootnoteReference"/>
        </w:rPr>
        <w:footnoteRef/>
      </w:r>
      <w:r>
        <w:t xml:space="preserve"> </w:t>
      </w:r>
      <w:r>
        <w:t xml:space="preserve">启 22:1；参 21:6；约 4:10-14。</w:t>
      </w:r>
    </w:p>
  </w:footnote>
  <w:footnote w:id="2061">
    <w:p>
      <w:pPr>
        <w:pStyle w:val="FootnoteText"/>
      </w:pPr>
      <w:r>
        <w:rPr>
          <w:rStyle w:val="FootnoteReference"/>
        </w:rPr>
        <w:footnoteRef/>
      </w:r>
      <w:r>
        <w:t xml:space="preserve"> </w:t>
      </w:r>
      <w:r>
        <w:t xml:space="preserve">参启 4-5；7:1-8；14:1；赛 6:2-3。</w:t>
      </w:r>
    </w:p>
  </w:footnote>
  <w:footnote w:id="2062">
    <w:p>
      <w:pPr>
        <w:pStyle w:val="FootnoteText"/>
      </w:pPr>
      <w:r>
        <w:rPr>
          <w:rStyle w:val="FootnoteReference"/>
        </w:rPr>
        <w:footnoteRef/>
      </w:r>
      <w:r>
        <w:t xml:space="preserve"> </w:t>
      </w:r>
      <w:r>
        <w:t xml:space="preserve">启 6:9-11；启 21:9；参 12。</w:t>
      </w:r>
    </w:p>
  </w:footnote>
  <w:footnote w:id="2063">
    <w:p>
      <w:pPr>
        <w:pStyle w:val="FootnoteText"/>
      </w:pPr>
      <w:r>
        <w:rPr>
          <w:rStyle w:val="FootnoteReference"/>
        </w:rPr>
        <w:footnoteRef/>
      </w:r>
      <w:r>
        <w:t xml:space="preserve"> </w:t>
      </w:r>
      <w:r>
        <w:t xml:space="preserve">启 7:9。</w:t>
      </w:r>
    </w:p>
  </w:footnote>
  <w:footnote w:id="2065">
    <w:p>
      <w:pPr>
        <w:pStyle w:val="FootnoteText"/>
      </w:pPr>
      <w:r>
        <w:rPr>
          <w:rStyle w:val="FootnoteReference"/>
        </w:rPr>
        <w:footnoteRef/>
      </w:r>
      <w:r>
        <w:t xml:space="preserve"> </w:t>
      </w:r>
      <w:r>
        <w:t xml:space="preserve">《礼仪宪章》26。</w:t>
      </w:r>
    </w:p>
  </w:footnote>
  <w:footnote w:id="2066">
    <w:p>
      <w:pPr>
        <w:pStyle w:val="FootnoteText"/>
      </w:pPr>
      <w:r>
        <w:rPr>
          <w:rStyle w:val="FootnoteReference"/>
        </w:rPr>
        <w:footnoteRef/>
      </w:r>
      <w:r>
        <w:t xml:space="preserve"> </w:t>
      </w:r>
      <w:r>
        <w:t xml:space="preserve">《礼仪宪章》27。</w:t>
      </w:r>
    </w:p>
  </w:footnote>
  <w:footnote w:id="2067">
    <w:p>
      <w:pPr>
        <w:pStyle w:val="FootnoteText"/>
      </w:pPr>
      <w:r>
        <w:rPr>
          <w:rStyle w:val="FootnoteReference"/>
        </w:rPr>
        <w:footnoteRef/>
      </w:r>
      <w:r>
        <w:t xml:space="preserve"> </w:t>
      </w:r>
      <w:r>
        <w:t xml:space="preserve">《教会宪章》10；参彼前 2:4-5。</w:t>
      </w:r>
    </w:p>
  </w:footnote>
  <w:footnote w:id="2068">
    <w:p>
      <w:pPr>
        <w:pStyle w:val="FootnoteText"/>
      </w:pPr>
      <w:r>
        <w:rPr>
          <w:rStyle w:val="FootnoteReference"/>
        </w:rPr>
        <w:footnoteRef/>
      </w:r>
      <w:r>
        <w:t xml:space="preserve"> </w:t>
      </w:r>
      <w:r>
        <w:t xml:space="preserve">参《教会宪章》10；34；《司铎职务与生活法令》2。</w:t>
      </w:r>
    </w:p>
  </w:footnote>
  <w:footnote w:id="2069">
    <w:p>
      <w:pPr>
        <w:pStyle w:val="FootnoteText"/>
      </w:pPr>
      <w:r>
        <w:rPr>
          <w:rStyle w:val="FootnoteReference"/>
        </w:rPr>
        <w:footnoteRef/>
      </w:r>
      <w:r>
        <w:t xml:space="preserve"> </w:t>
      </w:r>
      <w:r>
        <w:t xml:space="preserve">《礼仪宪章》14。</w:t>
      </w:r>
    </w:p>
  </w:footnote>
  <w:footnote w:id="2070">
    <w:p>
      <w:pPr>
        <w:pStyle w:val="FootnoteText"/>
      </w:pPr>
      <w:r>
        <w:rPr>
          <w:rStyle w:val="FootnoteReference"/>
        </w:rPr>
        <w:footnoteRef/>
      </w:r>
      <w:r>
        <w:t xml:space="preserve"> </w:t>
      </w:r>
      <w:r>
        <w:t xml:space="preserve">罗 12:4。</w:t>
      </w:r>
    </w:p>
  </w:footnote>
  <w:footnote w:id="2071">
    <w:p>
      <w:pPr>
        <w:pStyle w:val="FootnoteText"/>
      </w:pPr>
      <w:r>
        <w:rPr>
          <w:rStyle w:val="FootnoteReference"/>
        </w:rPr>
        <w:footnoteRef/>
      </w:r>
      <w:r>
        <w:t xml:space="preserve"> </w:t>
      </w:r>
      <w:r>
        <w:t xml:space="preserve">参《司铎职务与生活法令》2；15。</w:t>
      </w:r>
    </w:p>
  </w:footnote>
  <w:footnote w:id="2072">
    <w:p>
      <w:pPr>
        <w:pStyle w:val="FootnoteText"/>
      </w:pPr>
      <w:r>
        <w:rPr>
          <w:rStyle w:val="FootnoteReference"/>
        </w:rPr>
        <w:footnoteRef/>
      </w:r>
      <w:r>
        <w:t xml:space="preserve"> </w:t>
      </w:r>
      <w:r>
        <w:t xml:space="preserve">《礼仪宪章》29。</w:t>
      </w:r>
    </w:p>
  </w:footnote>
  <w:footnote w:id="2073">
    <w:p>
      <w:pPr>
        <w:pStyle w:val="FootnoteText"/>
      </w:pPr>
      <w:r>
        <w:rPr>
          <w:rStyle w:val="FootnoteReference"/>
        </w:rPr>
        <w:footnoteRef/>
      </w:r>
      <w:r>
        <w:t xml:space="preserve"> </w:t>
      </w:r>
      <w:r>
        <w:t xml:space="preserve">《礼仪宪章》28。</w:t>
      </w:r>
    </w:p>
  </w:footnote>
  <w:footnote w:id="2076">
    <w:p>
      <w:pPr>
        <w:pStyle w:val="FootnoteText"/>
      </w:pPr>
      <w:r>
        <w:rPr>
          <w:rStyle w:val="FootnoteReference"/>
        </w:rPr>
        <w:footnoteRef/>
      </w:r>
      <w:r>
        <w:t xml:space="preserve"> </w:t>
      </w:r>
      <w:r>
        <w:t xml:space="preserve">参智 13:1；罗 1:19 起；徒 14:17。</w:t>
      </w:r>
    </w:p>
  </w:footnote>
  <w:footnote w:id="2077">
    <w:p>
      <w:pPr>
        <w:pStyle w:val="FootnoteText"/>
      </w:pPr>
      <w:r>
        <w:rPr>
          <w:rStyle w:val="FootnoteReference"/>
        </w:rPr>
        <w:footnoteRef/>
      </w:r>
      <w:r>
        <w:t xml:space="preserve"> </w:t>
      </w:r>
      <w:r>
        <w:t xml:space="preserve">参路 8:10。</w:t>
      </w:r>
    </w:p>
  </w:footnote>
  <w:footnote w:id="2078">
    <w:p>
      <w:pPr>
        <w:pStyle w:val="FootnoteText"/>
      </w:pPr>
      <w:r>
        <w:rPr>
          <w:rStyle w:val="FootnoteReference"/>
        </w:rPr>
        <w:footnoteRef/>
      </w:r>
      <w:r>
        <w:t xml:space="preserve"> </w:t>
      </w:r>
      <w:r>
        <w:t xml:space="preserve">参约 9:6；可 7:33 起；8:22 起。</w:t>
      </w:r>
    </w:p>
  </w:footnote>
  <w:footnote w:id="2079">
    <w:p>
      <w:pPr>
        <w:pStyle w:val="FootnoteText"/>
      </w:pPr>
      <w:r>
        <w:rPr>
          <w:rStyle w:val="FootnoteReference"/>
        </w:rPr>
        <w:footnoteRef/>
      </w:r>
      <w:r>
        <w:t xml:space="preserve"> </w:t>
      </w:r>
      <w:r>
        <w:t xml:space="preserve">参路 9:31；22:7-20。</w:t>
      </w:r>
    </w:p>
  </w:footnote>
  <w:footnote w:id="2082">
    <w:p>
      <w:pPr>
        <w:pStyle w:val="FootnoteText"/>
      </w:pPr>
      <w:r>
        <w:rPr>
          <w:rStyle w:val="FootnoteReference"/>
        </w:rPr>
        <w:footnoteRef/>
      </w:r>
      <w:r>
        <w:t xml:space="preserve"> </w:t>
      </w:r>
      <w:r>
        <w:t xml:space="preserve">《礼仪宪章》112。</w:t>
      </w:r>
    </w:p>
  </w:footnote>
  <w:footnote w:id="2083">
    <w:p>
      <w:pPr>
        <w:pStyle w:val="FootnoteText"/>
      </w:pPr>
      <w:r>
        <w:rPr>
          <w:rStyle w:val="FootnoteReference"/>
        </w:rPr>
        <w:footnoteRef/>
      </w:r>
      <w:r>
        <w:t xml:space="preserve"> </w:t>
      </w:r>
      <w:r>
        <w:t xml:space="preserve">弗 5:19；圣奥古斯丁，《诗篇讲解》72,1:PL 36,914；参西 3:16。</w:t>
      </w:r>
    </w:p>
  </w:footnote>
  <w:footnote w:id="2084">
    <w:p>
      <w:pPr>
        <w:pStyle w:val="FootnoteText"/>
      </w:pPr>
      <w:r>
        <w:rPr>
          <w:rStyle w:val="FootnoteReference"/>
        </w:rPr>
        <w:footnoteRef/>
      </w:r>
      <w:r>
        <w:t xml:space="preserve"> </w:t>
      </w:r>
      <w:r>
        <w:t xml:space="preserve">《礼仪宪章》112 § 3。</w:t>
      </w:r>
    </w:p>
  </w:footnote>
  <w:footnote w:id="2085">
    <w:p>
      <w:pPr>
        <w:pStyle w:val="FootnoteText"/>
      </w:pPr>
      <w:r>
        <w:rPr>
          <w:rStyle w:val="FootnoteReference"/>
        </w:rPr>
        <w:footnoteRef/>
      </w:r>
      <w:r>
        <w:t xml:space="preserve"> </w:t>
      </w:r>
      <w:r>
        <w:t xml:space="preserve">《礼仪宪章》112。</w:t>
      </w:r>
    </w:p>
  </w:footnote>
  <w:footnote w:id="2086">
    <w:p>
      <w:pPr>
        <w:pStyle w:val="FootnoteText"/>
      </w:pPr>
      <w:r>
        <w:rPr>
          <w:rStyle w:val="FootnoteReference"/>
        </w:rPr>
        <w:footnoteRef/>
      </w:r>
      <w:r>
        <w:t xml:space="preserve"> </w:t>
      </w:r>
      <w:r>
        <w:t xml:space="preserve">圣奥古斯丁，《忏悔录》9,6,14:PL 32,769-770。</w:t>
      </w:r>
    </w:p>
  </w:footnote>
  <w:footnote w:id="2087">
    <w:p>
      <w:pPr>
        <w:pStyle w:val="FootnoteText"/>
      </w:pPr>
      <w:r>
        <w:rPr>
          <w:rStyle w:val="FootnoteReference"/>
        </w:rPr>
        <w:footnoteRef/>
      </w:r>
      <w:r>
        <w:t xml:space="preserve"> </w:t>
      </w:r>
      <w:r>
        <w:t xml:space="preserve">《礼仪宪章》119。</w:t>
      </w:r>
    </w:p>
  </w:footnote>
  <w:footnote w:id="2088">
    <w:p>
      <w:pPr>
        <w:pStyle w:val="FootnoteText"/>
      </w:pPr>
      <w:r>
        <w:rPr>
          <w:rStyle w:val="FootnoteReference"/>
        </w:rPr>
        <w:footnoteRef/>
      </w:r>
      <w:r>
        <w:t xml:space="preserve"> </w:t>
      </w:r>
      <w:r>
        <w:t xml:space="preserve">《礼仪宪章》118；121。</w:t>
      </w:r>
    </w:p>
  </w:footnote>
  <w:footnote w:id="2090">
    <w:p>
      <w:pPr>
        <w:pStyle w:val="FootnoteText"/>
      </w:pPr>
      <w:r>
        <w:rPr>
          <w:rStyle w:val="FootnoteReference"/>
        </w:rPr>
        <w:footnoteRef/>
      </w:r>
      <w:r>
        <w:t xml:space="preserve"> </w:t>
      </w:r>
      <w:r>
        <w:t xml:space="preserve">圣约翰·达马森，《论圣像》1,16:PG 96:1245-1248。</w:t>
      </w:r>
    </w:p>
  </w:footnote>
  <w:footnote w:id="2091">
    <w:p>
      <w:pPr>
        <w:pStyle w:val="FootnoteText"/>
      </w:pPr>
      <w:r>
        <w:rPr>
          <w:rStyle w:val="FootnoteReference"/>
        </w:rPr>
        <w:footnoteRef/>
      </w:r>
      <w:r>
        <w:t xml:space="preserve"> </w:t>
      </w:r>
      <w:r>
        <w:t xml:space="preserve">第二次尼西亚会议（787）：COD 111。</w:t>
      </w:r>
    </w:p>
  </w:footnote>
  <w:footnote w:id="2092">
    <w:p>
      <w:pPr>
        <w:pStyle w:val="FootnoteText"/>
      </w:pPr>
      <w:r>
        <w:rPr>
          <w:rStyle w:val="FootnoteReference"/>
        </w:rPr>
        <w:footnoteRef/>
      </w:r>
      <w:r>
        <w:t xml:space="preserve"> </w:t>
      </w:r>
      <w:r>
        <w:t xml:space="preserve">来 12:1。</w:t>
      </w:r>
    </w:p>
  </w:footnote>
  <w:footnote w:id="2093">
    <w:p>
      <w:pPr>
        <w:pStyle w:val="FootnoteText"/>
      </w:pPr>
      <w:r>
        <w:rPr>
          <w:rStyle w:val="FootnoteReference"/>
        </w:rPr>
        <w:footnoteRef/>
      </w:r>
      <w:r>
        <w:t xml:space="preserve"> </w:t>
      </w:r>
      <w:r>
        <w:t xml:space="preserve">参罗 8:29；约一 3:2。</w:t>
      </w:r>
    </w:p>
  </w:footnote>
  <w:footnote w:id="2094">
    <w:p>
      <w:pPr>
        <w:pStyle w:val="FootnoteText"/>
      </w:pPr>
      <w:r>
        <w:rPr>
          <w:rStyle w:val="FootnoteReference"/>
        </w:rPr>
        <w:footnoteRef/>
      </w:r>
      <w:r>
        <w:t xml:space="preserve"> </w:t>
      </w:r>
      <w:r>
        <w:t xml:space="preserve">第二次尼西亚会议：DS 600。</w:t>
      </w:r>
    </w:p>
  </w:footnote>
  <w:footnote w:id="2095">
    <w:p>
      <w:pPr>
        <w:pStyle w:val="FootnoteText"/>
      </w:pPr>
      <w:r>
        <w:rPr>
          <w:rStyle w:val="FootnoteReference"/>
        </w:rPr>
        <w:footnoteRef/>
      </w:r>
      <w:r>
        <w:t xml:space="preserve"> </w:t>
      </w:r>
      <w:r>
        <w:t xml:space="preserve">圣约翰·达马森，《论圣像》1,27:PG 94,1268A,B。</w:t>
      </w:r>
    </w:p>
  </w:footnote>
  <w:footnote w:id="2098">
    <w:p>
      <w:pPr>
        <w:pStyle w:val="FootnoteText"/>
      </w:pPr>
      <w:r>
        <w:rPr>
          <w:rStyle w:val="FootnoteReference"/>
        </w:rPr>
        <w:footnoteRef/>
      </w:r>
      <w:r>
        <w:t xml:space="preserve"> </w:t>
      </w:r>
      <w:r>
        <w:t xml:space="preserve">《礼仪宪章》102。</w:t>
      </w:r>
    </w:p>
  </w:footnote>
  <w:footnote w:id="2099">
    <w:p>
      <w:pPr>
        <w:pStyle w:val="FootnoteText"/>
      </w:pPr>
      <w:r>
        <w:rPr>
          <w:rStyle w:val="FootnoteReference"/>
        </w:rPr>
        <w:footnoteRef/>
      </w:r>
      <w:r>
        <w:t xml:space="preserve"> </w:t>
      </w:r>
      <w:r>
        <w:t xml:space="preserve">太 6:11；来 3:7-4:11；诗 95:7。</w:t>
      </w:r>
    </w:p>
  </w:footnote>
  <w:footnote w:id="2100">
    <w:p>
      <w:pPr>
        <w:pStyle w:val="FootnoteText"/>
      </w:pPr>
      <w:r>
        <w:rPr>
          <w:rStyle w:val="FootnoteReference"/>
        </w:rPr>
        <w:footnoteRef/>
      </w:r>
      <w:r>
        <w:t xml:space="preserve"> </w:t>
      </w:r>
      <w:r>
        <w:t xml:space="preserve">圣希波吕托，《论逾越节》1-2 SCh 27,117。</w:t>
      </w:r>
    </w:p>
  </w:footnote>
  <w:footnote w:id="2102">
    <w:p>
      <w:pPr>
        <w:pStyle w:val="FootnoteText"/>
      </w:pPr>
      <w:r>
        <w:rPr>
          <w:rStyle w:val="FootnoteReference"/>
        </w:rPr>
        <w:footnoteRef/>
      </w:r>
      <w:r>
        <w:t xml:space="preserve"> </w:t>
      </w:r>
      <w:r>
        <w:t xml:space="preserve">《礼仪宪章》106。</w:t>
      </w:r>
    </w:p>
  </w:footnote>
  <w:footnote w:id="2103">
    <w:p>
      <w:pPr>
        <w:pStyle w:val="FootnoteText"/>
      </w:pPr>
      <w:r>
        <w:rPr>
          <w:rStyle w:val="FootnoteReference"/>
        </w:rPr>
        <w:footnoteRef/>
      </w:r>
      <w:r>
        <w:t xml:space="preserve"> </w:t>
      </w:r>
      <w:r>
        <w:t xml:space="preserve">拜占庭礼仪。</w:t>
      </w:r>
    </w:p>
  </w:footnote>
  <w:footnote w:id="2104">
    <w:p>
      <w:pPr>
        <w:pStyle w:val="FootnoteText"/>
      </w:pPr>
      <w:r>
        <w:rPr>
          <w:rStyle w:val="FootnoteReference"/>
        </w:rPr>
        <w:footnoteRef/>
      </w:r>
      <w:r>
        <w:t xml:space="preserve"> </w:t>
      </w:r>
      <w:r>
        <w:t xml:space="preserve">约 21:12；路 24:30。</w:t>
      </w:r>
    </w:p>
  </w:footnote>
  <w:footnote w:id="2105">
    <w:p>
      <w:pPr>
        <w:pStyle w:val="FootnoteText"/>
      </w:pPr>
      <w:r>
        <w:rPr>
          <w:rStyle w:val="FootnoteReference"/>
        </w:rPr>
        <w:footnoteRef/>
      </w:r>
      <w:r>
        <w:t xml:space="preserve"> </w:t>
      </w:r>
      <w:r>
        <w:t xml:space="preserve">圣耶柔米，《逾越节》：CCL 78,550。</w:t>
      </w:r>
    </w:p>
  </w:footnote>
  <w:footnote w:id="2106">
    <w:p>
      <w:pPr>
        <w:pStyle w:val="FootnoteText"/>
      </w:pPr>
      <w:r>
        <w:rPr>
          <w:rStyle w:val="FootnoteReference"/>
        </w:rPr>
        <w:footnoteRef/>
      </w:r>
      <w:r>
        <w:t xml:space="preserve"> </w:t>
      </w:r>
      <w:r>
        <w:t xml:space="preserve">《礼仪宪章》106。</w:t>
      </w:r>
    </w:p>
  </w:footnote>
  <w:footnote w:id="2107">
    <w:p>
      <w:pPr>
        <w:pStyle w:val="FootnoteText"/>
      </w:pPr>
      <w:r>
        <w:rPr>
          <w:rStyle w:val="FootnoteReference"/>
        </w:rPr>
        <w:footnoteRef/>
      </w:r>
      <w:r>
        <w:t xml:space="preserve"> </w:t>
      </w:r>
      <w:r>
        <w:t xml:space="preserve">《范奇斯》，安提阿叙利亚礼仪，卷六，夏季第一部分，193 B。</w:t>
      </w:r>
    </w:p>
  </w:footnote>
  <w:footnote w:id="2109">
    <w:p>
      <w:pPr>
        <w:pStyle w:val="FootnoteText"/>
      </w:pPr>
      <w:r>
        <w:rPr>
          <w:rStyle w:val="FootnoteReference"/>
        </w:rPr>
        <w:footnoteRef/>
      </w:r>
      <w:r>
        <w:t xml:space="preserve"> </w:t>
      </w:r>
      <w:r>
        <w:t xml:space="preserve">路 4:19。</w:t>
      </w:r>
    </w:p>
  </w:footnote>
  <w:footnote w:id="2110">
    <w:p>
      <w:pPr>
        <w:pStyle w:val="FootnoteText"/>
      </w:pPr>
      <w:r>
        <w:rPr>
          <w:rStyle w:val="FootnoteReference"/>
        </w:rPr>
        <w:footnoteRef/>
      </w:r>
      <w:r>
        <w:t xml:space="preserve"> </w:t>
      </w:r>
      <w:r>
        <w:t xml:space="preserve">《礼仪宪章》102。</w:t>
      </w:r>
    </w:p>
  </w:footnote>
  <w:footnote w:id="2111">
    <w:p>
      <w:pPr>
        <w:pStyle w:val="FootnoteText"/>
      </w:pPr>
      <w:r>
        <w:rPr>
          <w:rStyle w:val="FootnoteReference"/>
        </w:rPr>
        <w:footnoteRef/>
      </w:r>
      <w:r>
        <w:t xml:space="preserve"> </w:t>
      </w:r>
      <w:r>
        <w:t xml:space="preserve">《礼仪宪章》103。</w:t>
      </w:r>
    </w:p>
  </w:footnote>
  <w:footnote w:id="2112">
    <w:p>
      <w:pPr>
        <w:pStyle w:val="FootnoteText"/>
      </w:pPr>
      <w:r>
        <w:rPr>
          <w:rStyle w:val="FootnoteReference"/>
        </w:rPr>
        <w:footnoteRef/>
      </w:r>
      <w:r>
        <w:t xml:space="preserve"> </w:t>
      </w:r>
      <w:r>
        <w:t xml:space="preserve">《礼仪宪章》104；参《礼仪宪章》108,111。</w:t>
      </w:r>
    </w:p>
  </w:footnote>
  <w:footnote w:id="2113">
    <w:p>
      <w:pPr>
        <w:pStyle w:val="FootnoteText"/>
      </w:pPr>
      <w:r>
        <w:rPr>
          <w:rStyle w:val="FootnoteReference"/>
        </w:rPr>
        <w:footnoteRef/>
      </w:r>
      <w:r>
        <w:t xml:space="preserve"> </w:t>
      </w:r>
      <w:r>
        <w:t xml:space="preserve">《礼仪宪章》112。</w:t>
      </w:r>
    </w:p>
  </w:footnote>
  <w:footnote w:id="2114">
    <w:p>
      <w:pPr>
        <w:pStyle w:val="FootnoteText"/>
      </w:pPr>
      <w:r>
        <w:rPr>
          <w:rStyle w:val="FootnoteReference"/>
        </w:rPr>
        <w:footnoteRef/>
      </w:r>
      <w:r>
        <w:t xml:space="preserve"> </w:t>
      </w:r>
      <w:r>
        <w:t xml:space="preserve">《礼仪宪章》84；帖前 5:17；弗 6:18。</w:t>
      </w:r>
    </w:p>
  </w:footnote>
  <w:footnote w:id="2115">
    <w:p>
      <w:pPr>
        <w:pStyle w:val="FootnoteText"/>
      </w:pPr>
      <w:r>
        <w:rPr>
          <w:rStyle w:val="FootnoteReference"/>
        </w:rPr>
        <w:footnoteRef/>
      </w:r>
      <w:r>
        <w:t xml:space="preserve"> </w:t>
      </w:r>
      <w:r>
        <w:t xml:space="preserve">《礼仪宪章》98。</w:t>
      </w:r>
    </w:p>
  </w:footnote>
  <w:footnote w:id="2116">
    <w:p>
      <w:pPr>
        <w:pStyle w:val="FootnoteText"/>
      </w:pPr>
      <w:r>
        <w:rPr>
          <w:rStyle w:val="FootnoteReference"/>
        </w:rPr>
        <w:footnoteRef/>
      </w:r>
      <w:r>
        <w:t xml:space="preserve"> </w:t>
      </w:r>
      <w:r>
        <w:t xml:space="preserve">《礼仪宪章》84。</w:t>
      </w:r>
    </w:p>
  </w:footnote>
  <w:footnote w:id="2117">
    <w:p>
      <w:pPr>
        <w:pStyle w:val="FootnoteText"/>
      </w:pPr>
      <w:r>
        <w:rPr>
          <w:rStyle w:val="FootnoteReference"/>
        </w:rPr>
        <w:footnoteRef/>
      </w:r>
      <w:r>
        <w:t xml:space="preserve"> </w:t>
      </w:r>
      <w:r>
        <w:t xml:space="preserve">《礼仪宪章》83。</w:t>
      </w:r>
    </w:p>
  </w:footnote>
  <w:footnote w:id="2118">
    <w:p>
      <w:pPr>
        <w:pStyle w:val="FootnoteText"/>
      </w:pPr>
      <w:r>
        <w:rPr>
          <w:rStyle w:val="FootnoteReference"/>
        </w:rPr>
        <w:footnoteRef/>
      </w:r>
      <w:r>
        <w:t xml:space="preserve"> </w:t>
      </w:r>
      <w:r>
        <w:t xml:space="preserve">《礼仪宪章》100；参 86；96；98；《司铎职务与生活法令》5。</w:t>
      </w:r>
    </w:p>
  </w:footnote>
  <w:footnote w:id="2119">
    <w:p>
      <w:pPr>
        <w:pStyle w:val="FootnoteText"/>
      </w:pPr>
      <w:r>
        <w:rPr>
          <w:rStyle w:val="FootnoteReference"/>
        </w:rPr>
        <w:footnoteRef/>
      </w:r>
      <w:r>
        <w:t xml:space="preserve"> </w:t>
      </w:r>
      <w:r>
        <w:t xml:space="preserve">《礼仪宪章》90。</w:t>
      </w:r>
    </w:p>
  </w:footnote>
  <w:footnote w:id="2122">
    <w:p>
      <w:pPr>
        <w:pStyle w:val="FootnoteText"/>
      </w:pPr>
      <w:r>
        <w:rPr>
          <w:rStyle w:val="FootnoteReference"/>
        </w:rPr>
        <w:footnoteRef/>
      </w:r>
      <w:r>
        <w:t xml:space="preserve"> </w:t>
      </w:r>
      <w:r>
        <w:t xml:space="preserve">约 4:24；彼前 2:4-5；林后 6:16。</w:t>
      </w:r>
    </w:p>
  </w:footnote>
  <w:footnote w:id="2123">
    <w:p>
      <w:pPr>
        <w:pStyle w:val="FootnoteText"/>
      </w:pPr>
      <w:r>
        <w:rPr>
          <w:rStyle w:val="FootnoteReference"/>
        </w:rPr>
        <w:footnoteRef/>
      </w:r>
      <w:r>
        <w:t xml:space="preserve"> </w:t>
      </w:r>
      <w:r>
        <w:t xml:space="preserve">《宗教自由宣言》4</w:t>
      </w:r>
    </w:p>
  </w:footnote>
  <w:footnote w:id="2124">
    <w:p>
      <w:pPr>
        <w:pStyle w:val="FootnoteText"/>
      </w:pPr>
      <w:r>
        <w:rPr>
          <w:rStyle w:val="FootnoteReference"/>
        </w:rPr>
        <w:footnoteRef/>
      </w:r>
      <w:r>
        <w:t xml:space="preserve"> </w:t>
      </w:r>
      <w:r>
        <w:t xml:space="preserve">《司铎职务与生活法令》5；参《礼仪宪章》122-127。</w:t>
      </w:r>
    </w:p>
  </w:footnote>
  <w:footnote w:id="2125">
    <w:p>
      <w:pPr>
        <w:pStyle w:val="FootnoteText"/>
      </w:pPr>
      <w:r>
        <w:rPr>
          <w:rStyle w:val="FootnoteReference"/>
        </w:rPr>
        <w:footnoteRef/>
      </w:r>
      <w:r>
        <w:t xml:space="preserve"> </w:t>
      </w:r>
      <w:r>
        <w:t xml:space="preserve">《礼仪宪章》7。</w:t>
      </w:r>
    </w:p>
  </w:footnote>
  <w:footnote w:id="2126">
    <w:p>
      <w:pPr>
        <w:pStyle w:val="FootnoteText"/>
      </w:pPr>
      <w:r>
        <w:rPr>
          <w:rStyle w:val="FootnoteReference"/>
        </w:rPr>
        <w:footnoteRef/>
      </w:r>
      <w:r>
        <w:t xml:space="preserve"> </w:t>
      </w:r>
      <w:r>
        <w:t xml:space="preserve">《罗马弥撒总规》259。</w:t>
      </w:r>
    </w:p>
  </w:footnote>
  <w:footnote w:id="2127">
    <w:p>
      <w:pPr>
        <w:pStyle w:val="FootnoteText"/>
      </w:pPr>
      <w:r>
        <w:rPr>
          <w:rStyle w:val="FootnoteReference"/>
        </w:rPr>
        <w:footnoteRef/>
      </w:r>
      <w:r>
        <w:t xml:space="preserve"> </w:t>
      </w:r>
      <w:r>
        <w:t xml:space="preserve">来 13:10。</w:t>
      </w:r>
    </w:p>
  </w:footnote>
  <w:footnote w:id="2128">
    <w:p>
      <w:pPr>
        <w:pStyle w:val="FootnoteText"/>
      </w:pPr>
      <w:r>
        <w:rPr>
          <w:rStyle w:val="FootnoteReference"/>
        </w:rPr>
        <w:footnoteRef/>
      </w:r>
      <w:r>
        <w:t xml:space="preserve"> </w:t>
      </w:r>
      <w:r>
        <w:t xml:space="preserve">《罗马弥撒总规》271。</w:t>
      </w:r>
    </w:p>
  </w:footnote>
  <w:footnote w:id="2129">
    <w:p>
      <w:pPr>
        <w:pStyle w:val="FootnoteText"/>
      </w:pPr>
      <w:r>
        <w:rPr>
          <w:rStyle w:val="FootnoteReference"/>
        </w:rPr>
        <w:footnoteRef/>
      </w:r>
      <w:r>
        <w:t xml:space="preserve"> </w:t>
      </w:r>
      <w:r>
        <w:t xml:space="preserve">《罗马弥撒总规》272。</w:t>
      </w:r>
    </w:p>
  </w:footnote>
  <w:footnote w:id="2130">
    <w:p>
      <w:pPr>
        <w:pStyle w:val="FootnoteText"/>
      </w:pPr>
      <w:r>
        <w:rPr>
          <w:rStyle w:val="FootnoteReference"/>
        </w:rPr>
        <w:footnoteRef/>
      </w:r>
      <w:r>
        <w:t xml:space="preserve"> </w:t>
      </w:r>
      <w:r>
        <w:t xml:space="preserve">启 21:4。</w:t>
      </w:r>
    </w:p>
  </w:footnote>
  <w:footnote w:id="2131">
    <w:p>
      <w:pPr>
        <w:pStyle w:val="FootnoteText"/>
      </w:pPr>
      <w:r>
        <w:rPr>
          <w:rStyle w:val="FootnoteReference"/>
        </w:rPr>
        <w:footnoteRef/>
      </w:r>
      <w:r>
        <w:t xml:space="preserve"> </w:t>
      </w:r>
      <w:r>
        <w:t xml:space="preserve">《罗马弥撒总规》271。</w:t>
      </w:r>
    </w:p>
  </w:footnote>
  <w:footnote w:id="2132">
    <w:p>
      <w:pPr>
        <w:pStyle w:val="FootnoteText"/>
      </w:pPr>
      <w:r>
        <w:rPr>
          <w:rStyle w:val="FootnoteReference"/>
        </w:rPr>
        <w:footnoteRef/>
      </w:r>
      <w:r>
        <w:t xml:space="preserve"> </w:t>
      </w:r>
      <w:r>
        <w:t xml:space="preserve">《罗马弥撒总规》272。</w:t>
      </w:r>
    </w:p>
  </w:footnote>
  <w:footnote w:id="2133">
    <w:p>
      <w:pPr>
        <w:pStyle w:val="FootnoteText"/>
      </w:pPr>
      <w:r>
        <w:rPr>
          <w:rStyle w:val="FootnoteReference"/>
        </w:rPr>
        <w:footnoteRef/>
      </w:r>
      <w:r>
        <w:t xml:space="preserve"> </w:t>
      </w:r>
      <w:r>
        <w:t xml:space="preserve">启 21:4。</w:t>
      </w:r>
    </w:p>
  </w:footnote>
  <w:footnote w:id="2137">
    <w:p>
      <w:pPr>
        <w:pStyle w:val="FootnoteText"/>
      </w:pPr>
      <w:r>
        <w:rPr>
          <w:rStyle w:val="FootnoteReference"/>
        </w:rPr>
        <w:footnoteRef/>
      </w:r>
      <w:r>
        <w:t xml:space="preserve"> </w:t>
      </w:r>
      <w:r>
        <w:t xml:space="preserve">参保禄六世，《在新世界中传福音》63-64。</w:t>
      </w:r>
    </w:p>
  </w:footnote>
  <w:footnote w:id="2138">
    <w:p>
      <w:pPr>
        <w:pStyle w:val="FootnoteText"/>
      </w:pPr>
      <w:r>
        <w:rPr>
          <w:rStyle w:val="FootnoteReference"/>
        </w:rPr>
        <w:footnoteRef/>
      </w:r>
      <w:r>
        <w:t xml:space="preserve"> </w:t>
      </w:r>
      <w:r>
        <w:t xml:space="preserve">参提后 1:14。</w:t>
      </w:r>
    </w:p>
  </w:footnote>
  <w:footnote w:id="2139">
    <w:p>
      <w:pPr>
        <w:pStyle w:val="FootnoteText"/>
      </w:pPr>
      <w:r>
        <w:rPr>
          <w:rStyle w:val="FootnoteReference"/>
        </w:rPr>
        <w:footnoteRef/>
      </w:r>
      <w:r>
        <w:t xml:space="preserve"> </w:t>
      </w:r>
      <w:r>
        <w:t xml:space="preserve">参《教会宪章》23；《大公主义》4。</w:t>
      </w:r>
    </w:p>
  </w:footnote>
  <w:footnote w:id="2140">
    <w:p>
      <w:pPr>
        <w:pStyle w:val="FootnoteText"/>
      </w:pPr>
      <w:r>
        <w:rPr>
          <w:rStyle w:val="FootnoteReference"/>
        </w:rPr>
        <w:footnoteRef/>
      </w:r>
      <w:r>
        <w:t xml:space="preserve"> </w:t>
      </w:r>
      <w:r>
        <w:t xml:space="preserve">《礼仪宪章》4。</w:t>
      </w:r>
    </w:p>
  </w:footnote>
  <w:footnote w:id="2142">
    <w:p>
      <w:pPr>
        <w:pStyle w:val="FootnoteText"/>
      </w:pPr>
      <w:r>
        <w:rPr>
          <w:rStyle w:val="FootnoteReference"/>
        </w:rPr>
        <w:footnoteRef/>
      </w:r>
      <w:r>
        <w:t xml:space="preserve"> </w:t>
      </w:r>
      <w:r>
        <w:t xml:space="preserve">参《礼仪宪章》37-40。</w:t>
      </w:r>
    </w:p>
  </w:footnote>
  <w:footnote w:id="2143">
    <w:p>
      <w:pPr>
        <w:pStyle w:val="FootnoteText"/>
      </w:pPr>
      <w:r>
        <w:rPr>
          <w:rStyle w:val="FootnoteReference"/>
        </w:rPr>
        <w:footnoteRef/>
      </w:r>
      <w:r>
        <w:t xml:space="preserve"> </w:t>
      </w:r>
      <w:r>
        <w:t xml:space="preserve">罗 16:26。</w:t>
      </w:r>
    </w:p>
  </w:footnote>
  <w:footnote w:id="2144">
    <w:p>
      <w:pPr>
        <w:pStyle w:val="FootnoteText"/>
      </w:pPr>
      <w:r>
        <w:rPr>
          <w:rStyle w:val="FootnoteReference"/>
        </w:rPr>
        <w:footnoteRef/>
      </w:r>
      <w:r>
        <w:t xml:space="preserve"> </w:t>
      </w:r>
      <w:r>
        <w:t xml:space="preserve">参《论教理讲授》53。</w:t>
      </w:r>
    </w:p>
  </w:footnote>
  <w:footnote w:id="2145">
    <w:p>
      <w:pPr>
        <w:pStyle w:val="FootnoteText"/>
      </w:pPr>
      <w:r>
        <w:rPr>
          <w:rStyle w:val="FootnoteReference"/>
        </w:rPr>
        <w:footnoteRef/>
      </w:r>
      <w:r>
        <w:t xml:space="preserve"> </w:t>
      </w:r>
      <w:r>
        <w:t xml:space="preserve">若望保禄二世，《第二十五年》16；参《礼仪宪章》21。</w:t>
      </w:r>
    </w:p>
  </w:footnote>
  <w:footnote w:id="2146">
    <w:p>
      <w:pPr>
        <w:pStyle w:val="FootnoteText"/>
      </w:pPr>
      <w:r>
        <w:rPr>
          <w:rStyle w:val="FootnoteReference"/>
        </w:rPr>
        <w:footnoteRef/>
      </w:r>
      <w:r>
        <w:t xml:space="preserve"> </w:t>
      </w:r>
      <w:r>
        <w:t xml:space="preserve">若望保禄二世，《第二十五年》16。</w:t>
      </w:r>
    </w:p>
  </w:footnote>
  <w:footnote w:id="2152">
    <w:p>
      <w:pPr>
        <w:pStyle w:val="FootnoteText"/>
      </w:pPr>
      <w:r>
        <w:rPr>
          <w:rStyle w:val="FootnoteReference"/>
        </w:rPr>
        <w:footnoteRef/>
      </w:r>
      <w:r>
        <w:t xml:space="preserve"> </w:t>
      </w:r>
      <w:r>
        <w:t xml:space="preserve">参圣托马斯阿奎那，《神学大全》III，65，1。</w:t>
      </w:r>
    </w:p>
  </w:footnote>
  <w:footnote w:id="2153">
    <w:p>
      <w:pPr>
        <w:pStyle w:val="FootnoteText"/>
      </w:pPr>
      <w:r>
        <w:rPr>
          <w:rStyle w:val="FootnoteReference"/>
        </w:rPr>
        <w:footnoteRef/>
      </w:r>
      <w:r>
        <w:t xml:space="preserve"> </w:t>
      </w:r>
      <w:r>
        <w:t xml:space="preserve">圣托马斯阿奎那，《神学大全》III，65，3。</w:t>
      </w:r>
    </w:p>
  </w:footnote>
  <w:footnote w:id="2154">
    <w:p>
      <w:pPr>
        <w:pStyle w:val="FootnoteText"/>
      </w:pPr>
      <w:r>
        <w:rPr>
          <w:rStyle w:val="FootnoteReference"/>
        </w:rPr>
        <w:footnoteRef/>
      </w:r>
      <w:r>
        <w:t xml:space="preserve"> </w:t>
      </w:r>
      <w:r>
        <w:t xml:space="preserve">3 教宗保禄六世，宗座宪章，《神性的共融》：《宗座公报》63（1971）657；参《成人入门礼》引言 1-2。</w:t>
      </w:r>
    </w:p>
  </w:footnote>
  <w:footnote w:id="2155">
    <w:p>
      <w:pPr>
        <w:pStyle w:val="FootnoteText"/>
      </w:pPr>
      <w:r>
        <w:rPr>
          <w:rStyle w:val="FootnoteReference"/>
        </w:rPr>
        <w:footnoteRef/>
      </w:r>
      <w:r>
        <w:t xml:space="preserve"> </w:t>
      </w:r>
      <w:r>
        <w:t xml:space="preserve">参佛罗伦萨大公会议：DS 1314：vitae spiritualis ianua。</w:t>
      </w:r>
    </w:p>
  </w:footnote>
  <w:footnote w:id="2156">
    <w:p>
      <w:pPr>
        <w:pStyle w:val="FootnoteText"/>
      </w:pPr>
      <w:r>
        <w:rPr>
          <w:rStyle w:val="FootnoteReference"/>
        </w:rPr>
        <w:footnoteRef/>
      </w:r>
      <w:r>
        <w:t xml:space="preserve"> </w:t>
      </w:r>
      <w:r>
        <w:t xml:space="preserve">罗马要理问答 II,2,5；参佛罗伦萨大公会议：DS 1314；《教会法典》204 § 1；849；《东方教会法典》675 § 1。</w:t>
      </w:r>
    </w:p>
  </w:footnote>
  <w:footnote w:id="2157">
    <w:p>
      <w:pPr>
        <w:pStyle w:val="FootnoteText"/>
      </w:pPr>
      <w:r>
        <w:rPr>
          <w:rStyle w:val="FootnoteReference"/>
        </w:rPr>
        <w:footnoteRef/>
      </w:r>
      <w:r>
        <w:t xml:space="preserve"> </w:t>
      </w:r>
      <w:r>
        <w:t xml:space="preserve">林后 5:17；加 6:15；参罗 6:3-4；西 2:12。</w:t>
      </w:r>
    </w:p>
  </w:footnote>
  <w:footnote w:id="2158">
    <w:p>
      <w:pPr>
        <w:pStyle w:val="FootnoteText"/>
      </w:pPr>
      <w:r>
        <w:rPr>
          <w:rStyle w:val="FootnoteReference"/>
        </w:rPr>
        <w:footnoteRef/>
      </w:r>
      <w:r>
        <w:t xml:space="preserve"> </w:t>
      </w:r>
      <w:r>
        <w:t xml:space="preserve">多 3:5；约 3:5。</w:t>
      </w:r>
    </w:p>
  </w:footnote>
  <w:footnote w:id="2159">
    <w:p>
      <w:pPr>
        <w:pStyle w:val="FootnoteText"/>
      </w:pPr>
      <w:r>
        <w:rPr>
          <w:rStyle w:val="FootnoteReference"/>
        </w:rPr>
        <w:footnoteRef/>
      </w:r>
      <w:r>
        <w:t xml:space="preserve"> </w:t>
      </w:r>
      <w:r>
        <w:t xml:space="preserve">殉道者游斯丁，《护教篇》1,61,12：PG 6,421。</w:t>
      </w:r>
    </w:p>
  </w:footnote>
  <w:footnote w:id="2160">
    <w:p>
      <w:pPr>
        <w:pStyle w:val="FootnoteText"/>
      </w:pPr>
      <w:r>
        <w:rPr>
          <w:rStyle w:val="FootnoteReference"/>
        </w:rPr>
        <w:footnoteRef/>
      </w:r>
      <w:r>
        <w:t xml:space="preserve"> </w:t>
      </w:r>
      <w:r>
        <w:t xml:space="preserve">约 1:9；帖前 5:5；来 10:32；弗 5:8。</w:t>
      </w:r>
    </w:p>
  </w:footnote>
  <w:footnote w:id="2161">
    <w:p>
      <w:pPr>
        <w:pStyle w:val="FootnoteText"/>
      </w:pPr>
      <w:r>
        <w:rPr>
          <w:rStyle w:val="FootnoteReference"/>
        </w:rPr>
        <w:footnoteRef/>
      </w:r>
      <w:r>
        <w:t xml:space="preserve"> </w:t>
      </w:r>
      <w:r>
        <w:t xml:space="preserve">纳齐安的圣额我略，《讲道集》40,3-4：PG 36,361C。</w:t>
      </w:r>
    </w:p>
  </w:footnote>
  <w:footnote w:id="2163">
    <w:p>
      <w:pPr>
        <w:pStyle w:val="FootnoteText"/>
      </w:pPr>
      <w:r>
        <w:rPr>
          <w:rStyle w:val="FootnoteReference"/>
        </w:rPr>
        <w:footnoteRef/>
      </w:r>
      <w:r>
        <w:t xml:space="preserve"> </w:t>
      </w:r>
      <w:r>
        <w:t xml:space="preserve">罗马弥撒经书，复活节守夜礼 42：祝圣洗礼用水。</w:t>
      </w:r>
    </w:p>
  </w:footnote>
  <w:footnote w:id="2164">
    <w:p>
      <w:pPr>
        <w:pStyle w:val="FootnoteText"/>
      </w:pPr>
      <w:r>
        <w:rPr>
          <w:rStyle w:val="FootnoteReference"/>
        </w:rPr>
        <w:footnoteRef/>
      </w:r>
      <w:r>
        <w:t xml:space="preserve"> </w:t>
      </w:r>
      <w:r>
        <w:t xml:space="preserve">罗马弥撒经书，复活节守夜礼 42：祝圣洗礼用水。</w:t>
      </w:r>
    </w:p>
  </w:footnote>
  <w:footnote w:id="2165">
    <w:p>
      <w:pPr>
        <w:pStyle w:val="FootnoteText"/>
      </w:pPr>
      <w:r>
        <w:rPr>
          <w:rStyle w:val="FootnoteReference"/>
        </w:rPr>
        <w:footnoteRef/>
      </w:r>
      <w:r>
        <w:t xml:space="preserve"> </w:t>
      </w:r>
      <w:r>
        <w:t xml:space="preserve">参创 1:2。</w:t>
      </w:r>
    </w:p>
  </w:footnote>
  <w:footnote w:id="2166">
    <w:p>
      <w:pPr>
        <w:pStyle w:val="FootnoteText"/>
      </w:pPr>
      <w:r>
        <w:rPr>
          <w:rStyle w:val="FootnoteReference"/>
        </w:rPr>
        <w:footnoteRef/>
      </w:r>
      <w:r>
        <w:t xml:space="preserve"> </w:t>
      </w:r>
      <w:r>
        <w:t xml:space="preserve">罗马弥撒经书，复活节守夜礼 42：祝圣洗礼用水。</w:t>
      </w:r>
    </w:p>
  </w:footnote>
  <w:footnote w:id="2167">
    <w:p>
      <w:pPr>
        <w:pStyle w:val="FootnoteText"/>
      </w:pPr>
      <w:r>
        <w:rPr>
          <w:rStyle w:val="FootnoteReference"/>
        </w:rPr>
        <w:footnoteRef/>
      </w:r>
      <w:r>
        <w:t xml:space="preserve"> </w:t>
      </w:r>
      <w:r>
        <w:t xml:space="preserve">彼前 3:20。</w:t>
      </w:r>
    </w:p>
  </w:footnote>
  <w:footnote w:id="2168">
    <w:p>
      <w:pPr>
        <w:pStyle w:val="FootnoteText"/>
      </w:pPr>
      <w:r>
        <w:rPr>
          <w:rStyle w:val="FootnoteReference"/>
        </w:rPr>
        <w:footnoteRef/>
      </w:r>
      <w:r>
        <w:t xml:space="preserve"> </w:t>
      </w:r>
      <w:r>
        <w:t xml:space="preserve">罗马弥撒经书，复活节守夜礼 42：祝圣洗礼用水。</w:t>
      </w:r>
    </w:p>
  </w:footnote>
  <w:footnote w:id="2169">
    <w:p>
      <w:pPr>
        <w:pStyle w:val="FootnoteText"/>
      </w:pPr>
      <w:r>
        <w:rPr>
          <w:rStyle w:val="FootnoteReference"/>
        </w:rPr>
        <w:footnoteRef/>
      </w:r>
      <w:r>
        <w:t xml:space="preserve"> </w:t>
      </w:r>
      <w:r>
        <w:t xml:space="preserve">罗马弥撒经书，复活节守夜礼 42：祝圣洗礼用水：「Abrahae filios per mare Rubrum sicco vestigio transire fecisti, ut plebs, a Pharaonis servitute liberata, populum baptizatorum praefiguraret。」</w:t>
      </w:r>
    </w:p>
  </w:footnote>
  <w:footnote w:id="2171">
    <w:p>
      <w:pPr>
        <w:pStyle w:val="FootnoteText"/>
      </w:pPr>
      <w:r>
        <w:rPr>
          <w:rStyle w:val="FootnoteReference"/>
        </w:rPr>
        <w:footnoteRef/>
      </w:r>
      <w:r>
        <w:t xml:space="preserve"> </w:t>
      </w:r>
      <w:r>
        <w:t xml:space="preserve">参太 3:13。</w:t>
      </w:r>
    </w:p>
  </w:footnote>
  <w:footnote w:id="2172">
    <w:p>
      <w:pPr>
        <w:pStyle w:val="FootnoteText"/>
      </w:pPr>
      <w:r>
        <w:rPr>
          <w:rStyle w:val="FootnoteReference"/>
        </w:rPr>
        <w:footnoteRef/>
      </w:r>
      <w:r>
        <w:t xml:space="preserve"> </w:t>
      </w:r>
      <w:r>
        <w:t xml:space="preserve">太 28:19-20；参可 16:15-16。</w:t>
      </w:r>
    </w:p>
  </w:footnote>
  <w:footnote w:id="2173">
    <w:p>
      <w:pPr>
        <w:pStyle w:val="FootnoteText"/>
      </w:pPr>
      <w:r>
        <w:rPr>
          <w:rStyle w:val="FootnoteReference"/>
        </w:rPr>
        <w:footnoteRef/>
      </w:r>
      <w:r>
        <w:t xml:space="preserve"> </w:t>
      </w:r>
      <w:r>
        <w:t xml:space="preserve">太 3:15。</w:t>
      </w:r>
    </w:p>
  </w:footnote>
  <w:footnote w:id="2174">
    <w:p>
      <w:pPr>
        <w:pStyle w:val="FootnoteText"/>
      </w:pPr>
      <w:r>
        <w:rPr>
          <w:rStyle w:val="FootnoteReference"/>
        </w:rPr>
        <w:footnoteRef/>
      </w:r>
      <w:r>
        <w:t xml:space="preserve"> </w:t>
      </w:r>
      <w:r>
        <w:t xml:space="preserve">参腓 2:7。</w:t>
      </w:r>
    </w:p>
  </w:footnote>
  <w:footnote w:id="2175">
    <w:p>
      <w:pPr>
        <w:pStyle w:val="FootnoteText"/>
      </w:pPr>
      <w:r>
        <w:rPr>
          <w:rStyle w:val="FootnoteReference"/>
        </w:rPr>
        <w:footnoteRef/>
      </w:r>
      <w:r>
        <w:t xml:space="preserve"> </w:t>
      </w:r>
      <w:r>
        <w:t xml:space="preserve">太 3:16-17。</w:t>
      </w:r>
    </w:p>
  </w:footnote>
  <w:footnote w:id="2176">
    <w:p>
      <w:pPr>
        <w:pStyle w:val="FootnoteText"/>
      </w:pPr>
      <w:r>
        <w:rPr>
          <w:rStyle w:val="FootnoteReference"/>
        </w:rPr>
        <w:footnoteRef/>
      </w:r>
      <w:r>
        <w:t xml:space="preserve"> </w:t>
      </w:r>
      <w:r>
        <w:t xml:space="preserve">参可 10:38；参路 12:50。</w:t>
      </w:r>
    </w:p>
  </w:footnote>
  <w:footnote w:id="2177">
    <w:p>
      <w:pPr>
        <w:pStyle w:val="FootnoteText"/>
      </w:pPr>
      <w:r>
        <w:rPr>
          <w:rStyle w:val="FootnoteReference"/>
        </w:rPr>
        <w:footnoteRef/>
      </w:r>
      <w:r>
        <w:t xml:space="preserve"> </w:t>
      </w:r>
      <w:r>
        <w:t xml:space="preserve">圣安博，《论圣事》2,2,6：PL 16,444；参约 3:5。</w:t>
      </w:r>
    </w:p>
  </w:footnote>
  <w:footnote w:id="2180">
    <w:p>
      <w:pPr>
        <w:pStyle w:val="FootnoteText"/>
      </w:pPr>
      <w:r>
        <w:rPr>
          <w:rStyle w:val="FootnoteReference"/>
        </w:rPr>
        <w:footnoteRef/>
      </w:r>
      <w:r>
        <w:t xml:space="preserve"> </w:t>
      </w:r>
      <w:r>
        <w:t xml:space="preserve">SC 64。</w:t>
      </w:r>
    </w:p>
  </w:footnote>
  <w:footnote w:id="2181">
    <w:p>
      <w:pPr>
        <w:pStyle w:val="FootnoteText"/>
      </w:pPr>
      <w:r>
        <w:rPr>
          <w:rStyle w:val="FootnoteReference"/>
        </w:rPr>
        <w:footnoteRef/>
      </w:r>
      <w:r>
        <w:t xml:space="preserve"> </w:t>
      </w:r>
      <w:r>
        <w:t xml:space="preserve">参 RCIA（1972 年）。</w:t>
      </w:r>
    </w:p>
  </w:footnote>
  <w:footnote w:id="2182">
    <w:p>
      <w:pPr>
        <w:pStyle w:val="FootnoteText"/>
      </w:pPr>
      <w:r>
        <w:rPr>
          <w:rStyle w:val="FootnoteReference"/>
        </w:rPr>
        <w:footnoteRef/>
      </w:r>
      <w:r>
        <w:t xml:space="preserve"> </w:t>
      </w:r>
      <w:r>
        <w:t xml:space="preserve">SC 65；参 SC 37-40。</w:t>
      </w:r>
    </w:p>
  </w:footnote>
  <w:footnote w:id="2183">
    <w:p>
      <w:pPr>
        <w:pStyle w:val="FootnoteText"/>
      </w:pPr>
      <w:r>
        <w:rPr>
          <w:rStyle w:val="FootnoteReference"/>
        </w:rPr>
        <w:footnoteRef/>
      </w:r>
      <w:r>
        <w:t xml:space="preserve"> </w:t>
      </w:r>
      <w:r>
        <w:t xml:space="preserve">AG 14；《教会法典》851；865；866。</w:t>
      </w:r>
    </w:p>
  </w:footnote>
  <w:footnote w:id="2184">
    <w:p>
      <w:pPr>
        <w:pStyle w:val="FootnoteText"/>
      </w:pPr>
      <w:r>
        <w:rPr>
          <w:rStyle w:val="FootnoteReference"/>
        </w:rPr>
        <w:footnoteRef/>
      </w:r>
      <w:r>
        <w:t xml:space="preserve"> </w:t>
      </w:r>
      <w:r>
        <w:t xml:space="preserve">参《教会法典》851, 2°；868。</w:t>
      </w:r>
    </w:p>
  </w:footnote>
  <w:footnote w:id="2186">
    <w:p>
      <w:pPr>
        <w:pStyle w:val="FootnoteText"/>
      </w:pPr>
      <w:r>
        <w:rPr>
          <w:rStyle w:val="FootnoteReference"/>
        </w:rPr>
        <w:footnoteRef/>
      </w:r>
      <w:r>
        <w:t xml:space="preserve"> </w:t>
      </w:r>
      <w:r>
        <w:t xml:space="preserve">参罗 6:17。</w:t>
      </w:r>
    </w:p>
  </w:footnote>
  <w:footnote w:id="2187">
    <w:p>
      <w:pPr>
        <w:pStyle w:val="FootnoteText"/>
      </w:pPr>
      <w:r>
        <w:rPr>
          <w:rStyle w:val="FootnoteReference"/>
        </w:rPr>
        <w:footnoteRef/>
      </w:r>
      <w:r>
        <w:t xml:space="preserve"> </w:t>
      </w:r>
      <w:r>
        <w:t xml:space="preserve">约 3:5。</w:t>
      </w:r>
    </w:p>
  </w:footnote>
  <w:footnote w:id="2188">
    <w:p>
      <w:pPr>
        <w:pStyle w:val="FootnoteText"/>
      </w:pPr>
      <w:r>
        <w:rPr>
          <w:rStyle w:val="FootnoteReference"/>
        </w:rPr>
        <w:footnoteRef/>
      </w:r>
      <w:r>
        <w:t xml:space="preserve"> </w:t>
      </w:r>
      <w:r>
        <w:t xml:space="preserve">参 RBC 62。</w:t>
      </w:r>
    </w:p>
  </w:footnote>
  <w:footnote w:id="2189">
    <w:p>
      <w:pPr>
        <w:pStyle w:val="FootnoteText"/>
      </w:pPr>
      <w:r>
        <w:rPr>
          <w:rStyle w:val="FootnoteReference"/>
        </w:rPr>
        <w:footnoteRef/>
      </w:r>
      <w:r>
        <w:t xml:space="preserve"> </w:t>
      </w:r>
      <w:r>
        <w:t xml:space="preserve">迦 3:27。</w:t>
      </w:r>
    </w:p>
  </w:footnote>
  <w:footnote w:id="2190">
    <w:p>
      <w:pPr>
        <w:pStyle w:val="FootnoteText"/>
      </w:pPr>
      <w:r>
        <w:rPr>
          <w:rStyle w:val="FootnoteReference"/>
        </w:rPr>
        <w:footnoteRef/>
      </w:r>
      <w:r>
        <w:t xml:space="preserve"> </w:t>
      </w:r>
      <w:r>
        <w:t xml:space="preserve">太 5:14；参腓 2:15。</w:t>
      </w:r>
    </w:p>
  </w:footnote>
  <w:footnote w:id="2191">
    <w:p>
      <w:pPr>
        <w:pStyle w:val="FootnoteText"/>
      </w:pPr>
      <w:r>
        <w:rPr>
          <w:rStyle w:val="FootnoteReference"/>
        </w:rPr>
        <w:footnoteRef/>
      </w:r>
      <w:r>
        <w:t xml:space="preserve"> </w:t>
      </w:r>
      <w:r>
        <w:t xml:space="preserve">启 19:9。</w:t>
      </w:r>
    </w:p>
  </w:footnote>
  <w:footnote w:id="2192">
    <w:p>
      <w:pPr>
        <w:pStyle w:val="FootnoteText"/>
      </w:pPr>
      <w:r>
        <w:rPr>
          <w:rStyle w:val="FootnoteReference"/>
        </w:rPr>
        <w:footnoteRef/>
      </w:r>
      <w:r>
        <w:t xml:space="preserve"> </w:t>
      </w:r>
      <w:r>
        <w:t xml:space="preserve">可 10:14。</w:t>
      </w:r>
    </w:p>
  </w:footnote>
  <w:footnote w:id="2195">
    <w:p>
      <w:pPr>
        <w:pStyle w:val="FootnoteText"/>
      </w:pPr>
      <w:r>
        <w:rPr>
          <w:rStyle w:val="FootnoteReference"/>
        </w:rPr>
        <w:footnoteRef/>
      </w:r>
      <w:r>
        <w:t xml:space="preserve"> </w:t>
      </w:r>
      <w:r>
        <w:t xml:space="preserve">《教会法典》864；参《东方教会法典》679。</w:t>
      </w:r>
    </w:p>
  </w:footnote>
  <w:footnote w:id="2196">
    <w:p>
      <w:pPr>
        <w:pStyle w:val="FootnoteText"/>
      </w:pPr>
      <w:r>
        <w:rPr>
          <w:rStyle w:val="FootnoteReference"/>
        </w:rPr>
        <w:footnoteRef/>
      </w:r>
      <w:r>
        <w:t xml:space="preserve"> </w:t>
      </w:r>
      <w:r>
        <w:t xml:space="preserve">AG 14；参 RCIA 19；98。</w:t>
      </w:r>
    </w:p>
  </w:footnote>
  <w:footnote w:id="2197">
    <w:p>
      <w:pPr>
        <w:pStyle w:val="FootnoteText"/>
      </w:pPr>
      <w:r>
        <w:rPr>
          <w:rStyle w:val="FootnoteReference"/>
        </w:rPr>
        <w:footnoteRef/>
      </w:r>
      <w:r>
        <w:t xml:space="preserve"> </w:t>
      </w:r>
      <w:r>
        <w:t xml:space="preserve">AG 14 § 5。</w:t>
      </w:r>
    </w:p>
  </w:footnote>
  <w:footnote w:id="2198">
    <w:p>
      <w:pPr>
        <w:pStyle w:val="FootnoteText"/>
      </w:pPr>
      <w:r>
        <w:rPr>
          <w:rStyle w:val="FootnoteReference"/>
        </w:rPr>
        <w:footnoteRef/>
      </w:r>
      <w:r>
        <w:t xml:space="preserve"> </w:t>
      </w:r>
      <w:r>
        <w:t xml:space="preserve">LG 14 § 3；参《教会法典》206；788 § 3。</w:t>
      </w:r>
    </w:p>
  </w:footnote>
  <w:footnote w:id="2200">
    <w:p>
      <w:pPr>
        <w:pStyle w:val="FootnoteText"/>
      </w:pPr>
      <w:r>
        <w:rPr>
          <w:rStyle w:val="FootnoteReference"/>
        </w:rPr>
        <w:footnoteRef/>
      </w:r>
      <w:r>
        <w:t xml:space="preserve"> </w:t>
      </w:r>
      <w:r>
        <w:t xml:space="preserve">参特利腾大公会议（1546 年）：DS 1514；参哥 1:12-14。</w:t>
      </w:r>
    </w:p>
  </w:footnote>
  <w:footnote w:id="2201">
    <w:p>
      <w:pPr>
        <w:pStyle w:val="FootnoteText"/>
      </w:pPr>
      <w:r>
        <w:rPr>
          <w:rStyle w:val="FootnoteReference"/>
        </w:rPr>
        <w:footnoteRef/>
      </w:r>
      <w:r>
        <w:t xml:space="preserve"> </w:t>
      </w:r>
      <w:r>
        <w:t xml:space="preserve">参《教会法典》867；《东方教会法典》681；686,1。</w:t>
      </w:r>
    </w:p>
  </w:footnote>
  <w:footnote w:id="2202">
    <w:p>
      <w:pPr>
        <w:pStyle w:val="FootnoteText"/>
      </w:pPr>
      <w:r>
        <w:rPr>
          <w:rStyle w:val="FootnoteReference"/>
        </w:rPr>
        <w:footnoteRef/>
      </w:r>
      <w:r>
        <w:t xml:space="preserve"> </w:t>
      </w:r>
      <w:r>
        <w:t xml:space="preserve">参徒 16:15,33；18:8；林前 1:16；CDF，《牧灵行动》指示：AAS 72（1980 年）1137-1156。</w:t>
      </w:r>
    </w:p>
  </w:footnote>
  <w:footnote w:id="2204">
    <w:p>
      <w:pPr>
        <w:pStyle w:val="FootnoteText"/>
      </w:pPr>
      <w:r>
        <w:rPr>
          <w:rStyle w:val="FootnoteReference"/>
        </w:rPr>
        <w:footnoteRef/>
      </w:r>
      <w:r>
        <w:t xml:space="preserve"> </w:t>
      </w:r>
      <w:r>
        <w:t xml:space="preserve">参可 16:16。</w:t>
      </w:r>
    </w:p>
  </w:footnote>
  <w:footnote w:id="2205">
    <w:p>
      <w:pPr>
        <w:pStyle w:val="FootnoteText"/>
      </w:pPr>
      <w:r>
        <w:rPr>
          <w:rStyle w:val="FootnoteReference"/>
        </w:rPr>
        <w:footnoteRef/>
      </w:r>
      <w:r>
        <w:t xml:space="preserve"> </w:t>
      </w:r>
      <w:r>
        <w:t xml:space="preserve">参《教会法典》872-874。</w:t>
      </w:r>
    </w:p>
  </w:footnote>
  <w:footnote w:id="2206">
    <w:p>
      <w:pPr>
        <w:pStyle w:val="FootnoteText"/>
      </w:pPr>
      <w:r>
        <w:rPr>
          <w:rStyle w:val="FootnoteReference"/>
        </w:rPr>
        <w:footnoteRef/>
      </w:r>
      <w:r>
        <w:t xml:space="preserve"> </w:t>
      </w:r>
      <w:r>
        <w:t xml:space="preserve">参 SC 67。</w:t>
      </w:r>
    </w:p>
  </w:footnote>
  <w:footnote w:id="2209">
    <w:p>
      <w:pPr>
        <w:pStyle w:val="FootnoteText"/>
      </w:pPr>
      <w:r>
        <w:rPr>
          <w:rStyle w:val="FootnoteReference"/>
        </w:rPr>
        <w:footnoteRef/>
      </w:r>
      <w:r>
        <w:t xml:space="preserve"> </w:t>
      </w:r>
      <w:r>
        <w:t xml:space="preserve">参《教会法典》861 § 1；《东方教会法典》677 § 1。</w:t>
      </w:r>
    </w:p>
  </w:footnote>
  <w:footnote w:id="2210">
    <w:p>
      <w:pPr>
        <w:pStyle w:val="FootnoteText"/>
      </w:pPr>
      <w:r>
        <w:rPr>
          <w:rStyle w:val="FootnoteReference"/>
        </w:rPr>
        <w:footnoteRef/>
      </w:r>
      <w:r>
        <w:t xml:space="preserve"> </w:t>
      </w:r>
      <w:r>
        <w:t xml:space="preserve">《教会法典》861 § 2。</w:t>
      </w:r>
    </w:p>
  </w:footnote>
  <w:footnote w:id="2211">
    <w:p>
      <w:pPr>
        <w:pStyle w:val="FootnoteText"/>
      </w:pPr>
      <w:r>
        <w:rPr>
          <w:rStyle w:val="FootnoteReference"/>
        </w:rPr>
        <w:footnoteRef/>
      </w:r>
      <w:r>
        <w:t xml:space="preserve"> </w:t>
      </w:r>
      <w:r>
        <w:t xml:space="preserve">参提前 2:4。</w:t>
      </w:r>
    </w:p>
  </w:footnote>
  <w:footnote w:id="2213">
    <w:p>
      <w:pPr>
        <w:pStyle w:val="FootnoteText"/>
      </w:pPr>
      <w:r>
        <w:rPr>
          <w:rStyle w:val="FootnoteReference"/>
        </w:rPr>
        <w:footnoteRef/>
      </w:r>
      <w:r>
        <w:t xml:space="preserve"> </w:t>
      </w:r>
      <w:r>
        <w:t xml:space="preserve">约3:5。</w:t>
      </w:r>
    </w:p>
  </w:footnote>
  <w:footnote w:id="2214">
    <w:p>
      <w:pPr>
        <w:pStyle w:val="FootnoteText"/>
      </w:pPr>
      <w:r>
        <w:rPr>
          <w:rStyle w:val="FootnoteReference"/>
        </w:rPr>
        <w:footnoteRef/>
      </w:r>
      <w:r>
        <w:t xml:space="preserve"> </w:t>
      </w:r>
      <w:r>
        <w:t xml:space="preserve">太28:19-20；参特利腾会议（1547年）DS 1618；《教会宪章》14；《传教工作法令》5。</w:t>
      </w:r>
    </w:p>
  </w:footnote>
  <w:footnote w:id="2215">
    <w:p>
      <w:pPr>
        <w:pStyle w:val="FootnoteText"/>
      </w:pPr>
      <w:r>
        <w:rPr>
          <w:rStyle w:val="FootnoteReference"/>
        </w:rPr>
        <w:footnoteRef/>
      </w:r>
      <w:r>
        <w:t xml:space="preserve"> </w:t>
      </w:r>
      <w:r>
        <w:t xml:space="preserve">参可16:16。</w:t>
      </w:r>
    </w:p>
  </w:footnote>
  <w:footnote w:id="2216">
    <w:p>
      <w:pPr>
        <w:pStyle w:val="FootnoteText"/>
      </w:pPr>
      <w:r>
        <w:rPr>
          <w:rStyle w:val="FootnoteReference"/>
        </w:rPr>
        <w:footnoteRef/>
      </w:r>
      <w:r>
        <w:t xml:space="preserve"> </w:t>
      </w:r>
      <w:r>
        <w:t xml:space="preserve">参徒 16:15,33；18:8；林前 1:16；CDF，《牧灵行动》指示：AAS 72（1980 年）1137-1156。</w:t>
      </w:r>
    </w:p>
  </w:footnote>
  <w:footnote w:id="2217">
    <w:p>
      <w:pPr>
        <w:pStyle w:val="FootnoteText"/>
      </w:pPr>
      <w:r>
        <w:rPr>
          <w:rStyle w:val="FootnoteReference"/>
        </w:rPr>
        <w:footnoteRef/>
      </w:r>
      <w:r>
        <w:t xml:space="preserve"> </w:t>
      </w:r>
      <w:r>
        <w:t xml:space="preserve">GS 22 § 5；参 LG 16；AG 7。</w:t>
      </w:r>
    </w:p>
  </w:footnote>
  <w:footnote w:id="2218">
    <w:p>
      <w:pPr>
        <w:pStyle w:val="FootnoteText"/>
      </w:pPr>
      <w:r>
        <w:rPr>
          <w:rStyle w:val="FootnoteReference"/>
        </w:rPr>
        <w:footnoteRef/>
      </w:r>
      <w:r>
        <w:t xml:space="preserve"> </w:t>
      </w:r>
      <w:r>
        <w:t xml:space="preserve">可 10:14；参提前 2:4。</w:t>
      </w:r>
    </w:p>
  </w:footnote>
  <w:footnote w:id="2220">
    <w:p>
      <w:pPr>
        <w:pStyle w:val="FootnoteText"/>
      </w:pPr>
      <w:r>
        <w:rPr>
          <w:rStyle w:val="FootnoteReference"/>
        </w:rPr>
        <w:footnoteRef/>
      </w:r>
      <w:r>
        <w:t xml:space="preserve"> </w:t>
      </w:r>
      <w:r>
        <w:t xml:space="preserve">参徒 2:38；约 3:5。</w:t>
      </w:r>
    </w:p>
  </w:footnote>
  <w:footnote w:id="2221">
    <w:p>
      <w:pPr>
        <w:pStyle w:val="FootnoteText"/>
      </w:pPr>
      <w:r>
        <w:rPr>
          <w:rStyle w:val="FootnoteReference"/>
        </w:rPr>
        <w:footnoteRef/>
      </w:r>
      <w:r>
        <w:t xml:space="preserve"> </w:t>
      </w:r>
      <w:r>
        <w:t xml:space="preserve">参佛罗伦萨大公会议（1439 年）：DS 1316。</w:t>
      </w:r>
    </w:p>
  </w:footnote>
  <w:footnote w:id="2222">
    <w:p>
      <w:pPr>
        <w:pStyle w:val="FootnoteText"/>
      </w:pPr>
      <w:r>
        <w:rPr>
          <w:rStyle w:val="FootnoteReference"/>
        </w:rPr>
        <w:footnoteRef/>
      </w:r>
      <w:r>
        <w:t xml:space="preserve"> </w:t>
      </w:r>
      <w:r>
        <w:t xml:space="preserve">特利腾大公会议（1546 年）：DS 1515。</w:t>
      </w:r>
    </w:p>
  </w:footnote>
  <w:footnote w:id="2223">
    <w:p>
      <w:pPr>
        <w:pStyle w:val="FootnoteText"/>
      </w:pPr>
      <w:r>
        <w:rPr>
          <w:rStyle w:val="FootnoteReference"/>
        </w:rPr>
        <w:footnoteRef/>
      </w:r>
      <w:r>
        <w:t xml:space="preserve"> </w:t>
      </w:r>
      <w:r>
        <w:t xml:space="preserve">提后 2:5。</w:t>
      </w:r>
    </w:p>
  </w:footnote>
  <w:footnote w:id="2225">
    <w:p>
      <w:pPr>
        <w:pStyle w:val="FootnoteText"/>
      </w:pPr>
      <w:r>
        <w:rPr>
          <w:rStyle w:val="FootnoteReference"/>
        </w:rPr>
        <w:footnoteRef/>
      </w:r>
      <w:r>
        <w:t xml:space="preserve"> </w:t>
      </w:r>
      <w:r>
        <w:t xml:space="preserve">林后 5:17；彼后 1:4；参加 4:5-7。</w:t>
      </w:r>
    </w:p>
  </w:footnote>
  <w:footnote w:id="2227">
    <w:p>
      <w:pPr>
        <w:pStyle w:val="FootnoteText"/>
      </w:pPr>
      <w:r>
        <w:rPr>
          <w:rStyle w:val="FootnoteReference"/>
        </w:rPr>
        <w:footnoteRef/>
      </w:r>
      <w:r>
        <w:t xml:space="preserve"> </w:t>
      </w:r>
      <w:r>
        <w:t xml:space="preserve">林前 6:15；12:27；罗 8:17。</w:t>
      </w:r>
    </w:p>
  </w:footnote>
  <w:footnote w:id="2228">
    <w:p>
      <w:pPr>
        <w:pStyle w:val="FootnoteText"/>
      </w:pPr>
      <w:r>
        <w:rPr>
          <w:rStyle w:val="FootnoteReference"/>
        </w:rPr>
        <w:footnoteRef/>
      </w:r>
      <w:r>
        <w:t xml:space="preserve"> </w:t>
      </w:r>
      <w:r>
        <w:t xml:space="preserve">林前 6:19。</w:t>
      </w:r>
    </w:p>
  </w:footnote>
  <w:footnote w:id="2229">
    <w:p>
      <w:pPr>
        <w:pStyle w:val="FootnoteText"/>
      </w:pPr>
      <w:r>
        <w:rPr>
          <w:rStyle w:val="FootnoteReference"/>
        </w:rPr>
        <w:footnoteRef/>
      </w:r>
      <w:r>
        <w:t xml:space="preserve"> </w:t>
      </w:r>
      <w:r>
        <w:t xml:space="preserve">弗 4:25。</w:t>
      </w:r>
    </w:p>
  </w:footnote>
  <w:footnote w:id="2230">
    <w:p>
      <w:pPr>
        <w:pStyle w:val="FootnoteText"/>
      </w:pPr>
      <w:r>
        <w:rPr>
          <w:rStyle w:val="FootnoteReference"/>
        </w:rPr>
        <w:footnoteRef/>
      </w:r>
      <w:r>
        <w:t xml:space="preserve"> </w:t>
      </w:r>
      <w:r>
        <w:t xml:space="preserve">林前 12:13。</w:t>
      </w:r>
    </w:p>
  </w:footnote>
  <w:footnote w:id="2231">
    <w:p>
      <w:pPr>
        <w:pStyle w:val="FootnoteText"/>
      </w:pPr>
      <w:r>
        <w:rPr>
          <w:rStyle w:val="FootnoteReference"/>
        </w:rPr>
        <w:footnoteRef/>
      </w:r>
      <w:r>
        <w:t xml:space="preserve"> </w:t>
      </w:r>
      <w:r>
        <w:t xml:space="preserve">LG 11；参 LG 17；AG 7；23。</w:t>
      </w:r>
    </w:p>
  </w:footnote>
  <w:footnote w:id="2233">
    <w:p>
      <w:pPr>
        <w:pStyle w:val="FootnoteText"/>
      </w:pPr>
      <w:r>
        <w:rPr>
          <w:rStyle w:val="FootnoteReference"/>
        </w:rPr>
        <w:footnoteRef/>
      </w:r>
      <w:r>
        <w:t xml:space="preserve"> </w:t>
      </w:r>
      <w:r>
        <w:t xml:space="preserve">UR 3。</w:t>
      </w:r>
    </w:p>
  </w:footnote>
  <w:footnote w:id="2235">
    <w:p>
      <w:pPr>
        <w:pStyle w:val="FootnoteText"/>
      </w:pPr>
      <w:r>
        <w:rPr>
          <w:rStyle w:val="FootnoteReference"/>
        </w:rPr>
        <w:footnoteRef/>
      </w:r>
      <w:r>
        <w:t xml:space="preserve"> </w:t>
      </w:r>
      <w:r>
        <w:t xml:space="preserve">罗 8:29；特利腾大公会议（1547 年）：DS 1609-1619。</w:t>
      </w:r>
    </w:p>
  </w:footnote>
  <w:footnote w:id="2236">
    <w:p>
      <w:pPr>
        <w:pStyle w:val="FootnoteText"/>
      </w:pPr>
      <w:r>
        <w:rPr>
          <w:rStyle w:val="FootnoteReference"/>
        </w:rPr>
        <w:footnoteRef/>
      </w:r>
      <w:r>
        <w:t xml:space="preserve"> </w:t>
      </w:r>
      <w:r>
        <w:t xml:space="preserve">参 LG 11。</w:t>
      </w:r>
    </w:p>
  </w:footnote>
  <w:footnote w:id="2237">
    <w:p>
      <w:pPr>
        <w:pStyle w:val="FootnoteText"/>
      </w:pPr>
      <w:r>
        <w:rPr>
          <w:rStyle w:val="FootnoteReference"/>
        </w:rPr>
        <w:footnoteRef/>
      </w:r>
      <w:r>
        <w:t xml:space="preserve"> </w:t>
      </w:r>
      <w:r>
        <w:t xml:space="preserve">LG 10。</w:t>
      </w:r>
    </w:p>
  </w:footnote>
  <w:footnote w:id="2238">
    <w:p>
      <w:pPr>
        <w:pStyle w:val="FootnoteText"/>
      </w:pPr>
      <w:r>
        <w:rPr>
          <w:rStyle w:val="FootnoteReference"/>
        </w:rPr>
        <w:footnoteRef/>
      </w:r>
      <w:r>
        <w:t xml:space="preserve"> </w:t>
      </w:r>
      <w:r>
        <w:t xml:space="preserve">圣奥古斯丁，《书信》98,5：PL 33,362；弗 4:30；参弗 1:13-14；林后 1:21-22。</w:t>
      </w:r>
    </w:p>
  </w:footnote>
  <w:footnote w:id="2239">
    <w:p>
      <w:pPr>
        <w:pStyle w:val="FootnoteText"/>
      </w:pPr>
      <w:r>
        <w:rPr>
          <w:rStyle w:val="FootnoteReference"/>
        </w:rPr>
        <w:footnoteRef/>
      </w:r>
      <w:r>
        <w:t xml:space="preserve"> </w:t>
      </w:r>
      <w:r>
        <w:t xml:space="preserve">圣依勒内，《宗徒讲道论证》3：SCh 62,32。</w:t>
      </w:r>
    </w:p>
  </w:footnote>
  <w:footnote w:id="2244">
    <w:p>
      <w:pPr>
        <w:pStyle w:val="FootnoteText"/>
      </w:pPr>
      <w:r>
        <w:rPr>
          <w:rStyle w:val="FootnoteReference"/>
        </w:rPr>
        <w:footnoteRef/>
      </w:r>
      <w:r>
        <w:t xml:space="preserve"> </w:t>
      </w:r>
      <w:r>
        <w:t xml:space="preserve">参《罗马礼仪书》，坚振礼（OC），导言 1。</w:t>
      </w:r>
    </w:p>
  </w:footnote>
  <w:footnote w:id="2245">
    <w:p>
      <w:pPr>
        <w:pStyle w:val="FootnoteText"/>
      </w:pPr>
      <w:r>
        <w:rPr>
          <w:rStyle w:val="FootnoteReference"/>
        </w:rPr>
        <w:footnoteRef/>
      </w:r>
      <w:r>
        <w:t xml:space="preserve"> </w:t>
      </w:r>
      <w:r>
        <w:t xml:space="preserve">《教会宪章》11；参 OC，导言 2。</w:t>
      </w:r>
    </w:p>
  </w:footnote>
  <w:footnote w:id="2246">
    <w:p>
      <w:pPr>
        <w:pStyle w:val="FootnoteText"/>
      </w:pPr>
      <w:r>
        <w:rPr>
          <w:rStyle w:val="FootnoteReference"/>
        </w:rPr>
        <w:footnoteRef/>
      </w:r>
      <w:r>
        <w:t xml:space="preserve"> </w:t>
      </w:r>
      <w:r>
        <w:t xml:space="preserve">参赛 11:2；61:1；路 4:16-22。</w:t>
      </w:r>
    </w:p>
  </w:footnote>
  <w:footnote w:id="2247">
    <w:p>
      <w:pPr>
        <w:pStyle w:val="FootnoteText"/>
      </w:pPr>
      <w:r>
        <w:rPr>
          <w:rStyle w:val="FootnoteReference"/>
        </w:rPr>
        <w:footnoteRef/>
      </w:r>
      <w:r>
        <w:t xml:space="preserve"> </w:t>
      </w:r>
      <w:r>
        <w:t xml:space="preserve">参太 3:13-17；约 1:33-34。</w:t>
      </w:r>
    </w:p>
  </w:footnote>
  <w:footnote w:id="2248">
    <w:p>
      <w:pPr>
        <w:pStyle w:val="FootnoteText"/>
      </w:pPr>
      <w:r>
        <w:rPr>
          <w:rStyle w:val="FootnoteReference"/>
        </w:rPr>
        <w:footnoteRef/>
      </w:r>
      <w:r>
        <w:t xml:space="preserve"> </w:t>
      </w:r>
      <w:r>
        <w:t xml:space="preserve">约 3:34。</w:t>
      </w:r>
    </w:p>
  </w:footnote>
  <w:footnote w:id="2249">
    <w:p>
      <w:pPr>
        <w:pStyle w:val="FootnoteText"/>
      </w:pPr>
      <w:r>
        <w:rPr>
          <w:rStyle w:val="FootnoteReference"/>
        </w:rPr>
        <w:footnoteRef/>
      </w:r>
      <w:r>
        <w:t xml:space="preserve"> </w:t>
      </w:r>
      <w:r>
        <w:t xml:space="preserve">参结 36:25-27；珥 3:1-2。</w:t>
      </w:r>
    </w:p>
  </w:footnote>
  <w:footnote w:id="2250">
    <w:p>
      <w:pPr>
        <w:pStyle w:val="FootnoteText"/>
      </w:pPr>
      <w:r>
        <w:rPr>
          <w:rStyle w:val="FootnoteReference"/>
        </w:rPr>
        <w:footnoteRef/>
      </w:r>
      <w:r>
        <w:t xml:space="preserve"> </w:t>
      </w:r>
      <w:r>
        <w:t xml:space="preserve">参路 12:12；约 3:5-8；7:37-39；16:7-15；徒 1:8。</w:t>
      </w:r>
    </w:p>
  </w:footnote>
  <w:footnote w:id="2251">
    <w:p>
      <w:pPr>
        <w:pStyle w:val="FootnoteText"/>
      </w:pPr>
      <w:r>
        <w:rPr>
          <w:rStyle w:val="FootnoteReference"/>
        </w:rPr>
        <w:footnoteRef/>
      </w:r>
      <w:r>
        <w:t xml:space="preserve"> </w:t>
      </w:r>
      <w:r>
        <w:t xml:space="preserve">参约 20:22；徒 2:1-14。</w:t>
      </w:r>
    </w:p>
  </w:footnote>
  <w:footnote w:id="2252">
    <w:p>
      <w:pPr>
        <w:pStyle w:val="FootnoteText"/>
      </w:pPr>
      <w:r>
        <w:rPr>
          <w:rStyle w:val="FootnoteReference"/>
        </w:rPr>
        <w:footnoteRef/>
      </w:r>
      <w:r>
        <w:t xml:space="preserve"> </w:t>
      </w:r>
      <w:r>
        <w:t xml:space="preserve">徒 2:11；参 2:17-18。</w:t>
      </w:r>
    </w:p>
  </w:footnote>
  <w:footnote w:id="2253">
    <w:p>
      <w:pPr>
        <w:pStyle w:val="FootnoteText"/>
      </w:pPr>
      <w:r>
        <w:rPr>
          <w:rStyle w:val="FootnoteReference"/>
        </w:rPr>
        <w:footnoteRef/>
      </w:r>
      <w:r>
        <w:t xml:space="preserve"> </w:t>
      </w:r>
      <w:r>
        <w:t xml:space="preserve">参徒 2:38。</w:t>
      </w:r>
    </w:p>
  </w:footnote>
  <w:footnote w:id="2254">
    <w:p>
      <w:pPr>
        <w:pStyle w:val="FootnoteText"/>
      </w:pPr>
      <w:r>
        <w:rPr>
          <w:rStyle w:val="FootnoteReference"/>
        </w:rPr>
        <w:footnoteRef/>
      </w:r>
      <w:r>
        <w:t xml:space="preserve"> </w:t>
      </w:r>
      <w:r>
        <w:t xml:space="preserve">保禄六世，《Divinae consortium naturae》，659；参徒 8:15-17；19:5-6；来 6:2。</w:t>
      </w:r>
    </w:p>
  </w:footnote>
  <w:footnote w:id="2255">
    <w:p>
      <w:pPr>
        <w:pStyle w:val="FootnoteText"/>
      </w:pPr>
      <w:r>
        <w:rPr>
          <w:rStyle w:val="FootnoteReference"/>
        </w:rPr>
        <w:footnoteRef/>
      </w:r>
      <w:r>
        <w:t xml:space="preserve"> </w:t>
      </w:r>
      <w:r>
        <w:t xml:space="preserve">徒 10:38。</w:t>
      </w:r>
    </w:p>
  </w:footnote>
  <w:footnote w:id="2257">
    <w:p>
      <w:pPr>
        <w:pStyle w:val="FootnoteText"/>
      </w:pPr>
      <w:r>
        <w:rPr>
          <w:rStyle w:val="FootnoteReference"/>
        </w:rPr>
        <w:footnoteRef/>
      </w:r>
      <w:r>
        <w:t xml:space="preserve"> </w:t>
      </w:r>
      <w:r>
        <w:t xml:space="preserve">参《东方教会法典》，695 条 §1；696 条 §1。</w:t>
      </w:r>
    </w:p>
  </w:footnote>
  <w:footnote w:id="2258">
    <w:p>
      <w:pPr>
        <w:pStyle w:val="FootnoteText"/>
      </w:pPr>
      <w:r>
        <w:rPr>
          <w:rStyle w:val="FootnoteReference"/>
        </w:rPr>
        <w:footnoteRef/>
      </w:r>
      <w:r>
        <w:t xml:space="preserve"> </w:t>
      </w:r>
      <w:r>
        <w:t xml:space="preserve">参圣希波吕托，《使徒传承》21：SCh 11,80-95。</w:t>
      </w:r>
    </w:p>
  </w:footnote>
  <w:footnote w:id="2260">
    <w:p>
      <w:pPr>
        <w:pStyle w:val="FootnoteText"/>
      </w:pPr>
      <w:r>
        <w:rPr>
          <w:rStyle w:val="FootnoteReference"/>
        </w:rPr>
        <w:footnoteRef/>
      </w:r>
      <w:r>
        <w:t xml:space="preserve"> </w:t>
      </w:r>
      <w:r>
        <w:t xml:space="preserve">参申 11:14；诗 23:5；104:15。</w:t>
      </w:r>
    </w:p>
  </w:footnote>
  <w:footnote w:id="2261">
    <w:p>
      <w:pPr>
        <w:pStyle w:val="FootnoteText"/>
      </w:pPr>
      <w:r>
        <w:rPr>
          <w:rStyle w:val="FootnoteReference"/>
        </w:rPr>
        <w:footnoteRef/>
      </w:r>
      <w:r>
        <w:t xml:space="preserve"> </w:t>
      </w:r>
      <w:r>
        <w:t xml:space="preserve">参赛 1:6；路 10:34。</w:t>
      </w:r>
    </w:p>
  </w:footnote>
  <w:footnote w:id="2262">
    <w:p>
      <w:pPr>
        <w:pStyle w:val="FootnoteText"/>
      </w:pPr>
      <w:r>
        <w:rPr>
          <w:rStyle w:val="FootnoteReference"/>
        </w:rPr>
        <w:footnoteRef/>
      </w:r>
      <w:r>
        <w:t xml:space="preserve"> </w:t>
      </w:r>
      <w:r>
        <w:t xml:space="preserve">林后 2:15。</w:t>
      </w:r>
    </w:p>
  </w:footnote>
  <w:footnote w:id="2263">
    <w:p>
      <w:pPr>
        <w:pStyle w:val="FootnoteText"/>
      </w:pPr>
      <w:r>
        <w:rPr>
          <w:rStyle w:val="FootnoteReference"/>
        </w:rPr>
        <w:footnoteRef/>
      </w:r>
      <w:r>
        <w:t xml:space="preserve"> </w:t>
      </w:r>
      <w:r>
        <w:t xml:space="preserve">参创 38:18；41:42；申 32:34；歌 8:6。</w:t>
      </w:r>
    </w:p>
  </w:footnote>
  <w:footnote w:id="2264">
    <w:p>
      <w:pPr>
        <w:pStyle w:val="FootnoteText"/>
      </w:pPr>
      <w:r>
        <w:rPr>
          <w:rStyle w:val="FootnoteReference"/>
        </w:rPr>
        <w:footnoteRef/>
      </w:r>
      <w:r>
        <w:t xml:space="preserve"> </w:t>
      </w:r>
      <w:r>
        <w:t xml:space="preserve">参王上 21:8；耶 32:10；赛 29:11。</w:t>
      </w:r>
    </w:p>
  </w:footnote>
  <w:footnote w:id="2265">
    <w:p>
      <w:pPr>
        <w:pStyle w:val="FootnoteText"/>
      </w:pPr>
      <w:r>
        <w:rPr>
          <w:rStyle w:val="FootnoteReference"/>
        </w:rPr>
        <w:footnoteRef/>
      </w:r>
      <w:r>
        <w:t xml:space="preserve"> </w:t>
      </w:r>
      <w:r>
        <w:t xml:space="preserve">参约 6:27。</w:t>
      </w:r>
    </w:p>
  </w:footnote>
  <w:footnote w:id="2266">
    <w:p>
      <w:pPr>
        <w:pStyle w:val="FootnoteText"/>
      </w:pPr>
      <w:r>
        <w:rPr>
          <w:rStyle w:val="FootnoteReference"/>
        </w:rPr>
        <w:footnoteRef/>
      </w:r>
      <w:r>
        <w:t xml:space="preserve"> </w:t>
      </w:r>
      <w:r>
        <w:t xml:space="preserve">林后 1:21-22；参弗 1:13；4:30。</w:t>
      </w:r>
    </w:p>
  </w:footnote>
  <w:footnote w:id="2267">
    <w:p>
      <w:pPr>
        <w:pStyle w:val="FootnoteText"/>
      </w:pPr>
      <w:r>
        <w:rPr>
          <w:rStyle w:val="FootnoteReference"/>
        </w:rPr>
        <w:footnoteRef/>
      </w:r>
      <w:r>
        <w:t xml:space="preserve"> </w:t>
      </w:r>
      <w:r>
        <w:t xml:space="preserve">参启 7:2-3；9:4；结 9:4-6。</w:t>
      </w:r>
    </w:p>
  </w:footnote>
  <w:footnote w:id="2268">
    <w:p>
      <w:pPr>
        <w:pStyle w:val="FootnoteText"/>
      </w:pPr>
      <w:r>
        <w:rPr>
          <w:rStyle w:val="FootnoteReference"/>
        </w:rPr>
        <w:footnoteRef/>
      </w:r>
      <w:r>
        <w:t xml:space="preserve"> </w:t>
      </w:r>
      <w:r>
        <w:t xml:space="preserve">参《礼仪宪章》71。</w:t>
      </w:r>
    </w:p>
  </w:footnote>
  <w:footnote w:id="2269">
    <w:p>
      <w:pPr>
        <w:pStyle w:val="FootnoteText"/>
      </w:pPr>
      <w:r>
        <w:rPr>
          <w:rStyle w:val="FootnoteReference"/>
        </w:rPr>
        <w:footnoteRef/>
      </w:r>
      <w:r>
        <w:t xml:space="preserve"> </w:t>
      </w:r>
      <w:r>
        <w:t xml:space="preserve">OC 25。</w:t>
      </w:r>
    </w:p>
  </w:footnote>
  <w:footnote w:id="2270">
    <w:p>
      <w:pPr>
        <w:pStyle w:val="FootnoteText"/>
      </w:pPr>
      <w:r>
        <w:rPr>
          <w:rStyle w:val="FootnoteReference"/>
        </w:rPr>
        <w:footnoteRef/>
      </w:r>
      <w:r>
        <w:t xml:space="preserve"> </w:t>
      </w:r>
      <w:r>
        <w:t xml:space="preserve">保禄六世，宗座宪章，《Divinae consortium naturae》，663。</w:t>
      </w:r>
    </w:p>
  </w:footnote>
  <w:footnote w:id="2271">
    <w:p>
      <w:pPr>
        <w:pStyle w:val="FootnoteText"/>
      </w:pPr>
      <w:r>
        <w:rPr>
          <w:rStyle w:val="FootnoteReference"/>
        </w:rPr>
        <w:footnoteRef/>
      </w:r>
      <w:r>
        <w:t xml:space="preserve"> </w:t>
      </w:r>
      <w:r>
        <w:t xml:space="preserve">参圣希波吕托，《使徒传承》21：SCh 11,80-95。</w:t>
      </w:r>
    </w:p>
  </w:footnote>
  <w:footnote w:id="2274">
    <w:p>
      <w:pPr>
        <w:pStyle w:val="FootnoteText"/>
      </w:pPr>
      <w:r>
        <w:rPr>
          <w:rStyle w:val="FootnoteReference"/>
        </w:rPr>
        <w:footnoteRef/>
      </w:r>
      <w:r>
        <w:t xml:space="preserve"> </w:t>
      </w:r>
      <w:r>
        <w:t xml:space="preserve">罗 8:15。</w:t>
      </w:r>
    </w:p>
  </w:footnote>
  <w:footnote w:id="2275">
    <w:p>
      <w:pPr>
        <w:pStyle w:val="FootnoteText"/>
      </w:pPr>
      <w:r>
        <w:rPr>
          <w:rStyle w:val="FootnoteReference"/>
        </w:rPr>
        <w:footnoteRef/>
      </w:r>
      <w:r>
        <w:t xml:space="preserve"> </w:t>
      </w:r>
      <w:r>
        <w:t xml:space="preserve">参《教会宪章》11。</w:t>
      </w:r>
    </w:p>
  </w:footnote>
  <w:footnote w:id="2276">
    <w:p>
      <w:pPr>
        <w:pStyle w:val="FootnoteText"/>
      </w:pPr>
      <w:r>
        <w:rPr>
          <w:rStyle w:val="FootnoteReference"/>
        </w:rPr>
        <w:footnoteRef/>
      </w:r>
      <w:r>
        <w:t xml:space="preserve"> </w:t>
      </w:r>
      <w:r>
        <w:t xml:space="preserve">参佛罗伦萨大公会议（1439 年）：DS 1319；《教会宪章》11；12。</w:t>
      </w:r>
    </w:p>
  </w:footnote>
  <w:footnote w:id="2277">
    <w:p>
      <w:pPr>
        <w:pStyle w:val="FootnoteText"/>
      </w:pPr>
      <w:r>
        <w:rPr>
          <w:rStyle w:val="FootnoteReference"/>
        </w:rPr>
        <w:footnoteRef/>
      </w:r>
      <w:r>
        <w:t xml:space="preserve"> </w:t>
      </w:r>
      <w:r>
        <w:t xml:space="preserve">圣安波罗修，《论奥秘》7,42：PL 16,402-403。</w:t>
      </w:r>
    </w:p>
  </w:footnote>
  <w:footnote w:id="2278">
    <w:p>
      <w:pPr>
        <w:pStyle w:val="FootnoteText"/>
      </w:pPr>
      <w:r>
        <w:rPr>
          <w:rStyle w:val="FootnoteReference"/>
        </w:rPr>
        <w:footnoteRef/>
      </w:r>
      <w:r>
        <w:t xml:space="preserve"> </w:t>
      </w:r>
      <w:r>
        <w:t xml:space="preserve">参特利腾大公会议（1547 年）：DS 1609；路 24:48-49。</w:t>
      </w:r>
    </w:p>
  </w:footnote>
  <w:footnote w:id="2279">
    <w:p>
      <w:pPr>
        <w:pStyle w:val="FootnoteText"/>
      </w:pPr>
      <w:r>
        <w:rPr>
          <w:rStyle w:val="FootnoteReference"/>
        </w:rPr>
        <w:footnoteRef/>
      </w:r>
      <w:r>
        <w:t xml:space="preserve"> </w:t>
      </w:r>
      <w:r>
        <w:t xml:space="preserve">圣托马斯·阿奎那，《神学大全》III,72,5, ad 2。</w:t>
      </w:r>
    </w:p>
  </w:footnote>
  <w:footnote w:id="2281">
    <w:p>
      <w:pPr>
        <w:pStyle w:val="FootnoteText"/>
      </w:pPr>
      <w:r>
        <w:rPr>
          <w:rStyle w:val="FootnoteReference"/>
        </w:rPr>
        <w:footnoteRef/>
      </w:r>
      <w:r>
        <w:t xml:space="preserve"> </w:t>
      </w:r>
      <w:r>
        <w:t xml:space="preserve">参《教会法典》，889 条 §1。</w:t>
      </w:r>
    </w:p>
  </w:footnote>
  <w:footnote w:id="2282">
    <w:p>
      <w:pPr>
        <w:pStyle w:val="FootnoteText"/>
      </w:pPr>
      <w:r>
        <w:rPr>
          <w:rStyle w:val="FootnoteReference"/>
        </w:rPr>
        <w:footnoteRef/>
      </w:r>
      <w:r>
        <w:t xml:space="preserve"> </w:t>
      </w:r>
      <w:r>
        <w:t xml:space="preserve">参《教会法典》，891 条；883 条，3°。</w:t>
      </w:r>
    </w:p>
  </w:footnote>
  <w:footnote w:id="2283">
    <w:p>
      <w:pPr>
        <w:pStyle w:val="FootnoteText"/>
      </w:pPr>
      <w:r>
        <w:rPr>
          <w:rStyle w:val="FootnoteReference"/>
        </w:rPr>
        <w:footnoteRef/>
      </w:r>
      <w:r>
        <w:t xml:space="preserve"> </w:t>
      </w:r>
      <w:r>
        <w:t xml:space="preserve">圣托马斯·阿奎那，《神学大全》III,72,8, ad 2；参智 4:8。</w:t>
      </w:r>
    </w:p>
  </w:footnote>
  <w:footnote w:id="2284">
    <w:p>
      <w:pPr>
        <w:pStyle w:val="FootnoteText"/>
      </w:pPr>
      <w:r>
        <w:rPr>
          <w:rStyle w:val="FootnoteReference"/>
        </w:rPr>
        <w:footnoteRef/>
      </w:r>
      <w:r>
        <w:t xml:space="preserve"> </w:t>
      </w:r>
      <w:r>
        <w:t xml:space="preserve">参 OC 导言 3。</w:t>
      </w:r>
    </w:p>
  </w:footnote>
  <w:footnote w:id="2285">
    <w:p>
      <w:pPr>
        <w:pStyle w:val="FootnoteText"/>
      </w:pPr>
      <w:r>
        <w:rPr>
          <w:rStyle w:val="FootnoteReference"/>
        </w:rPr>
        <w:footnoteRef/>
      </w:r>
      <w:r>
        <w:t xml:space="preserve"> </w:t>
      </w:r>
      <w:r>
        <w:t xml:space="preserve">参徒 1:14。</w:t>
      </w:r>
    </w:p>
  </w:footnote>
  <w:footnote w:id="2286">
    <w:p>
      <w:pPr>
        <w:pStyle w:val="FootnoteText"/>
      </w:pPr>
      <w:r>
        <w:rPr>
          <w:rStyle w:val="FootnoteReference"/>
        </w:rPr>
        <w:footnoteRef/>
      </w:r>
      <w:r>
        <w:t xml:space="preserve"> </w:t>
      </w:r>
      <w:r>
        <w:t xml:space="preserve">参 OC 导言 5；6；《教会法典》，893 条 §§1-2。</w:t>
      </w:r>
    </w:p>
  </w:footnote>
  <w:footnote w:id="2288">
    <w:p>
      <w:pPr>
        <w:pStyle w:val="FootnoteText"/>
      </w:pPr>
      <w:r>
        <w:rPr>
          <w:rStyle w:val="FootnoteReference"/>
        </w:rPr>
        <w:footnoteRef/>
      </w:r>
      <w:r>
        <w:t xml:space="preserve"> </w:t>
      </w:r>
      <w:r>
        <w:t xml:space="preserve">参《教会宪章》26。</w:t>
      </w:r>
    </w:p>
  </w:footnote>
  <w:footnote w:id="2289">
    <w:p>
      <w:pPr>
        <w:pStyle w:val="FootnoteText"/>
      </w:pPr>
      <w:r>
        <w:rPr>
          <w:rStyle w:val="FootnoteReference"/>
        </w:rPr>
        <w:footnoteRef/>
      </w:r>
      <w:r>
        <w:t xml:space="preserve"> </w:t>
      </w:r>
      <w:r>
        <w:t xml:space="preserve">参《教会法典》，883 条 §2。</w:t>
      </w:r>
    </w:p>
  </w:footnote>
  <w:footnote w:id="2290">
    <w:p>
      <w:pPr>
        <w:pStyle w:val="FootnoteText"/>
      </w:pPr>
      <w:r>
        <w:rPr>
          <w:rStyle w:val="FootnoteReference"/>
        </w:rPr>
        <w:footnoteRef/>
      </w:r>
      <w:r>
        <w:t xml:space="preserve"> </w:t>
      </w:r>
      <w:r>
        <w:t xml:space="preserve">参《教会法典》，882 条。</w:t>
      </w:r>
    </w:p>
  </w:footnote>
  <w:footnote w:id="2291">
    <w:p>
      <w:pPr>
        <w:pStyle w:val="FootnoteText"/>
      </w:pPr>
      <w:r>
        <w:rPr>
          <w:rStyle w:val="FootnoteReference"/>
        </w:rPr>
        <w:footnoteRef/>
      </w:r>
      <w:r>
        <w:t xml:space="preserve"> </w:t>
      </w:r>
      <w:r>
        <w:t xml:space="preserve">参《教会法典》，883 条 §3。</w:t>
      </w:r>
    </w:p>
  </w:footnote>
  <w:footnote w:id="2293">
    <w:p>
      <w:pPr>
        <w:pStyle w:val="FootnoteText"/>
      </w:pPr>
      <w:r>
        <w:rPr>
          <w:rStyle w:val="FootnoteReference"/>
        </w:rPr>
        <w:footnoteRef/>
      </w:r>
      <w:r>
        <w:t xml:space="preserve"> </w:t>
      </w:r>
      <w:r>
        <w:t xml:space="preserve">保禄六世，宗座宪章，《Divinae consortium naturae》，663。</w:t>
      </w:r>
    </w:p>
  </w:footnote>
  <w:footnote w:id="2296">
    <w:p>
      <w:pPr>
        <w:pStyle w:val="FootnoteText"/>
      </w:pPr>
      <w:r>
        <w:rPr>
          <w:rStyle w:val="FootnoteReference"/>
        </w:rPr>
        <w:footnoteRef/>
      </w:r>
      <w:r>
        <w:t xml:space="preserve"> </w:t>
      </w:r>
      <w:r>
        <w:t xml:space="preserve">《礼仪宪章》47。</w:t>
      </w:r>
    </w:p>
  </w:footnote>
  <w:footnote w:id="2297">
    <w:p>
      <w:pPr>
        <w:pStyle w:val="FootnoteText"/>
      </w:pPr>
      <w:r>
        <w:rPr>
          <w:rStyle w:val="FootnoteReference"/>
        </w:rPr>
        <w:footnoteRef/>
      </w:r>
      <w:r>
        <w:t xml:space="preserve"> </w:t>
      </w:r>
      <w:r>
        <w:t xml:space="preserve">《教会宪章》11。</w:t>
      </w:r>
    </w:p>
  </w:footnote>
  <w:footnote w:id="2298">
    <w:p>
      <w:pPr>
        <w:pStyle w:val="FootnoteText"/>
      </w:pPr>
      <w:r>
        <w:rPr>
          <w:rStyle w:val="FootnoteReference"/>
        </w:rPr>
        <w:footnoteRef/>
      </w:r>
      <w:r>
        <w:t xml:space="preserve"> </w:t>
      </w:r>
      <w:r>
        <w:t xml:space="preserve">《祭司职务与生活法令》5。</w:t>
      </w:r>
    </w:p>
  </w:footnote>
  <w:footnote w:id="2299">
    <w:p>
      <w:pPr>
        <w:pStyle w:val="FootnoteText"/>
      </w:pPr>
      <w:r>
        <w:rPr>
          <w:rStyle w:val="FootnoteReference"/>
        </w:rPr>
        <w:footnoteRef/>
      </w:r>
      <w:r>
        <w:t xml:space="preserve"> </w:t>
      </w:r>
      <w:r>
        <w:t xml:space="preserve">礼仪圣部，《圣餐奥秘》训令，6。</w:t>
      </w:r>
    </w:p>
  </w:footnote>
  <w:footnote w:id="2300">
    <w:p>
      <w:pPr>
        <w:pStyle w:val="FootnoteText"/>
      </w:pPr>
      <w:r>
        <w:rPr>
          <w:rStyle w:val="FootnoteReference"/>
        </w:rPr>
        <w:footnoteRef/>
      </w:r>
      <w:r>
        <w:t xml:space="preserve"> </w:t>
      </w:r>
      <w:r>
        <w:t xml:space="preserve">参林前 15:28。</w:t>
      </w:r>
    </w:p>
  </w:footnote>
  <w:footnote w:id="2301">
    <w:p>
      <w:pPr>
        <w:pStyle w:val="FootnoteText"/>
      </w:pPr>
      <w:r>
        <w:rPr>
          <w:rStyle w:val="FootnoteReference"/>
        </w:rPr>
        <w:footnoteRef/>
      </w:r>
      <w:r>
        <w:t xml:space="preserve"> </w:t>
      </w:r>
      <w:r>
        <w:t xml:space="preserve">圣爱任纽，《反异端》4,18,5：PG 7/l,1028。</w:t>
      </w:r>
    </w:p>
  </w:footnote>
  <w:footnote w:id="2303">
    <w:p>
      <w:pPr>
        <w:pStyle w:val="FootnoteText"/>
      </w:pPr>
      <w:r>
        <w:rPr>
          <w:rStyle w:val="FootnoteReference"/>
        </w:rPr>
        <w:footnoteRef/>
      </w:r>
      <w:r>
        <w:t xml:space="preserve"> </w:t>
      </w:r>
      <w:r>
        <w:t xml:space="preserve">参路 22:19；林前 11:24。</w:t>
      </w:r>
    </w:p>
  </w:footnote>
  <w:footnote w:id="2304">
    <w:p>
      <w:pPr>
        <w:pStyle w:val="FootnoteText"/>
      </w:pPr>
      <w:r>
        <w:rPr>
          <w:rStyle w:val="FootnoteReference"/>
        </w:rPr>
        <w:footnoteRef/>
      </w:r>
      <w:r>
        <w:t xml:space="preserve"> </w:t>
      </w:r>
      <w:r>
        <w:t xml:space="preserve">参太 26:26；可 14:22。</w:t>
      </w:r>
    </w:p>
  </w:footnote>
  <w:footnote w:id="2305">
    <w:p>
      <w:pPr>
        <w:pStyle w:val="FootnoteText"/>
      </w:pPr>
      <w:r>
        <w:rPr>
          <w:rStyle w:val="FootnoteReference"/>
        </w:rPr>
        <w:footnoteRef/>
      </w:r>
      <w:r>
        <w:t xml:space="preserve"> </w:t>
      </w:r>
      <w:r>
        <w:t xml:space="preserve">参林前 11:20；启 19:9。</w:t>
      </w:r>
    </w:p>
  </w:footnote>
  <w:footnote w:id="2306">
    <w:p>
      <w:pPr>
        <w:pStyle w:val="FootnoteText"/>
      </w:pPr>
      <w:r>
        <w:rPr>
          <w:rStyle w:val="FootnoteReference"/>
        </w:rPr>
        <w:footnoteRef/>
      </w:r>
      <w:r>
        <w:t xml:space="preserve"> </w:t>
      </w:r>
      <w:r>
        <w:t xml:space="preserve">参太 14:19；15:36；可 8:6,19。</w:t>
      </w:r>
    </w:p>
  </w:footnote>
  <w:footnote w:id="2307">
    <w:p>
      <w:pPr>
        <w:pStyle w:val="FootnoteText"/>
      </w:pPr>
      <w:r>
        <w:rPr>
          <w:rStyle w:val="FootnoteReference"/>
        </w:rPr>
        <w:footnoteRef/>
      </w:r>
      <w:r>
        <w:t xml:space="preserve"> </w:t>
      </w:r>
      <w:r>
        <w:t xml:space="preserve">参太 26:26；林前 11:24。</w:t>
      </w:r>
    </w:p>
  </w:footnote>
  <w:footnote w:id="2308">
    <w:p>
      <w:pPr>
        <w:pStyle w:val="FootnoteText"/>
      </w:pPr>
      <w:r>
        <w:rPr>
          <w:rStyle w:val="FootnoteReference"/>
        </w:rPr>
        <w:footnoteRef/>
      </w:r>
      <w:r>
        <w:t xml:space="preserve"> </w:t>
      </w:r>
      <w:r>
        <w:t xml:space="preserve">参路 24:13-35。</w:t>
      </w:r>
    </w:p>
  </w:footnote>
  <w:footnote w:id="2309">
    <w:p>
      <w:pPr>
        <w:pStyle w:val="FootnoteText"/>
      </w:pPr>
      <w:r>
        <w:rPr>
          <w:rStyle w:val="FootnoteReference"/>
        </w:rPr>
        <w:footnoteRef/>
      </w:r>
      <w:r>
        <w:t xml:space="preserve"> </w:t>
      </w:r>
      <w:r>
        <w:t xml:space="preserve">参徒 2:42,46；20:7,11。</w:t>
      </w:r>
    </w:p>
  </w:footnote>
  <w:footnote w:id="2310">
    <w:p>
      <w:pPr>
        <w:pStyle w:val="FootnoteText"/>
      </w:pPr>
      <w:r>
        <w:rPr>
          <w:rStyle w:val="FootnoteReference"/>
        </w:rPr>
        <w:footnoteRef/>
      </w:r>
      <w:r>
        <w:t xml:space="preserve"> </w:t>
      </w:r>
      <w:r>
        <w:t xml:space="preserve">参林前 10:16-17。</w:t>
      </w:r>
    </w:p>
  </w:footnote>
  <w:footnote w:id="2311">
    <w:p>
      <w:pPr>
        <w:pStyle w:val="FootnoteText"/>
      </w:pPr>
      <w:r>
        <w:rPr>
          <w:rStyle w:val="FootnoteReference"/>
        </w:rPr>
        <w:footnoteRef/>
      </w:r>
      <w:r>
        <w:t xml:space="preserve"> </w:t>
      </w:r>
      <w:r>
        <w:t xml:space="preserve">参林前 11:17-34。</w:t>
      </w:r>
    </w:p>
  </w:footnote>
  <w:footnote w:id="2312">
    <w:p>
      <w:pPr>
        <w:pStyle w:val="FootnoteText"/>
      </w:pPr>
      <w:r>
        <w:rPr>
          <w:rStyle w:val="FootnoteReference"/>
        </w:rPr>
        <w:footnoteRef/>
      </w:r>
      <w:r>
        <w:t xml:space="preserve"> </w:t>
      </w:r>
      <w:r>
        <w:t xml:space="preserve">来 13:15；参彼前 2:5；诗 116:13,17；玛 1:11。</w:t>
      </w:r>
    </w:p>
  </w:footnote>
  <w:footnote w:id="2313">
    <w:p>
      <w:pPr>
        <w:pStyle w:val="FootnoteText"/>
      </w:pPr>
      <w:r>
        <w:rPr>
          <w:rStyle w:val="FootnoteReference"/>
        </w:rPr>
        <w:footnoteRef/>
      </w:r>
      <w:r>
        <w:t xml:space="preserve"> </w:t>
      </w:r>
      <w:r>
        <w:t xml:space="preserve">参林前 10:16-17。</w:t>
      </w:r>
    </w:p>
  </w:footnote>
  <w:footnote w:id="2314">
    <w:p>
      <w:pPr>
        <w:pStyle w:val="FootnoteText"/>
      </w:pPr>
      <w:r>
        <w:rPr>
          <w:rStyle w:val="FootnoteReference"/>
        </w:rPr>
        <w:footnoteRef/>
      </w:r>
      <w:r>
        <w:t xml:space="preserve"> </w:t>
      </w:r>
      <w:r>
        <w:t xml:space="preserve">《使徒宪章》8,13,12：PG 1,1108；《十二使徒训诲录》9,5；10:6：SCh 248,176-178。</w:t>
      </w:r>
    </w:p>
  </w:footnote>
  <w:footnote w:id="2315">
    <w:p>
      <w:pPr>
        <w:pStyle w:val="FootnoteText"/>
      </w:pPr>
      <w:r>
        <w:rPr>
          <w:rStyle w:val="FootnoteReference"/>
        </w:rPr>
        <w:footnoteRef/>
      </w:r>
      <w:r>
        <w:t xml:space="preserve"> </w:t>
      </w:r>
      <w:r>
        <w:t xml:space="preserve">圣依纳爵，《致以弗所人书》20,2：SCh 10,76。</w:t>
      </w:r>
    </w:p>
  </w:footnote>
  <w:footnote w:id="2317">
    <w:p>
      <w:pPr>
        <w:pStyle w:val="FootnoteText"/>
      </w:pPr>
      <w:r>
        <w:rPr>
          <w:rStyle w:val="FootnoteReference"/>
        </w:rPr>
        <w:footnoteRef/>
      </w:r>
      <w:r>
        <w:t xml:space="preserve"> </w:t>
      </w:r>
      <w:r>
        <w:t xml:space="preserve">参诗 104:13-15。</w:t>
      </w:r>
    </w:p>
  </w:footnote>
  <w:footnote w:id="2318">
    <w:p>
      <w:pPr>
        <w:pStyle w:val="FootnoteText"/>
      </w:pPr>
      <w:r>
        <w:rPr>
          <w:rStyle w:val="FootnoteReference"/>
        </w:rPr>
        <w:footnoteRef/>
      </w:r>
      <w:r>
        <w:t xml:space="preserve"> </w:t>
      </w:r>
      <w:r>
        <w:t xml:space="preserve">创 14:18；参《罗马弥撒经书》，圣餐祷文第一式（罗马正典）95。</w:t>
      </w:r>
    </w:p>
  </w:footnote>
  <w:footnote w:id="2319">
    <w:p>
      <w:pPr>
        <w:pStyle w:val="FootnoteText"/>
      </w:pPr>
      <w:r>
        <w:rPr>
          <w:rStyle w:val="FootnoteReference"/>
        </w:rPr>
        <w:footnoteRef/>
      </w:r>
      <w:r>
        <w:t xml:space="preserve"> </w:t>
      </w:r>
      <w:r>
        <w:t xml:space="preserve">参申 8:3。</w:t>
      </w:r>
    </w:p>
  </w:footnote>
  <w:footnote w:id="2320">
    <w:p>
      <w:pPr>
        <w:pStyle w:val="FootnoteText"/>
      </w:pPr>
      <w:r>
        <w:rPr>
          <w:rStyle w:val="FootnoteReference"/>
        </w:rPr>
        <w:footnoteRef/>
      </w:r>
      <w:r>
        <w:t xml:space="preserve"> </w:t>
      </w:r>
      <w:r>
        <w:t xml:space="preserve">林前 10:16。</w:t>
      </w:r>
    </w:p>
  </w:footnote>
  <w:footnote w:id="2321">
    <w:p>
      <w:pPr>
        <w:pStyle w:val="FootnoteText"/>
      </w:pPr>
      <w:r>
        <w:rPr>
          <w:rStyle w:val="FootnoteReference"/>
        </w:rPr>
        <w:footnoteRef/>
      </w:r>
      <w:r>
        <w:t xml:space="preserve"> </w:t>
      </w:r>
      <w:r>
        <w:t xml:space="preserve">参太 14:13-21；15:32-39。</w:t>
      </w:r>
    </w:p>
  </w:footnote>
  <w:footnote w:id="2322">
    <w:p>
      <w:pPr>
        <w:pStyle w:val="FootnoteText"/>
      </w:pPr>
      <w:r>
        <w:rPr>
          <w:rStyle w:val="FootnoteReference"/>
        </w:rPr>
        <w:footnoteRef/>
      </w:r>
      <w:r>
        <w:t xml:space="preserve"> </w:t>
      </w:r>
      <w:r>
        <w:t xml:space="preserve">参约 2:11；可 14:25。</w:t>
      </w:r>
    </w:p>
  </w:footnote>
  <w:footnote w:id="2323">
    <w:p>
      <w:pPr>
        <w:pStyle w:val="FootnoteText"/>
      </w:pPr>
      <w:r>
        <w:rPr>
          <w:rStyle w:val="FootnoteReference"/>
        </w:rPr>
        <w:footnoteRef/>
      </w:r>
      <w:r>
        <w:t xml:space="preserve"> </w:t>
      </w:r>
      <w:r>
        <w:t xml:space="preserve">约 6:60。</w:t>
      </w:r>
    </w:p>
  </w:footnote>
  <w:footnote w:id="2324">
    <w:p>
      <w:pPr>
        <w:pStyle w:val="FootnoteText"/>
      </w:pPr>
      <w:r>
        <w:rPr>
          <w:rStyle w:val="FootnoteReference"/>
        </w:rPr>
        <w:footnoteRef/>
      </w:r>
      <w:r>
        <w:t xml:space="preserve"> </w:t>
      </w:r>
      <w:r>
        <w:t xml:space="preserve">约 6:67。</w:t>
      </w:r>
    </w:p>
  </w:footnote>
  <w:footnote w:id="2325">
    <w:p>
      <w:pPr>
        <w:pStyle w:val="FootnoteText"/>
      </w:pPr>
      <w:r>
        <w:rPr>
          <w:rStyle w:val="FootnoteReference"/>
        </w:rPr>
        <w:footnoteRef/>
      </w:r>
      <w:r>
        <w:t xml:space="preserve"> </w:t>
      </w:r>
      <w:r>
        <w:t xml:space="preserve">约 6:68。</w:t>
      </w:r>
    </w:p>
  </w:footnote>
  <w:footnote w:id="2327">
    <w:p>
      <w:pPr>
        <w:pStyle w:val="FootnoteText"/>
      </w:pPr>
      <w:r>
        <w:rPr>
          <w:rStyle w:val="FootnoteReference"/>
        </w:rPr>
        <w:footnoteRef/>
      </w:r>
      <w:r>
        <w:t xml:space="preserve"> </w:t>
      </w:r>
      <w:r>
        <w:t xml:space="preserve">参约 13:1-17；34-35。</w:t>
      </w:r>
    </w:p>
  </w:footnote>
  <w:footnote w:id="2328">
    <w:p>
      <w:pPr>
        <w:pStyle w:val="FootnoteText"/>
      </w:pPr>
      <w:r>
        <w:rPr>
          <w:rStyle w:val="FootnoteReference"/>
        </w:rPr>
        <w:footnoteRef/>
      </w:r>
      <w:r>
        <w:t xml:space="preserve"> </w:t>
      </w:r>
      <w:r>
        <w:t xml:space="preserve">特利腾大公会议（1562 年）：DS 1740。</w:t>
      </w:r>
    </w:p>
  </w:footnote>
  <w:footnote w:id="2329">
    <w:p>
      <w:pPr>
        <w:pStyle w:val="FootnoteText"/>
      </w:pPr>
      <w:r>
        <w:rPr>
          <w:rStyle w:val="FootnoteReference"/>
        </w:rPr>
        <w:footnoteRef/>
      </w:r>
      <w:r>
        <w:t xml:space="preserve"> </w:t>
      </w:r>
      <w:r>
        <w:t xml:space="preserve">参约 6。</w:t>
      </w:r>
    </w:p>
  </w:footnote>
  <w:footnote w:id="2330">
    <w:p>
      <w:pPr>
        <w:pStyle w:val="FootnoteText"/>
      </w:pPr>
      <w:r>
        <w:rPr>
          <w:rStyle w:val="FootnoteReference"/>
        </w:rPr>
        <w:footnoteRef/>
      </w:r>
      <w:r>
        <w:t xml:space="preserve"> </w:t>
      </w:r>
      <w:r>
        <w:t xml:space="preserve">路 22:7-20；参太 26:17-29；可 14:12-25；林前 11:23-26。</w:t>
      </w:r>
    </w:p>
  </w:footnote>
  <w:footnote w:id="2332">
    <w:p>
      <w:pPr>
        <w:pStyle w:val="FootnoteText"/>
      </w:pPr>
      <w:r>
        <w:rPr>
          <w:rStyle w:val="FootnoteReference"/>
        </w:rPr>
        <w:footnoteRef/>
      </w:r>
      <w:r>
        <w:t xml:space="preserve"> </w:t>
      </w:r>
      <w:r>
        <w:t xml:space="preserve">参林前 11:26。</w:t>
      </w:r>
    </w:p>
  </w:footnote>
  <w:footnote w:id="2333">
    <w:p>
      <w:pPr>
        <w:pStyle w:val="FootnoteText"/>
      </w:pPr>
      <w:r>
        <w:rPr>
          <w:rStyle w:val="FootnoteReference"/>
        </w:rPr>
        <w:footnoteRef/>
      </w:r>
      <w:r>
        <w:t xml:space="preserve"> </w:t>
      </w:r>
      <w:r>
        <w:t xml:space="preserve">徒 2:42,46。</w:t>
      </w:r>
    </w:p>
  </w:footnote>
  <w:footnote w:id="2334">
    <w:p>
      <w:pPr>
        <w:pStyle w:val="FootnoteText"/>
      </w:pPr>
      <w:r>
        <w:rPr>
          <w:rStyle w:val="FootnoteReference"/>
        </w:rPr>
        <w:footnoteRef/>
      </w:r>
      <w:r>
        <w:t xml:space="preserve"> </w:t>
      </w:r>
      <w:r>
        <w:t xml:space="preserve">徒 20:7。</w:t>
      </w:r>
    </w:p>
  </w:footnote>
  <w:footnote w:id="2335">
    <w:p>
      <w:pPr>
        <w:pStyle w:val="FootnoteText"/>
      </w:pPr>
      <w:r>
        <w:rPr>
          <w:rStyle w:val="FootnoteReference"/>
        </w:rPr>
        <w:footnoteRef/>
      </w:r>
      <w:r>
        <w:t xml:space="preserve"> </w:t>
      </w:r>
      <w:r>
        <w:t xml:space="preserve">《传教工作法令》1；参林前 11:26。</w:t>
      </w:r>
    </w:p>
  </w:footnote>
  <w:footnote w:id="2338">
    <w:p>
      <w:pPr>
        <w:pStyle w:val="FootnoteText"/>
      </w:pPr>
      <w:r>
        <w:rPr>
          <w:rStyle w:val="FootnoteReference"/>
        </w:rPr>
        <w:footnoteRef/>
      </w:r>
      <w:r>
        <w:t xml:space="preserve"> </w:t>
      </w:r>
      <w:r>
        <w:t xml:space="preserve">圣游斯丁，《护教》1, 65-67：PG 6,428-429；星号（*）前的内容出自第 67 章。</w:t>
      </w:r>
    </w:p>
  </w:footnote>
  <w:footnote w:id="2339">
    <w:p>
      <w:pPr>
        <w:pStyle w:val="FootnoteText"/>
      </w:pPr>
      <w:r>
        <w:rPr>
          <w:rStyle w:val="FootnoteReference"/>
        </w:rPr>
        <w:footnoteRef/>
      </w:r>
      <w:r>
        <w:t xml:space="preserve"> </w:t>
      </w:r>
      <w:r>
        <w:t xml:space="preserve">《礼仪宪章》56。</w:t>
      </w:r>
    </w:p>
  </w:footnote>
  <w:footnote w:id="2340">
    <w:p>
      <w:pPr>
        <w:pStyle w:val="FootnoteText"/>
      </w:pPr>
      <w:r>
        <w:rPr>
          <w:rStyle w:val="FootnoteReference"/>
        </w:rPr>
        <w:footnoteRef/>
      </w:r>
      <w:r>
        <w:t xml:space="preserve"> </w:t>
      </w:r>
      <w:r>
        <w:t xml:space="preserve">参《神的启示教义宪章》21。</w:t>
      </w:r>
    </w:p>
  </w:footnote>
  <w:footnote w:id="2341">
    <w:p>
      <w:pPr>
        <w:pStyle w:val="FootnoteText"/>
      </w:pPr>
      <w:r>
        <w:rPr>
          <w:rStyle w:val="FootnoteReference"/>
        </w:rPr>
        <w:footnoteRef/>
      </w:r>
      <w:r>
        <w:t xml:space="preserve"> </w:t>
      </w:r>
      <w:r>
        <w:t xml:space="preserve">参路 24:13-35。</w:t>
      </w:r>
    </w:p>
  </w:footnote>
  <w:footnote w:id="2343">
    <w:p>
      <w:pPr>
        <w:pStyle w:val="FootnoteText"/>
      </w:pPr>
      <w:r>
        <w:rPr>
          <w:rStyle w:val="FootnoteReference"/>
        </w:rPr>
        <w:footnoteRef/>
      </w:r>
      <w:r>
        <w:t xml:space="preserve"> </w:t>
      </w:r>
      <w:r>
        <w:t xml:space="preserve">参帖前 2:13。</w:t>
      </w:r>
    </w:p>
  </w:footnote>
  <w:footnote w:id="2344">
    <w:p>
      <w:pPr>
        <w:pStyle w:val="FootnoteText"/>
      </w:pPr>
      <w:r>
        <w:rPr>
          <w:rStyle w:val="FootnoteReference"/>
        </w:rPr>
        <w:footnoteRef/>
      </w:r>
      <w:r>
        <w:t xml:space="preserve"> </w:t>
      </w:r>
      <w:r>
        <w:t xml:space="preserve">提前 2:1-2。</w:t>
      </w:r>
    </w:p>
  </w:footnote>
  <w:footnote w:id="2345">
    <w:p>
      <w:pPr>
        <w:pStyle w:val="FootnoteText"/>
      </w:pPr>
      <w:r>
        <w:rPr>
          <w:rStyle w:val="FootnoteReference"/>
        </w:rPr>
        <w:footnoteRef/>
      </w:r>
      <w:r>
        <w:t xml:space="preserve"> </w:t>
      </w:r>
      <w:r>
        <w:t xml:space="preserve">圣爱任纽，《驳异端》4,18,4：PG 7/1,1027；参玛 1:11。</w:t>
      </w:r>
    </w:p>
  </w:footnote>
  <w:footnote w:id="2346">
    <w:p>
      <w:pPr>
        <w:pStyle w:val="FootnoteText"/>
      </w:pPr>
      <w:r>
        <w:rPr>
          <w:rStyle w:val="FootnoteReference"/>
        </w:rPr>
        <w:footnoteRef/>
      </w:r>
      <w:r>
        <w:t xml:space="preserve"> </w:t>
      </w:r>
      <w:r>
        <w:t xml:space="preserve">参林前 16:1；林后 8:9。</w:t>
      </w:r>
    </w:p>
  </w:footnote>
  <w:footnote w:id="2347">
    <w:p>
      <w:pPr>
        <w:pStyle w:val="FootnoteText"/>
      </w:pPr>
      <w:r>
        <w:rPr>
          <w:rStyle w:val="FootnoteReference"/>
        </w:rPr>
        <w:footnoteRef/>
      </w:r>
      <w:r>
        <w:t xml:space="preserve"> </w:t>
      </w:r>
      <w:r>
        <w:t xml:space="preserve">圣游斯丁，《护教首篇》1,67：PG 6,429。</w:t>
      </w:r>
    </w:p>
  </w:footnote>
  <w:footnote w:id="2348">
    <w:p>
      <w:pPr>
        <w:pStyle w:val="FootnoteText"/>
      </w:pPr>
      <w:r>
        <w:rPr>
          <w:rStyle w:val="FootnoteReference"/>
        </w:rPr>
        <w:footnoteRef/>
      </w:r>
      <w:r>
        <w:t xml:space="preserve"> </w:t>
      </w:r>
      <w:r>
        <w:t xml:space="preserve">参《罗马弥撒经书》，圣餐祷文第一式（罗马正典）90。</w:t>
      </w:r>
    </w:p>
  </w:footnote>
  <w:footnote w:id="2349">
    <w:p>
      <w:pPr>
        <w:pStyle w:val="FootnoteText"/>
      </w:pPr>
      <w:r>
        <w:rPr>
          <w:rStyle w:val="FootnoteReference"/>
        </w:rPr>
        <w:footnoteRef/>
      </w:r>
      <w:r>
        <w:t xml:space="preserve"> </w:t>
      </w:r>
      <w:r>
        <w:t xml:space="preserve">约 6:51。</w:t>
      </w:r>
    </w:p>
  </w:footnote>
  <w:footnote w:id="2350">
    <w:p>
      <w:pPr>
        <w:pStyle w:val="FootnoteText"/>
      </w:pPr>
      <w:r>
        <w:rPr>
          <w:rStyle w:val="FootnoteReference"/>
        </w:rPr>
        <w:footnoteRef/>
      </w:r>
      <w:r>
        <w:t xml:space="preserve"> </w:t>
      </w:r>
      <w:r>
        <w:t xml:space="preserve">圣游斯丁，《护教首篇》1,66,1-2：PG 6,428。</w:t>
      </w:r>
    </w:p>
  </w:footnote>
  <w:footnote w:id="2353">
    <w:p>
      <w:pPr>
        <w:pStyle w:val="FootnoteText"/>
      </w:pPr>
      <w:r>
        <w:rPr>
          <w:rStyle w:val="FootnoteReference"/>
        </w:rPr>
        <w:footnoteRef/>
      </w:r>
      <w:r>
        <w:t xml:space="preserve"> </w:t>
      </w:r>
      <w:r>
        <w:t xml:space="preserve">林前 11:24-25。</w:t>
      </w:r>
    </w:p>
  </w:footnote>
  <w:footnote w:id="2355">
    <w:p>
      <w:pPr>
        <w:pStyle w:val="FootnoteText"/>
      </w:pPr>
      <w:r>
        <w:rPr>
          <w:rStyle w:val="FootnoteReference"/>
        </w:rPr>
        <w:footnoteRef/>
      </w:r>
      <w:r>
        <w:t xml:space="preserve"> </w:t>
      </w:r>
      <w:r>
        <w:t xml:space="preserve">参出 13:3。</w:t>
      </w:r>
    </w:p>
  </w:footnote>
  <w:footnote w:id="2356">
    <w:p>
      <w:pPr>
        <w:pStyle w:val="FootnoteText"/>
      </w:pPr>
      <w:r>
        <w:rPr>
          <w:rStyle w:val="FootnoteReference"/>
        </w:rPr>
        <w:footnoteRef/>
      </w:r>
      <w:r>
        <w:t xml:space="preserve"> </w:t>
      </w:r>
      <w:r>
        <w:t xml:space="preserve">参来 7:25-27。</w:t>
      </w:r>
    </w:p>
  </w:footnote>
  <w:footnote w:id="2357">
    <w:p>
      <w:pPr>
        <w:pStyle w:val="FootnoteText"/>
      </w:pPr>
      <w:r>
        <w:rPr>
          <w:rStyle w:val="FootnoteReference"/>
        </w:rPr>
        <w:footnoteRef/>
      </w:r>
      <w:r>
        <w:t xml:space="preserve"> </w:t>
      </w:r>
      <w:r>
        <w:t xml:space="preserve">《教会宪章》3；参林前 5:7。</w:t>
      </w:r>
    </w:p>
  </w:footnote>
  <w:footnote w:id="2358">
    <w:p>
      <w:pPr>
        <w:pStyle w:val="FootnoteText"/>
      </w:pPr>
      <w:r>
        <w:rPr>
          <w:rStyle w:val="FootnoteReference"/>
        </w:rPr>
        <w:footnoteRef/>
      </w:r>
      <w:r>
        <w:t xml:space="preserve"> </w:t>
      </w:r>
      <w:r>
        <w:t xml:space="preserve">路 22:19-20。</w:t>
      </w:r>
    </w:p>
  </w:footnote>
  <w:footnote w:id="2359">
    <w:p>
      <w:pPr>
        <w:pStyle w:val="FootnoteText"/>
      </w:pPr>
      <w:r>
        <w:rPr>
          <w:rStyle w:val="FootnoteReference"/>
        </w:rPr>
        <w:footnoteRef/>
      </w:r>
      <w:r>
        <w:t xml:space="preserve"> </w:t>
      </w:r>
      <w:r>
        <w:t xml:space="preserve">太 26:28。</w:t>
      </w:r>
    </w:p>
  </w:footnote>
  <w:footnote w:id="2360">
    <w:p>
      <w:pPr>
        <w:pStyle w:val="FootnoteText"/>
      </w:pPr>
      <w:r>
        <w:rPr>
          <w:rStyle w:val="FootnoteReference"/>
        </w:rPr>
        <w:footnoteRef/>
      </w:r>
      <w:r>
        <w:t xml:space="preserve"> </w:t>
      </w:r>
      <w:r>
        <w:t xml:space="preserve">特利腾大公会议（1562 年）：DS 1740；参林前 11:23；来 7:24,27。</w:t>
      </w:r>
    </w:p>
  </w:footnote>
  <w:footnote w:id="2361">
    <w:p>
      <w:pPr>
        <w:pStyle w:val="FootnoteText"/>
      </w:pPr>
      <w:r>
        <w:rPr>
          <w:rStyle w:val="FootnoteReference"/>
        </w:rPr>
        <w:footnoteRef/>
      </w:r>
      <w:r>
        <w:t xml:space="preserve"> </w:t>
      </w:r>
      <w:r>
        <w:t xml:space="preserve">特利腾大公会议（1562 年）《论圣弥撒祭献教义》第 2 章：DS 1743；参来 9:14,27。</w:t>
      </w:r>
    </w:p>
  </w:footnote>
  <w:footnote w:id="2362">
    <w:p>
      <w:pPr>
        <w:pStyle w:val="FootnoteText"/>
      </w:pPr>
      <w:r>
        <w:rPr>
          <w:rStyle w:val="FootnoteReference"/>
        </w:rPr>
        <w:footnoteRef/>
      </w:r>
      <w:r>
        <w:t xml:space="preserve"> </w:t>
      </w:r>
      <w:r>
        <w:t xml:space="preserve">圣依纳爵，《致斯米纳人书》8:1；SCh 10,138。</w:t>
      </w:r>
    </w:p>
  </w:footnote>
  <w:footnote w:id="2363">
    <w:p>
      <w:pPr>
        <w:pStyle w:val="FootnoteText"/>
      </w:pPr>
      <w:r>
        <w:rPr>
          <w:rStyle w:val="FootnoteReference"/>
        </w:rPr>
        <w:footnoteRef/>
      </w:r>
      <w:r>
        <w:t xml:space="preserve"> </w:t>
      </w:r>
      <w:r>
        <w:t xml:space="preserve">《祭司职务与生活法令》2 §4。</w:t>
      </w:r>
    </w:p>
  </w:footnote>
  <w:footnote w:id="2364">
    <w:p>
      <w:pPr>
        <w:pStyle w:val="FootnoteText"/>
      </w:pPr>
      <w:r>
        <w:rPr>
          <w:rStyle w:val="FootnoteReference"/>
        </w:rPr>
        <w:footnoteRef/>
      </w:r>
      <w:r>
        <w:t xml:space="preserve"> </w:t>
      </w:r>
      <w:r>
        <w:t xml:space="preserve">特利腾大公会议（1562 年）：DS 1743。</w:t>
      </w:r>
    </w:p>
  </w:footnote>
  <w:footnote w:id="2365">
    <w:p>
      <w:pPr>
        <w:pStyle w:val="FootnoteText"/>
      </w:pPr>
      <w:r>
        <w:rPr>
          <w:rStyle w:val="FootnoteReference"/>
        </w:rPr>
        <w:footnoteRef/>
      </w:r>
      <w:r>
        <w:t xml:space="preserve"> </w:t>
      </w:r>
      <w:r>
        <w:t xml:space="preserve">圣莫尼加临终对儿子圣奥古斯丁及其兄弟所言；《忏悔录》9,11,27：PL 32,775。</w:t>
      </w:r>
    </w:p>
  </w:footnote>
  <w:footnote w:id="2366">
    <w:p>
      <w:pPr>
        <w:pStyle w:val="FootnoteText"/>
      </w:pPr>
      <w:r>
        <w:rPr>
          <w:rStyle w:val="FootnoteReference"/>
        </w:rPr>
        <w:footnoteRef/>
      </w:r>
      <w:r>
        <w:t xml:space="preserve"> </w:t>
      </w:r>
      <w:r>
        <w:t xml:space="preserve">圣区利罗，《奥秘教理讲授》5,9,10：PG 33,1116-1117。</w:t>
      </w:r>
    </w:p>
  </w:footnote>
  <w:footnote w:id="2367">
    <w:p>
      <w:pPr>
        <w:pStyle w:val="FootnoteText"/>
      </w:pPr>
      <w:r>
        <w:rPr>
          <w:rStyle w:val="FootnoteReference"/>
        </w:rPr>
        <w:footnoteRef/>
      </w:r>
      <w:r>
        <w:t xml:space="preserve"> </w:t>
      </w:r>
      <w:r>
        <w:t xml:space="preserve">圣奥古斯丁，《神之城》10,6：PL 41,283；参罗 12:5。</w:t>
      </w:r>
    </w:p>
  </w:footnote>
  <w:footnote w:id="2369">
    <w:p>
      <w:pPr>
        <w:pStyle w:val="FootnoteText"/>
      </w:pPr>
      <w:r>
        <w:rPr>
          <w:rStyle w:val="FootnoteReference"/>
        </w:rPr>
        <w:footnoteRef/>
      </w:r>
      <w:r>
        <w:t xml:space="preserve"> </w:t>
      </w:r>
      <w:r>
        <w:t xml:space="preserve">罗 8:34；参《教会宪章》48。</w:t>
      </w:r>
    </w:p>
  </w:footnote>
  <w:footnote w:id="2370">
    <w:p>
      <w:pPr>
        <w:pStyle w:val="FootnoteText"/>
      </w:pPr>
      <w:r>
        <w:rPr>
          <w:rStyle w:val="FootnoteReference"/>
        </w:rPr>
        <w:footnoteRef/>
      </w:r>
      <w:r>
        <w:t xml:space="preserve"> </w:t>
      </w:r>
      <w:r>
        <w:t xml:space="preserve">太 18:20。</w:t>
      </w:r>
    </w:p>
  </w:footnote>
  <w:footnote w:id="2371">
    <w:p>
      <w:pPr>
        <w:pStyle w:val="FootnoteText"/>
      </w:pPr>
      <w:r>
        <w:rPr>
          <w:rStyle w:val="FootnoteReference"/>
        </w:rPr>
        <w:footnoteRef/>
      </w:r>
      <w:r>
        <w:t xml:space="preserve"> </w:t>
      </w:r>
      <w:r>
        <w:t xml:space="preserve">参太 25:31-46。</w:t>
      </w:r>
    </w:p>
  </w:footnote>
  <w:footnote w:id="2372">
    <w:p>
      <w:pPr>
        <w:pStyle w:val="FootnoteText"/>
      </w:pPr>
      <w:r>
        <w:rPr>
          <w:rStyle w:val="FootnoteReference"/>
        </w:rPr>
        <w:footnoteRef/>
      </w:r>
      <w:r>
        <w:t xml:space="preserve"> </w:t>
      </w:r>
      <w:r>
        <w:t xml:space="preserve">《礼仪宪章》7。</w:t>
      </w:r>
    </w:p>
  </w:footnote>
  <w:footnote w:id="2373">
    <w:p>
      <w:pPr>
        <w:pStyle w:val="FootnoteText"/>
      </w:pPr>
      <w:r>
        <w:rPr>
          <w:rStyle w:val="FootnoteReference"/>
        </w:rPr>
        <w:footnoteRef/>
      </w:r>
      <w:r>
        <w:t xml:space="preserve"> </w:t>
      </w:r>
      <w:r>
        <w:t xml:space="preserve">圣托马斯，《神学大全》III,73,3c。</w:t>
      </w:r>
    </w:p>
  </w:footnote>
  <w:footnote w:id="2374">
    <w:p>
      <w:pPr>
        <w:pStyle w:val="FootnoteText"/>
      </w:pPr>
      <w:r>
        <w:rPr>
          <w:rStyle w:val="FootnoteReference"/>
        </w:rPr>
        <w:footnoteRef/>
      </w:r>
      <w:r>
        <w:t xml:space="preserve"> </w:t>
      </w:r>
      <w:r>
        <w:t xml:space="preserve">特利腾大公会议（1551 年）：DS 1651。</w:t>
      </w:r>
    </w:p>
  </w:footnote>
  <w:footnote w:id="2375">
    <w:p>
      <w:pPr>
        <w:pStyle w:val="FootnoteText"/>
      </w:pPr>
      <w:r>
        <w:rPr>
          <w:rStyle w:val="FootnoteReference"/>
        </w:rPr>
        <w:footnoteRef/>
      </w:r>
      <w:r>
        <w:t xml:space="preserve"> </w:t>
      </w:r>
      <w:r>
        <w:t xml:space="preserve">保禄六世，《信心的奥秘》39。</w:t>
      </w:r>
    </w:p>
  </w:footnote>
  <w:footnote w:id="2376">
    <w:p>
      <w:pPr>
        <w:pStyle w:val="FootnoteText"/>
      </w:pPr>
      <w:r>
        <w:rPr>
          <w:rStyle w:val="FootnoteReference"/>
        </w:rPr>
        <w:footnoteRef/>
      </w:r>
      <w:r>
        <w:t xml:space="preserve"> </w:t>
      </w:r>
      <w:r>
        <w:t xml:space="preserve">圣约翰·屈梭多模，《论犹大》1:6：PG 49,380。</w:t>
      </w:r>
    </w:p>
  </w:footnote>
  <w:footnote w:id="2377">
    <w:p>
      <w:pPr>
        <w:pStyle w:val="FootnoteText"/>
      </w:pPr>
      <w:r>
        <w:rPr>
          <w:rStyle w:val="FootnoteReference"/>
        </w:rPr>
        <w:footnoteRef/>
      </w:r>
      <w:r>
        <w:t xml:space="preserve"> </w:t>
      </w:r>
      <w:r>
        <w:t xml:space="preserve">圣安波罗修，《论奥秘》9,50；52：PL 16,405-407。</w:t>
      </w:r>
    </w:p>
  </w:footnote>
  <w:footnote w:id="2378">
    <w:p>
      <w:pPr>
        <w:pStyle w:val="FootnoteText"/>
      </w:pPr>
      <w:r>
        <w:rPr>
          <w:rStyle w:val="FootnoteReference"/>
        </w:rPr>
        <w:footnoteRef/>
      </w:r>
      <w:r>
        <w:t xml:space="preserve"> </w:t>
      </w:r>
      <w:r>
        <w:t xml:space="preserve">特利腾大公会议（1551 年）：DS 1642；参太 26:26 及平行经文；林前 11:24 及后。</w:t>
      </w:r>
    </w:p>
  </w:footnote>
  <w:footnote w:id="2379">
    <w:p>
      <w:pPr>
        <w:pStyle w:val="FootnoteText"/>
      </w:pPr>
      <w:r>
        <w:rPr>
          <w:rStyle w:val="FootnoteReference"/>
        </w:rPr>
        <w:footnoteRef/>
      </w:r>
      <w:r>
        <w:t xml:space="preserve"> </w:t>
      </w:r>
      <w:r>
        <w:t xml:space="preserve">参特利腾大公会议：DS 1641。</w:t>
      </w:r>
    </w:p>
  </w:footnote>
  <w:footnote w:id="2380">
    <w:p>
      <w:pPr>
        <w:pStyle w:val="FootnoteText"/>
      </w:pPr>
      <w:r>
        <w:rPr>
          <w:rStyle w:val="FootnoteReference"/>
        </w:rPr>
        <w:footnoteRef/>
      </w:r>
      <w:r>
        <w:t xml:space="preserve"> </w:t>
      </w:r>
      <w:r>
        <w:t xml:space="preserve">保禄六世，《信心的奥秘》56。</w:t>
      </w:r>
    </w:p>
  </w:footnote>
  <w:footnote w:id="2381">
    <w:p>
      <w:pPr>
        <w:pStyle w:val="FootnoteText"/>
      </w:pPr>
      <w:r>
        <w:rPr>
          <w:rStyle w:val="FootnoteReference"/>
        </w:rPr>
        <w:footnoteRef/>
      </w:r>
      <w:r>
        <w:t xml:space="preserve"> </w:t>
      </w:r>
      <w:r>
        <w:t xml:space="preserve">约 13:1。</w:t>
      </w:r>
    </w:p>
  </w:footnote>
  <w:footnote w:id="2382">
    <w:p>
      <w:pPr>
        <w:pStyle w:val="FootnoteText"/>
      </w:pPr>
      <w:r>
        <w:rPr>
          <w:rStyle w:val="FootnoteReference"/>
        </w:rPr>
        <w:footnoteRef/>
      </w:r>
      <w:r>
        <w:t xml:space="preserve"> </w:t>
      </w:r>
      <w:r>
        <w:t xml:space="preserve">参加 2:20。</w:t>
      </w:r>
    </w:p>
  </w:footnote>
  <w:footnote w:id="2383">
    <w:p>
      <w:pPr>
        <w:pStyle w:val="FootnoteText"/>
      </w:pPr>
      <w:r>
        <w:rPr>
          <w:rStyle w:val="FootnoteReference"/>
        </w:rPr>
        <w:footnoteRef/>
      </w:r>
      <w:r>
        <w:t xml:space="preserve"> </w:t>
      </w:r>
      <w:r>
        <w:t xml:space="preserve">若望保禄二世，《主的晚餐》3。</w:t>
      </w:r>
    </w:p>
  </w:footnote>
  <w:footnote w:id="2384">
    <w:p>
      <w:pPr>
        <w:pStyle w:val="FootnoteText"/>
      </w:pPr>
      <w:r>
        <w:rPr>
          <w:rStyle w:val="FootnoteReference"/>
        </w:rPr>
        <w:footnoteRef/>
      </w:r>
      <w:r>
        <w:t xml:space="preserve"> </w:t>
      </w:r>
      <w:r>
        <w:t xml:space="preserve">圣托马斯，《神学大全》III,75,1；参保禄六世，《信心的奥秘》18；圣区利罗，《路加福音释义》22,19：PG 72,912；参保禄六世，《信心的奥秘》18。</w:t>
      </w:r>
    </w:p>
  </w:footnote>
  <w:footnote w:id="2385">
    <w:p>
      <w:pPr>
        <w:pStyle w:val="FootnoteText"/>
      </w:pPr>
      <w:r>
        <w:rPr>
          <w:rStyle w:val="FootnoteReference"/>
        </w:rPr>
        <w:footnoteRef/>
      </w:r>
      <w:r>
        <w:t xml:space="preserve"> </w:t>
      </w:r>
      <w:r>
        <w:t xml:space="preserve">圣托马斯（托名），《虔敬朝拜歌》；霍普金斯译。</w:t>
      </w:r>
    </w:p>
  </w:footnote>
  <w:footnote w:id="2388">
    <w:p>
      <w:pPr>
        <w:pStyle w:val="FootnoteText"/>
      </w:pPr>
      <w:r>
        <w:rPr>
          <w:rStyle w:val="FootnoteReference"/>
        </w:rPr>
        <w:footnoteRef/>
      </w:r>
      <w:r>
        <w:t xml:space="preserve"> </w:t>
      </w:r>
      <w:r>
        <w:t xml:space="preserve">圣安波罗修，《论圣事》5,2,7：PL 16,447C。</w:t>
      </w:r>
    </w:p>
  </w:footnote>
  <w:footnote w:id="2389">
    <w:p>
      <w:pPr>
        <w:pStyle w:val="FootnoteText"/>
      </w:pPr>
      <w:r>
        <w:rPr>
          <w:rStyle w:val="FootnoteReference"/>
        </w:rPr>
        <w:footnoteRef/>
      </w:r>
      <w:r>
        <w:t xml:space="preserve"> </w:t>
      </w:r>
      <w:r>
        <w:t xml:space="preserve">圣安波罗修，《论圣事》4,2,7：PL 16,437D。</w:t>
      </w:r>
    </w:p>
  </w:footnote>
  <w:footnote w:id="2390">
    <w:p>
      <w:pPr>
        <w:pStyle w:val="FootnoteText"/>
      </w:pPr>
      <w:r>
        <w:rPr>
          <w:rStyle w:val="FootnoteReference"/>
        </w:rPr>
        <w:footnoteRef/>
      </w:r>
      <w:r>
        <w:t xml:space="preserve"> </w:t>
      </w:r>
      <w:r>
        <w:t xml:space="preserve">《罗马弥撒经书》，圣餐祷文第一式（罗马正典）96。</w:t>
      </w:r>
    </w:p>
  </w:footnote>
  <w:footnote w:id="2391">
    <w:p>
      <w:pPr>
        <w:pStyle w:val="FootnoteText"/>
      </w:pPr>
      <w:r>
        <w:rPr>
          <w:rStyle w:val="FootnoteReference"/>
        </w:rPr>
        <w:footnoteRef/>
      </w:r>
      <w:r>
        <w:t xml:space="preserve"> </w:t>
      </w:r>
      <w:r>
        <w:t xml:space="preserve">约 6:53。</w:t>
      </w:r>
    </w:p>
  </w:footnote>
  <w:footnote w:id="2392">
    <w:p>
      <w:pPr>
        <w:pStyle w:val="FootnoteText"/>
      </w:pPr>
      <w:r>
        <w:rPr>
          <w:rStyle w:val="FootnoteReference"/>
        </w:rPr>
        <w:footnoteRef/>
      </w:r>
      <w:r>
        <w:t xml:space="preserve"> </w:t>
      </w:r>
      <w:r>
        <w:t xml:space="preserve">林前 11:27-29。</w:t>
      </w:r>
    </w:p>
  </w:footnote>
  <w:footnote w:id="2393">
    <w:p>
      <w:pPr>
        <w:pStyle w:val="FootnoteText"/>
      </w:pPr>
      <w:r>
        <w:rPr>
          <w:rStyle w:val="FootnoteReference"/>
        </w:rPr>
        <w:footnoteRef/>
      </w:r>
      <w:r>
        <w:t xml:space="preserve"> </w:t>
      </w:r>
      <w:r>
        <w:t xml:space="preserve">《罗马弥撒经书》，领圣餐前应答词；参太 8:8。</w:t>
      </w:r>
    </w:p>
  </w:footnote>
  <w:footnote w:id="2394">
    <w:p>
      <w:pPr>
        <w:pStyle w:val="FootnoteText"/>
      </w:pPr>
      <w:r>
        <w:rPr>
          <w:rStyle w:val="FootnoteReference"/>
        </w:rPr>
        <w:footnoteRef/>
      </w:r>
      <w:r>
        <w:t xml:space="preserve"> </w:t>
      </w:r>
      <w:r>
        <w:t xml:space="preserve">参《教会法典》第 919 条。</w:t>
      </w:r>
    </w:p>
  </w:footnote>
  <w:footnote w:id="2395">
    <w:p>
      <w:pPr>
        <w:pStyle w:val="FootnoteText"/>
      </w:pPr>
      <w:r>
        <w:rPr>
          <w:rStyle w:val="FootnoteReference"/>
        </w:rPr>
        <w:footnoteRef/>
      </w:r>
      <w:r>
        <w:t xml:space="preserve"> </w:t>
      </w:r>
      <w:r>
        <w:t xml:space="preserve">参《教会法典》第 916 条。</w:t>
      </w:r>
    </w:p>
  </w:footnote>
  <w:footnote w:id="2396">
    <w:p>
      <w:pPr>
        <w:pStyle w:val="FootnoteText"/>
      </w:pPr>
      <w:r>
        <w:rPr>
          <w:rStyle w:val="FootnoteReference"/>
        </w:rPr>
        <w:footnoteRef/>
      </w:r>
      <w:r>
        <w:t xml:space="preserve"> </w:t>
      </w:r>
      <w:r>
        <w:t xml:space="preserve">参《教会法典》第 917 条；</w:t>
      </w:r>
      <w:r>
        <w:rPr>
          <w:i/>
          <w:iCs/>
        </w:rPr>
        <w:t xml:space="preserve">信徒同一日内可第二次领圣餐</w:t>
      </w:r>
      <w:r>
        <w:t xml:space="preserve">（参宗座法典解释委员会，《疑难解答》，1：《宗座公报》76（1984）746）。</w:t>
      </w:r>
    </w:p>
  </w:footnote>
  <w:footnote w:id="2397">
    <w:p>
      <w:pPr>
        <w:pStyle w:val="FootnoteText"/>
      </w:pPr>
      <w:r>
        <w:rPr>
          <w:rStyle w:val="FootnoteReference"/>
        </w:rPr>
        <w:footnoteRef/>
      </w:r>
      <w:r>
        <w:t xml:space="preserve"> </w:t>
      </w:r>
      <w:r>
        <w:t xml:space="preserve">《礼仪宪章》55。</w:t>
      </w:r>
    </w:p>
  </w:footnote>
  <w:footnote w:id="2398">
    <w:p>
      <w:pPr>
        <w:pStyle w:val="FootnoteText"/>
      </w:pPr>
      <w:r>
        <w:rPr>
          <w:rStyle w:val="FootnoteReference"/>
        </w:rPr>
        <w:footnoteRef/>
      </w:r>
      <w:r>
        <w:t xml:space="preserve"> </w:t>
      </w:r>
      <w:r>
        <w:t xml:space="preserve">《东方公教会法令》15；《教会法典》第 920 条。</w:t>
      </w:r>
    </w:p>
  </w:footnote>
  <w:footnote w:id="2399">
    <w:p>
      <w:pPr>
        <w:pStyle w:val="FootnoteText"/>
      </w:pPr>
      <w:r>
        <w:rPr>
          <w:rStyle w:val="FootnoteReference"/>
        </w:rPr>
        <w:footnoteRef/>
      </w:r>
      <w:r>
        <w:t xml:space="preserve"> </w:t>
      </w:r>
      <w:r>
        <w:t xml:space="preserve">《罗马弥撒总论》240。</w:t>
      </w:r>
    </w:p>
  </w:footnote>
  <w:footnote w:id="2401">
    <w:p>
      <w:pPr>
        <w:pStyle w:val="FootnoteText"/>
      </w:pPr>
      <w:r>
        <w:rPr>
          <w:rStyle w:val="FootnoteReference"/>
        </w:rPr>
        <w:footnoteRef/>
      </w:r>
      <w:r>
        <w:t xml:space="preserve"> </w:t>
      </w:r>
      <w:r>
        <w:t xml:space="preserve">约 6:56。</w:t>
      </w:r>
    </w:p>
  </w:footnote>
  <w:footnote w:id="2402">
    <w:p>
      <w:pPr>
        <w:pStyle w:val="FootnoteText"/>
      </w:pPr>
      <w:r>
        <w:rPr>
          <w:rStyle w:val="FootnoteReference"/>
        </w:rPr>
        <w:footnoteRef/>
      </w:r>
      <w:r>
        <w:t xml:space="preserve"> </w:t>
      </w:r>
      <w:r>
        <w:t xml:space="preserve">约 6:57。</w:t>
      </w:r>
    </w:p>
  </w:footnote>
  <w:footnote w:id="2403">
    <w:p>
      <w:pPr>
        <w:pStyle w:val="FootnoteText"/>
      </w:pPr>
      <w:r>
        <w:rPr>
          <w:rStyle w:val="FootnoteReference"/>
        </w:rPr>
        <w:footnoteRef/>
      </w:r>
      <w:r>
        <w:t xml:space="preserve"> </w:t>
      </w:r>
      <w:r>
        <w:t xml:space="preserve">《范吉特》，安提阿叙利亚礼仪，第一卷，公用，237a-b。</w:t>
      </w:r>
    </w:p>
  </w:footnote>
  <w:footnote w:id="2404">
    <w:p>
      <w:pPr>
        <w:pStyle w:val="FootnoteText"/>
      </w:pPr>
      <w:r>
        <w:rPr>
          <w:rStyle w:val="FootnoteReference"/>
        </w:rPr>
        <w:footnoteRef/>
      </w:r>
      <w:r>
        <w:t xml:space="preserve"> </w:t>
      </w:r>
      <w:r>
        <w:t xml:space="preserve">《祭司职务与生活法令》5。</w:t>
      </w:r>
    </w:p>
  </w:footnote>
  <w:footnote w:id="2405">
    <w:p>
      <w:pPr>
        <w:pStyle w:val="FootnoteText"/>
      </w:pPr>
      <w:r>
        <w:rPr>
          <w:rStyle w:val="FootnoteReference"/>
        </w:rPr>
        <w:footnoteRef/>
      </w:r>
      <w:r>
        <w:t xml:space="preserve"> </w:t>
      </w:r>
      <w:r>
        <w:t xml:space="preserve">圣安波罗修，《论圣事》4,6,28：PL 16,446；参林前 11:26。</w:t>
      </w:r>
    </w:p>
  </w:footnote>
  <w:footnote w:id="2406">
    <w:p>
      <w:pPr>
        <w:pStyle w:val="FootnoteText"/>
      </w:pPr>
      <w:r>
        <w:rPr>
          <w:rStyle w:val="FootnoteReference"/>
        </w:rPr>
        <w:footnoteRef/>
      </w:r>
      <w:r>
        <w:t xml:space="preserve"> </w:t>
      </w:r>
      <w:r>
        <w:t xml:space="preserve">参特利腾大公会议（1551 年）：DS 1638。</w:t>
      </w:r>
    </w:p>
  </w:footnote>
  <w:footnote w:id="2407">
    <w:p>
      <w:pPr>
        <w:pStyle w:val="FootnoteText"/>
      </w:pPr>
      <w:r>
        <w:rPr>
          <w:rStyle w:val="FootnoteReference"/>
        </w:rPr>
        <w:footnoteRef/>
      </w:r>
      <w:r>
        <w:t xml:space="preserve"> </w:t>
      </w:r>
      <w:r>
        <w:t xml:space="preserve">圣傅尔根，《驳法比安》28,16-19：CCL 19A,813-814。</w:t>
      </w:r>
    </w:p>
  </w:footnote>
  <w:footnote w:id="2408">
    <w:p>
      <w:pPr>
        <w:pStyle w:val="FootnoteText"/>
      </w:pPr>
      <w:r>
        <w:rPr>
          <w:rStyle w:val="FootnoteReference"/>
        </w:rPr>
        <w:footnoteRef/>
      </w:r>
      <w:r>
        <w:t xml:space="preserve"> </w:t>
      </w:r>
      <w:r>
        <w:t xml:space="preserve">参林前 12:13。</w:t>
      </w:r>
    </w:p>
  </w:footnote>
  <w:footnote w:id="2409">
    <w:p>
      <w:pPr>
        <w:pStyle w:val="FootnoteText"/>
      </w:pPr>
      <w:r>
        <w:rPr>
          <w:rStyle w:val="FootnoteReference"/>
        </w:rPr>
        <w:footnoteRef/>
      </w:r>
      <w:r>
        <w:t xml:space="preserve"> </w:t>
      </w:r>
      <w:r>
        <w:t xml:space="preserve">林前 10:16-17。</w:t>
      </w:r>
    </w:p>
  </w:footnote>
  <w:footnote w:id="2410">
    <w:p>
      <w:pPr>
        <w:pStyle w:val="FootnoteText"/>
      </w:pPr>
      <w:r>
        <w:rPr>
          <w:rStyle w:val="FootnoteReference"/>
        </w:rPr>
        <w:footnoteRef/>
      </w:r>
      <w:r>
        <w:t xml:space="preserve"> </w:t>
      </w:r>
      <w:r>
        <w:t xml:space="preserve">圣奥古斯丁，《讲道集》272：PL 38,1247。</w:t>
      </w:r>
    </w:p>
  </w:footnote>
  <w:footnote w:id="2411">
    <w:p>
      <w:pPr>
        <w:pStyle w:val="FootnoteText"/>
      </w:pPr>
      <w:r>
        <w:rPr>
          <w:rStyle w:val="FootnoteReference"/>
        </w:rPr>
        <w:footnoteRef/>
      </w:r>
      <w:r>
        <w:t xml:space="preserve"> </w:t>
      </w:r>
      <w:r>
        <w:t xml:space="preserve">金口圣约翰，《歌林多前书讲道集》27,4：PG 61,229-230；参太 25:40。</w:t>
      </w:r>
    </w:p>
  </w:footnote>
  <w:footnote w:id="2412">
    <w:p>
      <w:pPr>
        <w:pStyle w:val="FootnoteText"/>
      </w:pPr>
      <w:r>
        <w:rPr>
          <w:rStyle w:val="FootnoteReference"/>
        </w:rPr>
        <w:footnoteRef/>
      </w:r>
      <w:r>
        <w:t xml:space="preserve"> </w:t>
      </w:r>
      <w:r>
        <w:t xml:space="preserve">圣奥古斯丁，《约翰福音释义》26,13：PL 35,1613；参《礼仪宪章》47。</w:t>
      </w:r>
    </w:p>
  </w:footnote>
  <w:footnote w:id="2413">
    <w:p>
      <w:pPr>
        <w:pStyle w:val="FootnoteText"/>
      </w:pPr>
      <w:r>
        <w:rPr>
          <w:rStyle w:val="FootnoteReference"/>
        </w:rPr>
        <w:footnoteRef/>
      </w:r>
      <w:r>
        <w:t xml:space="preserve"> </w:t>
      </w:r>
      <w:r>
        <w:t xml:space="preserve">《大公主义法令》15 条 2 款；参《教会法典》844 条 3 项。</w:t>
      </w:r>
    </w:p>
  </w:footnote>
  <w:footnote w:id="2414">
    <w:p>
      <w:pPr>
        <w:pStyle w:val="FootnoteText"/>
      </w:pPr>
      <w:r>
        <w:rPr>
          <w:rStyle w:val="FootnoteReference"/>
        </w:rPr>
        <w:footnoteRef/>
      </w:r>
      <w:r>
        <w:t xml:space="preserve"> </w:t>
      </w:r>
      <w:r>
        <w:t xml:space="preserve">《大公主义法令》22 § 3。</w:t>
      </w:r>
    </w:p>
  </w:footnote>
  <w:footnote w:id="2415">
    <w:p>
      <w:pPr>
        <w:pStyle w:val="FootnoteText"/>
      </w:pPr>
      <w:r>
        <w:rPr>
          <w:rStyle w:val="FootnoteReference"/>
        </w:rPr>
        <w:footnoteRef/>
      </w:r>
      <w:r>
        <w:t xml:space="preserve"> </w:t>
      </w:r>
      <w:r>
        <w:t xml:space="preserve">《大公主义法令》22 § 3。</w:t>
      </w:r>
    </w:p>
  </w:footnote>
  <w:footnote w:id="2416">
    <w:p>
      <w:pPr>
        <w:pStyle w:val="FootnoteText"/>
      </w:pPr>
      <w:r>
        <w:rPr>
          <w:rStyle w:val="FootnoteReference"/>
        </w:rPr>
        <w:footnoteRef/>
      </w:r>
      <w:r>
        <w:t xml:space="preserve"> </w:t>
      </w:r>
      <w:r>
        <w:t xml:space="preserve">参《教会法典》第 844 条第 4 项。</w:t>
      </w:r>
    </w:p>
  </w:footnote>
  <w:footnote w:id="2419">
    <w:p>
      <w:pPr>
        <w:pStyle w:val="FootnoteText"/>
      </w:pPr>
      <w:r>
        <w:rPr>
          <w:rStyle w:val="FootnoteReference"/>
        </w:rPr>
        <w:footnoteRef/>
      </w:r>
      <w:r>
        <w:t xml:space="preserve"> </w:t>
      </w:r>
      <w:r>
        <w:t xml:space="preserve">《罗马弥撒经书》，圣餐祷文第一式（罗马正典）96。</w:t>
      </w:r>
    </w:p>
  </w:footnote>
  <w:footnote w:id="2420">
    <w:p>
      <w:pPr>
        <w:pStyle w:val="FootnoteText"/>
      </w:pPr>
      <w:r>
        <w:rPr>
          <w:rStyle w:val="FootnoteReference"/>
        </w:rPr>
        <w:footnoteRef/>
      </w:r>
      <w:r>
        <w:t xml:space="preserve"> </w:t>
      </w:r>
      <w:r>
        <w:t xml:space="preserve">太 26:29；参路 22:18；可 14:25。</w:t>
      </w:r>
    </w:p>
  </w:footnote>
  <w:footnote w:id="2421">
    <w:p>
      <w:pPr>
        <w:pStyle w:val="FootnoteText"/>
      </w:pPr>
      <w:r>
        <w:rPr>
          <w:rStyle w:val="FootnoteReference"/>
        </w:rPr>
        <w:footnoteRef/>
      </w:r>
      <w:r>
        <w:t xml:space="preserve"> </w:t>
      </w:r>
      <w:r>
        <w:t xml:space="preserve">默 1:4；22:20；林前 16:22。</w:t>
      </w:r>
    </w:p>
  </w:footnote>
  <w:footnote w:id="2422">
    <w:p>
      <w:pPr>
        <w:pStyle w:val="FootnoteText"/>
      </w:pPr>
      <w:r>
        <w:rPr>
          <w:rStyle w:val="FootnoteReference"/>
        </w:rPr>
        <w:footnoteRef/>
      </w:r>
      <w:r>
        <w:t xml:space="preserve"> </w:t>
      </w:r>
      <w:r>
        <w:t xml:space="preserve">《十二使徒训诲录》10,6：SCh 248,180。</w:t>
      </w:r>
    </w:p>
  </w:footnote>
  <w:footnote w:id="2423">
    <w:p>
      <w:pPr>
        <w:pStyle w:val="FootnoteText"/>
      </w:pPr>
      <w:r>
        <w:rPr>
          <w:rStyle w:val="FootnoteReference"/>
        </w:rPr>
        <w:footnoteRef/>
      </w:r>
      <w:r>
        <w:t xml:space="preserve"> </w:t>
      </w:r>
      <w:r>
        <w:t xml:space="preserve">《罗马弥撒经书》126，主祷文后的扩展祷词；参铎 2:13。</w:t>
      </w:r>
    </w:p>
  </w:footnote>
  <w:footnote w:id="2424">
    <w:p>
      <w:pPr>
        <w:pStyle w:val="FootnoteText"/>
      </w:pPr>
      <w:r>
        <w:rPr>
          <w:rStyle w:val="FootnoteReference"/>
        </w:rPr>
        <w:footnoteRef/>
      </w:r>
      <w:r>
        <w:t xml:space="preserve"> </w:t>
      </w:r>
      <w:r>
        <w:t xml:space="preserve">圣餐祷文第三式 116：为亡者祈祷。</w:t>
      </w:r>
    </w:p>
  </w:footnote>
  <w:footnote w:id="2425">
    <w:p>
      <w:pPr>
        <w:pStyle w:val="FootnoteText"/>
      </w:pPr>
      <w:r>
        <w:rPr>
          <w:rStyle w:val="FootnoteReference"/>
        </w:rPr>
        <w:footnoteRef/>
      </w:r>
      <w:r>
        <w:t xml:space="preserve"> </w:t>
      </w:r>
      <w:r>
        <w:t xml:space="preserve">伯后 3:13。</w:t>
      </w:r>
    </w:p>
  </w:footnote>
  <w:footnote w:id="2426">
    <w:p>
      <w:pPr>
        <w:pStyle w:val="FootnoteText"/>
      </w:pPr>
      <w:r>
        <w:rPr>
          <w:rStyle w:val="FootnoteReference"/>
        </w:rPr>
        <w:footnoteRef/>
      </w:r>
      <w:r>
        <w:t xml:space="preserve"> </w:t>
      </w:r>
      <w:r>
        <w:t xml:space="preserve">《教会宪章》3；圣依纳爵，《致以弗所人书》20,2：SCh 10,76。</w:t>
      </w:r>
    </w:p>
  </w:footnote>
  <w:footnote w:id="2431">
    <w:p>
      <w:pPr>
        <w:pStyle w:val="FootnoteText"/>
      </w:pPr>
      <w:r>
        <w:rPr>
          <w:rStyle w:val="FootnoteReference"/>
        </w:rPr>
        <w:footnoteRef/>
      </w:r>
      <w:r>
        <w:t xml:space="preserve"> </w:t>
      </w:r>
      <w:r>
        <w:t xml:space="preserve">林后 4:7；西 3:3。</w:t>
      </w:r>
    </w:p>
  </w:footnote>
  <w:footnote w:id="2432">
    <w:p>
      <w:pPr>
        <w:pStyle w:val="FootnoteText"/>
      </w:pPr>
      <w:r>
        <w:rPr>
          <w:rStyle w:val="FootnoteReference"/>
        </w:rPr>
        <w:footnoteRef/>
      </w:r>
      <w:r>
        <w:t xml:space="preserve"> </w:t>
      </w:r>
      <w:r>
        <w:t xml:space="preserve">林后 5:1。</w:t>
      </w:r>
    </w:p>
  </w:footnote>
  <w:footnote w:id="2433">
    <w:p>
      <w:pPr>
        <w:pStyle w:val="FootnoteText"/>
      </w:pPr>
      <w:r>
        <w:rPr>
          <w:rStyle w:val="FootnoteReference"/>
        </w:rPr>
        <w:footnoteRef/>
      </w:r>
      <w:r>
        <w:t xml:space="preserve"> </w:t>
      </w:r>
      <w:r>
        <w:t xml:space="preserve">参可 2:1-12。</w:t>
      </w:r>
    </w:p>
  </w:footnote>
  <w:footnote w:id="2434">
    <w:p>
      <w:pPr>
        <w:pStyle w:val="FootnoteText"/>
      </w:pPr>
      <w:r>
        <w:rPr>
          <w:rStyle w:val="FootnoteReference"/>
        </w:rPr>
        <w:footnoteRef/>
      </w:r>
      <w:r>
        <w:t xml:space="preserve"> </w:t>
      </w:r>
      <w:r>
        <w:t xml:space="preserve">LG 11 § 2。</w:t>
      </w:r>
    </w:p>
  </w:footnote>
  <w:footnote w:id="2435">
    <w:p>
      <w:pPr>
        <w:pStyle w:val="FootnoteText"/>
      </w:pPr>
      <w:r>
        <w:rPr>
          <w:rStyle w:val="FootnoteReference"/>
        </w:rPr>
        <w:footnoteRef/>
      </w:r>
      <w:r>
        <w:t xml:space="preserve"> </w:t>
      </w:r>
      <w:r>
        <w:t xml:space="preserve">参可1:15；路15:18。</w:t>
      </w:r>
    </w:p>
  </w:footnote>
  <w:footnote w:id="2436">
    <w:p>
      <w:pPr>
        <w:pStyle w:val="FootnoteText"/>
      </w:pPr>
      <w:r>
        <w:rPr>
          <w:rStyle w:val="FootnoteReference"/>
        </w:rPr>
        <w:footnoteRef/>
      </w:r>
      <w:r>
        <w:t xml:space="preserve"> </w:t>
      </w:r>
      <w:r>
        <w:t xml:space="preserve">OP 46赦罪经文。</w:t>
      </w:r>
    </w:p>
  </w:footnote>
  <w:footnote w:id="2437">
    <w:p>
      <w:pPr>
        <w:pStyle w:val="FootnoteText"/>
      </w:pPr>
      <w:r>
        <w:rPr>
          <w:rStyle w:val="FootnoteReference"/>
        </w:rPr>
        <w:footnoteRef/>
      </w:r>
      <w:r>
        <w:t xml:space="preserve"> </w:t>
      </w:r>
      <w:r>
        <w:t xml:space="preserve">林后5:20。</w:t>
      </w:r>
    </w:p>
  </w:footnote>
  <w:footnote w:id="2438">
    <w:p>
      <w:pPr>
        <w:pStyle w:val="FootnoteText"/>
      </w:pPr>
      <w:r>
        <w:rPr>
          <w:rStyle w:val="FootnoteReference"/>
        </w:rPr>
        <w:footnoteRef/>
      </w:r>
      <w:r>
        <w:t xml:space="preserve"> </w:t>
      </w:r>
      <w:r>
        <w:t xml:space="preserve">太5:24。</w:t>
      </w:r>
    </w:p>
  </w:footnote>
  <w:footnote w:id="2440">
    <w:p>
      <w:pPr>
        <w:pStyle w:val="FootnoteText"/>
      </w:pPr>
      <w:r>
        <w:rPr>
          <w:rStyle w:val="FootnoteReference"/>
        </w:rPr>
        <w:footnoteRef/>
      </w:r>
      <w:r>
        <w:t xml:space="preserve"> </w:t>
      </w:r>
      <w:r>
        <w:t xml:space="preserve">林前6:11。</w:t>
      </w:r>
    </w:p>
  </w:footnote>
  <w:footnote w:id="2441">
    <w:p>
      <w:pPr>
        <w:pStyle w:val="FootnoteText"/>
      </w:pPr>
      <w:r>
        <w:rPr>
          <w:rStyle w:val="FootnoteReference"/>
        </w:rPr>
        <w:footnoteRef/>
      </w:r>
      <w:r>
        <w:t xml:space="preserve"> </w:t>
      </w:r>
      <w:r>
        <w:t xml:space="preserve">加3:27。</w:t>
      </w:r>
    </w:p>
  </w:footnote>
  <w:footnote w:id="2442">
    <w:p>
      <w:pPr>
        <w:pStyle w:val="FootnoteText"/>
      </w:pPr>
      <w:r>
        <w:rPr>
          <w:rStyle w:val="FootnoteReference"/>
        </w:rPr>
        <w:footnoteRef/>
      </w:r>
      <w:r>
        <w:t xml:space="preserve"> </w:t>
      </w:r>
      <w:r>
        <w:t xml:space="preserve">约壹1:8。</w:t>
      </w:r>
    </w:p>
  </w:footnote>
  <w:footnote w:id="2443">
    <w:p>
      <w:pPr>
        <w:pStyle w:val="FootnoteText"/>
      </w:pPr>
      <w:r>
        <w:rPr>
          <w:rStyle w:val="FootnoteReference"/>
        </w:rPr>
        <w:footnoteRef/>
      </w:r>
      <w:r>
        <w:t xml:space="preserve"> </w:t>
      </w:r>
      <w:r>
        <w:t xml:space="preserve">参路11:4；太6:12。</w:t>
      </w:r>
    </w:p>
  </w:footnote>
  <w:footnote w:id="2444">
    <w:p>
      <w:pPr>
        <w:pStyle w:val="FootnoteText"/>
      </w:pPr>
      <w:r>
        <w:rPr>
          <w:rStyle w:val="FootnoteReference"/>
        </w:rPr>
        <w:footnoteRef/>
      </w:r>
      <w:r>
        <w:t xml:space="preserve"> </w:t>
      </w:r>
      <w:r>
        <w:t xml:space="preserve">弗1:4；5:27。</w:t>
      </w:r>
    </w:p>
  </w:footnote>
  <w:footnote w:id="2445">
    <w:p>
      <w:pPr>
        <w:pStyle w:val="FootnoteText"/>
      </w:pPr>
      <w:r>
        <w:rPr>
          <w:rStyle w:val="FootnoteReference"/>
        </w:rPr>
        <w:footnoteRef/>
      </w:r>
      <w:r>
        <w:t xml:space="preserve"> </w:t>
      </w:r>
      <w:r>
        <w:t xml:space="preserve">参特利腾大公会议(1546)：DS 1515。</w:t>
      </w:r>
    </w:p>
  </w:footnote>
  <w:footnote w:id="2446">
    <w:p>
      <w:pPr>
        <w:pStyle w:val="FootnoteText"/>
      </w:pPr>
      <w:r>
        <w:rPr>
          <w:rStyle w:val="FootnoteReference"/>
        </w:rPr>
        <w:footnoteRef/>
      </w:r>
      <w:r>
        <w:t xml:space="preserve"> </w:t>
      </w:r>
      <w:r>
        <w:t xml:space="preserve">参特利腾大公会议(1547)：DS 1545；LG 40。</w:t>
      </w:r>
    </w:p>
  </w:footnote>
  <w:footnote w:id="2448">
    <w:p>
      <w:pPr>
        <w:pStyle w:val="FootnoteText"/>
      </w:pPr>
      <w:r>
        <w:rPr>
          <w:rStyle w:val="FootnoteReference"/>
        </w:rPr>
        <w:footnoteRef/>
      </w:r>
      <w:r>
        <w:t xml:space="preserve"> </w:t>
      </w:r>
      <w:r>
        <w:t xml:space="preserve">可1:15。</w:t>
      </w:r>
    </w:p>
  </w:footnote>
  <w:footnote w:id="2449">
    <w:p>
      <w:pPr>
        <w:pStyle w:val="FootnoteText"/>
      </w:pPr>
      <w:r>
        <w:rPr>
          <w:rStyle w:val="FootnoteReference"/>
        </w:rPr>
        <w:footnoteRef/>
      </w:r>
      <w:r>
        <w:t xml:space="preserve"> </w:t>
      </w:r>
      <w:r>
        <w:t xml:space="preserve">参徒2:38。</w:t>
      </w:r>
    </w:p>
  </w:footnote>
  <w:footnote w:id="2450">
    <w:p>
      <w:pPr>
        <w:pStyle w:val="FootnoteText"/>
      </w:pPr>
      <w:r>
        <w:rPr>
          <w:rStyle w:val="FootnoteReference"/>
        </w:rPr>
        <w:footnoteRef/>
      </w:r>
      <w:r>
        <w:t xml:space="preserve"> </w:t>
      </w:r>
      <w:r>
        <w:t xml:space="preserve">LG 8 § 3。</w:t>
      </w:r>
    </w:p>
  </w:footnote>
  <w:footnote w:id="2451">
    <w:p>
      <w:pPr>
        <w:pStyle w:val="FootnoteText"/>
      </w:pPr>
      <w:r>
        <w:rPr>
          <w:rStyle w:val="FootnoteReference"/>
        </w:rPr>
        <w:footnoteRef/>
      </w:r>
      <w:r>
        <w:t xml:space="preserve"> </w:t>
      </w:r>
      <w:r>
        <w:t xml:space="preserve">诗51:17；参约6:44；12:32；约壹4:10。</w:t>
      </w:r>
    </w:p>
  </w:footnote>
  <w:footnote w:id="2452">
    <w:p>
      <w:pPr>
        <w:pStyle w:val="FootnoteText"/>
      </w:pPr>
      <w:r>
        <w:rPr>
          <w:rStyle w:val="FootnoteReference"/>
        </w:rPr>
        <w:footnoteRef/>
      </w:r>
      <w:r>
        <w:t xml:space="preserve"> </w:t>
      </w:r>
      <w:r>
        <w:t xml:space="preserve">参路22:61；约21:15-17。</w:t>
      </w:r>
    </w:p>
  </w:footnote>
  <w:footnote w:id="2453">
    <w:p>
      <w:pPr>
        <w:pStyle w:val="FootnoteText"/>
      </w:pPr>
      <w:r>
        <w:rPr>
          <w:rStyle w:val="FootnoteReference"/>
        </w:rPr>
        <w:footnoteRef/>
      </w:r>
      <w:r>
        <w:t xml:space="preserve"> </w:t>
      </w:r>
      <w:r>
        <w:t xml:space="preserve">启2:5,16。</w:t>
      </w:r>
    </w:p>
  </w:footnote>
  <w:footnote w:id="2454">
    <w:p>
      <w:pPr>
        <w:pStyle w:val="FootnoteText"/>
      </w:pPr>
      <w:r>
        <w:rPr>
          <w:rStyle w:val="FootnoteReference"/>
        </w:rPr>
        <w:footnoteRef/>
      </w:r>
      <w:r>
        <w:t xml:space="preserve"> </w:t>
      </w:r>
      <w:r>
        <w:t xml:space="preserve">圣安波罗修，《书信集》41,12：PL 16,1116。</w:t>
      </w:r>
    </w:p>
  </w:footnote>
  <w:footnote w:id="2456">
    <w:p>
      <w:pPr>
        <w:pStyle w:val="FootnoteText"/>
      </w:pPr>
      <w:r>
        <w:rPr>
          <w:rStyle w:val="FootnoteReference"/>
        </w:rPr>
        <w:footnoteRef/>
      </w:r>
      <w:r>
        <w:t xml:space="preserve"> </w:t>
      </w:r>
      <w:r>
        <w:t xml:space="preserve">参珥2:12-13；赛1:16-17；太6:1-6；16-18。</w:t>
      </w:r>
    </w:p>
  </w:footnote>
  <w:footnote w:id="2457">
    <w:p>
      <w:pPr>
        <w:pStyle w:val="FootnoteText"/>
      </w:pPr>
      <w:r>
        <w:rPr>
          <w:rStyle w:val="FootnoteReference"/>
        </w:rPr>
        <w:footnoteRef/>
      </w:r>
      <w:r>
        <w:t xml:space="preserve"> </w:t>
      </w:r>
      <w:r>
        <w:t xml:space="preserve">参特利腾大公会议(1551)：DS 1676-1678；1705；参《罗马教理》II,V,4。</w:t>
      </w:r>
    </w:p>
  </w:footnote>
  <w:footnote w:id="2458">
    <w:p>
      <w:pPr>
        <w:pStyle w:val="FootnoteText"/>
      </w:pPr>
      <w:r>
        <w:rPr>
          <w:rStyle w:val="FootnoteReference"/>
        </w:rPr>
        <w:footnoteRef/>
      </w:r>
      <w:r>
        <w:t xml:space="preserve"> </w:t>
      </w:r>
      <w:r>
        <w:t xml:space="preserve">参结36:26-27。</w:t>
      </w:r>
    </w:p>
  </w:footnote>
  <w:footnote w:id="2459">
    <w:p>
      <w:pPr>
        <w:pStyle w:val="FootnoteText"/>
      </w:pPr>
      <w:r>
        <w:rPr>
          <w:rStyle w:val="FootnoteReference"/>
        </w:rPr>
        <w:footnoteRef/>
      </w:r>
      <w:r>
        <w:t xml:space="preserve"> </w:t>
      </w:r>
      <w:r>
        <w:t xml:space="preserve">哀5:21。</w:t>
      </w:r>
    </w:p>
  </w:footnote>
  <w:footnote w:id="2460">
    <w:p>
      <w:pPr>
        <w:pStyle w:val="FootnoteText"/>
      </w:pPr>
      <w:r>
        <w:rPr>
          <w:rStyle w:val="FootnoteReference"/>
        </w:rPr>
        <w:footnoteRef/>
      </w:r>
      <w:r>
        <w:t xml:space="preserve"> </w:t>
      </w:r>
      <w:r>
        <w:t xml:space="preserve">参约19:37；亚12:10。</w:t>
      </w:r>
    </w:p>
  </w:footnote>
  <w:footnote w:id="2461">
    <w:p>
      <w:pPr>
        <w:pStyle w:val="FootnoteText"/>
      </w:pPr>
      <w:r>
        <w:rPr>
          <w:rStyle w:val="FootnoteReference"/>
        </w:rPr>
        <w:footnoteRef/>
      </w:r>
      <w:r>
        <w:t xml:space="preserve"> </w:t>
      </w:r>
      <w:r>
        <w:t xml:space="preserve">参约16:8-9。</w:t>
      </w:r>
    </w:p>
  </w:footnote>
  <w:footnote w:id="2462">
    <w:p>
      <w:pPr>
        <w:pStyle w:val="FootnoteText"/>
      </w:pPr>
      <w:r>
        <w:rPr>
          <w:rStyle w:val="FootnoteReference"/>
        </w:rPr>
        <w:footnoteRef/>
      </w:r>
      <w:r>
        <w:t xml:space="preserve"> </w:t>
      </w:r>
      <w:r>
        <w:t xml:space="preserve">参约15:26；徒2:36-38；若望保禄二世，《论和好与忏悔》27-48。</w:t>
      </w:r>
    </w:p>
  </w:footnote>
  <w:footnote w:id="2464">
    <w:p>
      <w:pPr>
        <w:pStyle w:val="FootnoteText"/>
      </w:pPr>
      <w:r>
        <w:rPr>
          <w:rStyle w:val="FootnoteReference"/>
        </w:rPr>
        <w:footnoteRef/>
      </w:r>
      <w:r>
        <w:t xml:space="preserve"> </w:t>
      </w:r>
      <w:r>
        <w:t xml:space="preserve">参多12:8；太6:1-18。</w:t>
      </w:r>
    </w:p>
  </w:footnote>
  <w:footnote w:id="2465">
    <w:p>
      <w:pPr>
        <w:pStyle w:val="FootnoteText"/>
      </w:pPr>
      <w:r>
        <w:rPr>
          <w:rStyle w:val="FootnoteReference"/>
        </w:rPr>
        <w:footnoteRef/>
      </w:r>
      <w:r>
        <w:t xml:space="preserve"> </w:t>
      </w:r>
      <w:r>
        <w:t xml:space="preserve">彼前4:8；参雅5:20。</w:t>
      </w:r>
    </w:p>
  </w:footnote>
  <w:footnote w:id="2466">
    <w:p>
      <w:pPr>
        <w:pStyle w:val="FootnoteText"/>
      </w:pPr>
      <w:r>
        <w:rPr>
          <w:rStyle w:val="FootnoteReference"/>
        </w:rPr>
        <w:footnoteRef/>
      </w:r>
      <w:r>
        <w:t xml:space="preserve"> </w:t>
      </w:r>
      <w:r>
        <w:t xml:space="preserve">参摩5:24；赛1:17。</w:t>
      </w:r>
    </w:p>
  </w:footnote>
  <w:footnote w:id="2467">
    <w:p>
      <w:pPr>
        <w:pStyle w:val="FootnoteText"/>
      </w:pPr>
      <w:r>
        <w:rPr>
          <w:rStyle w:val="FootnoteReference"/>
        </w:rPr>
        <w:footnoteRef/>
      </w:r>
      <w:r>
        <w:t xml:space="preserve"> </w:t>
      </w:r>
      <w:r>
        <w:t xml:space="preserve">参路9:23。</w:t>
      </w:r>
    </w:p>
  </w:footnote>
  <w:footnote w:id="2468">
    <w:p>
      <w:pPr>
        <w:pStyle w:val="FootnoteText"/>
      </w:pPr>
      <w:r>
        <w:rPr>
          <w:rStyle w:val="FootnoteReference"/>
        </w:rPr>
        <w:footnoteRef/>
      </w:r>
      <w:r>
        <w:t xml:space="preserve"> </w:t>
      </w:r>
      <w:r>
        <w:t xml:space="preserve">特利腾大公会议(1551)：DS 1638。</w:t>
      </w:r>
    </w:p>
  </w:footnote>
  <w:footnote w:id="2469">
    <w:p>
      <w:pPr>
        <w:pStyle w:val="FootnoteText"/>
      </w:pPr>
      <w:r>
        <w:rPr>
          <w:rStyle w:val="FootnoteReference"/>
        </w:rPr>
        <w:footnoteRef/>
      </w:r>
      <w:r>
        <w:t xml:space="preserve"> </w:t>
      </w:r>
      <w:r>
        <w:t xml:space="preserve">参《礼仪宪章》109-110；《教会法典》1249-1253条；《东方教会法典》880-883条。</w:t>
      </w:r>
    </w:p>
  </w:footnote>
  <w:footnote w:id="2470">
    <w:p>
      <w:pPr>
        <w:pStyle w:val="FootnoteText"/>
      </w:pPr>
      <w:r>
        <w:rPr>
          <w:rStyle w:val="FootnoteReference"/>
        </w:rPr>
        <w:footnoteRef/>
      </w:r>
      <w:r>
        <w:t xml:space="preserve"> </w:t>
      </w:r>
      <w:r>
        <w:t xml:space="preserve">参路15:11-24。</w:t>
      </w:r>
    </w:p>
  </w:footnote>
  <w:footnote w:id="2472">
    <w:p>
      <w:pPr>
        <w:pStyle w:val="FootnoteText"/>
      </w:pPr>
      <w:r>
        <w:rPr>
          <w:rStyle w:val="FootnoteReference"/>
        </w:rPr>
        <w:footnoteRef/>
      </w:r>
      <w:r>
        <w:t xml:space="preserve"> </w:t>
      </w:r>
      <w:r>
        <w:t xml:space="preserve">参LG 11。</w:t>
      </w:r>
    </w:p>
  </w:footnote>
  <w:footnote w:id="2473">
    <w:p>
      <w:pPr>
        <w:pStyle w:val="FootnoteText"/>
      </w:pPr>
      <w:r>
        <w:rPr>
          <w:rStyle w:val="FootnoteReference"/>
        </w:rPr>
        <w:footnoteRef/>
      </w:r>
      <w:r>
        <w:t xml:space="preserve"> </w:t>
      </w:r>
      <w:r>
        <w:t xml:space="preserve">参可2:7。</w:t>
      </w:r>
    </w:p>
  </w:footnote>
  <w:footnote w:id="2474">
    <w:p>
      <w:pPr>
        <w:pStyle w:val="FootnoteText"/>
      </w:pPr>
      <w:r>
        <w:rPr>
          <w:rStyle w:val="FootnoteReference"/>
        </w:rPr>
        <w:footnoteRef/>
      </w:r>
      <w:r>
        <w:t xml:space="preserve"> </w:t>
      </w:r>
      <w:r>
        <w:t xml:space="preserve">可2:5,10；路7:48。</w:t>
      </w:r>
    </w:p>
  </w:footnote>
  <w:footnote w:id="2475">
    <w:p>
      <w:pPr>
        <w:pStyle w:val="FootnoteText"/>
      </w:pPr>
      <w:r>
        <w:rPr>
          <w:rStyle w:val="FootnoteReference"/>
        </w:rPr>
        <w:footnoteRef/>
      </w:r>
      <w:r>
        <w:t xml:space="preserve"> </w:t>
      </w:r>
      <w:r>
        <w:t xml:space="preserve">参约20:21-23。</w:t>
      </w:r>
    </w:p>
  </w:footnote>
  <w:footnote w:id="2476">
    <w:p>
      <w:pPr>
        <w:pStyle w:val="FootnoteText"/>
      </w:pPr>
      <w:r>
        <w:rPr>
          <w:rStyle w:val="FootnoteReference"/>
        </w:rPr>
        <w:footnoteRef/>
      </w:r>
      <w:r>
        <w:t xml:space="preserve"> </w:t>
      </w:r>
      <w:r>
        <w:t xml:space="preserve">林后5:18。</w:t>
      </w:r>
    </w:p>
  </w:footnote>
  <w:footnote w:id="2477">
    <w:p>
      <w:pPr>
        <w:pStyle w:val="FootnoteText"/>
      </w:pPr>
      <w:r>
        <w:rPr>
          <w:rStyle w:val="FootnoteReference"/>
        </w:rPr>
        <w:footnoteRef/>
      </w:r>
      <w:r>
        <w:t xml:space="preserve"> </w:t>
      </w:r>
      <w:r>
        <w:t xml:space="preserve">林后5:20。</w:t>
      </w:r>
    </w:p>
  </w:footnote>
  <w:footnote w:id="2479">
    <w:p>
      <w:pPr>
        <w:pStyle w:val="FootnoteText"/>
      </w:pPr>
      <w:r>
        <w:rPr>
          <w:rStyle w:val="FootnoteReference"/>
        </w:rPr>
        <w:footnoteRef/>
      </w:r>
      <w:r>
        <w:t xml:space="preserve"> </w:t>
      </w:r>
      <w:r>
        <w:t xml:space="preserve">参路15；19:9。</w:t>
      </w:r>
    </w:p>
  </w:footnote>
  <w:footnote w:id="2480">
    <w:p>
      <w:pPr>
        <w:pStyle w:val="FootnoteText"/>
      </w:pPr>
      <w:r>
        <w:rPr>
          <w:rStyle w:val="FootnoteReference"/>
        </w:rPr>
        <w:footnoteRef/>
      </w:r>
      <w:r>
        <w:t xml:space="preserve"> </w:t>
      </w:r>
      <w:r>
        <w:t xml:space="preserve">太16:19；参太18:18；28:16-20。</w:t>
      </w:r>
    </w:p>
  </w:footnote>
  <w:footnote w:id="2481">
    <w:p>
      <w:pPr>
        <w:pStyle w:val="FootnoteText"/>
      </w:pPr>
      <w:r>
        <w:rPr>
          <w:rStyle w:val="FootnoteReference"/>
        </w:rPr>
        <w:footnoteRef/>
      </w:r>
      <w:r>
        <w:t xml:space="preserve"> </w:t>
      </w:r>
      <w:r>
        <w:t xml:space="preserve">LG 22 § 2。</w:t>
      </w:r>
    </w:p>
  </w:footnote>
  <w:footnote w:id="2483">
    <w:p>
      <w:pPr>
        <w:pStyle w:val="FootnoteText"/>
      </w:pPr>
      <w:r>
        <w:rPr>
          <w:rStyle w:val="FootnoteReference"/>
        </w:rPr>
        <w:footnoteRef/>
      </w:r>
      <w:r>
        <w:t xml:space="preserve"> </w:t>
      </w:r>
      <w:r>
        <w:t xml:space="preserve">特土良，《论补赎》4,2：PL 1,1343；参特利腾大公会议(1547)：DS 1542。</w:t>
      </w:r>
    </w:p>
  </w:footnote>
  <w:footnote w:id="2484">
    <w:p>
      <w:pPr>
        <w:pStyle w:val="FootnoteText"/>
      </w:pPr>
      <w:r>
        <w:rPr>
          <w:rStyle w:val="FootnoteReference"/>
        </w:rPr>
        <w:footnoteRef/>
      </w:r>
      <w:r>
        <w:t xml:space="preserve"> </w:t>
      </w:r>
      <w:r>
        <w:t xml:space="preserve">OP 46：赦罪经文。</w:t>
      </w:r>
    </w:p>
  </w:footnote>
  <w:footnote w:id="2487">
    <w:p>
      <w:pPr>
        <w:pStyle w:val="FootnoteText"/>
      </w:pPr>
      <w:r>
        <w:rPr>
          <w:rStyle w:val="FootnoteReference"/>
        </w:rPr>
        <w:footnoteRef/>
      </w:r>
      <w:r>
        <w:t xml:space="preserve"> </w:t>
      </w:r>
      <w:r>
        <w:t xml:space="preserve">《罗马教理》II,V,21；参特利腾大公会议(1551)：DS 1673。</w:t>
      </w:r>
    </w:p>
  </w:footnote>
  <w:footnote w:id="2488">
    <w:p>
      <w:pPr>
        <w:pStyle w:val="FootnoteText"/>
      </w:pPr>
      <w:r>
        <w:rPr>
          <w:rStyle w:val="FootnoteReference"/>
        </w:rPr>
        <w:footnoteRef/>
      </w:r>
      <w:r>
        <w:t xml:space="preserve"> </w:t>
      </w:r>
      <w:r>
        <w:t xml:space="preserve">特利腾大公会议(1551)：DS 1676。</w:t>
      </w:r>
    </w:p>
  </w:footnote>
  <w:footnote w:id="2489">
    <w:p>
      <w:pPr>
        <w:pStyle w:val="FootnoteText"/>
      </w:pPr>
      <w:r>
        <w:rPr>
          <w:rStyle w:val="FootnoteReference"/>
        </w:rPr>
        <w:footnoteRef/>
      </w:r>
      <w:r>
        <w:t xml:space="preserve"> </w:t>
      </w:r>
      <w:r>
        <w:t xml:space="preserve">参特利腾大公会议(1551)：DS 1677。</w:t>
      </w:r>
    </w:p>
  </w:footnote>
  <w:footnote w:id="2490">
    <w:p>
      <w:pPr>
        <w:pStyle w:val="FootnoteText"/>
      </w:pPr>
      <w:r>
        <w:rPr>
          <w:rStyle w:val="FootnoteReference"/>
        </w:rPr>
        <w:footnoteRef/>
      </w:r>
      <w:r>
        <w:t xml:space="preserve"> </w:t>
      </w:r>
      <w:r>
        <w:t xml:space="preserve">参特利腾大公会议(1551)：DS 1678；1705。</w:t>
      </w:r>
    </w:p>
  </w:footnote>
  <w:footnote w:id="2491">
    <w:p>
      <w:pPr>
        <w:pStyle w:val="FootnoteText"/>
      </w:pPr>
      <w:r>
        <w:rPr>
          <w:rStyle w:val="FootnoteReference"/>
        </w:rPr>
        <w:footnoteRef/>
      </w:r>
      <w:r>
        <w:t xml:space="preserve"> </w:t>
      </w:r>
      <w:r>
        <w:t xml:space="preserve">参太5-7；罗12-15；林前12-13；加5；弗4-6等。</w:t>
      </w:r>
    </w:p>
  </w:footnote>
  <w:footnote w:id="2493">
    <w:p>
      <w:pPr>
        <w:pStyle w:val="FootnoteText"/>
      </w:pPr>
      <w:r>
        <w:rPr>
          <w:rStyle w:val="FootnoteReference"/>
        </w:rPr>
        <w:footnoteRef/>
      </w:r>
      <w:r>
        <w:t xml:space="preserve"> </w:t>
      </w:r>
      <w:r>
        <w:t xml:space="preserve">特利腾大公会议(1551)：DS 1680；参出20:17；太5:28。</w:t>
      </w:r>
    </w:p>
  </w:footnote>
  <w:footnote w:id="2494">
    <w:p>
      <w:pPr>
        <w:pStyle w:val="FootnoteText"/>
      </w:pPr>
      <w:r>
        <w:rPr>
          <w:rStyle w:val="FootnoteReference"/>
        </w:rPr>
        <w:footnoteRef/>
      </w:r>
      <w:r>
        <w:t xml:space="preserve"> </w:t>
      </w:r>
      <w:r>
        <w:t xml:space="preserve">特利腾大公会议(1551)：DS 1680；参圣耶柔米，《训道篇注释》10,11：PL 23:1096。</w:t>
      </w:r>
    </w:p>
  </w:footnote>
  <w:footnote w:id="2495">
    <w:p>
      <w:pPr>
        <w:pStyle w:val="FootnoteText"/>
      </w:pPr>
      <w:r>
        <w:rPr>
          <w:rStyle w:val="FootnoteReference"/>
        </w:rPr>
        <w:footnoteRef/>
      </w:r>
      <w:r>
        <w:t xml:space="preserve"> </w:t>
      </w:r>
      <w:r>
        <w:t xml:space="preserve">参《教会法典》989条；特利腾大公会议(1551)：DS 1683；1708。</w:t>
      </w:r>
    </w:p>
  </w:footnote>
  <w:footnote w:id="2496">
    <w:p>
      <w:pPr>
        <w:pStyle w:val="FootnoteText"/>
      </w:pPr>
      <w:r>
        <w:rPr>
          <w:rStyle w:val="FootnoteReference"/>
        </w:rPr>
        <w:footnoteRef/>
      </w:r>
      <w:r>
        <w:t xml:space="preserve"> </w:t>
      </w:r>
      <w:r>
        <w:t xml:space="preserve">参特利腾大公会议(1551)：DS 1647；1661；《教会法典》916条；《东方教会法典》711条。</w:t>
      </w:r>
    </w:p>
  </w:footnote>
  <w:footnote w:id="2497">
    <w:p>
      <w:pPr>
        <w:pStyle w:val="FootnoteText"/>
      </w:pPr>
      <w:r>
        <w:rPr>
          <w:rStyle w:val="FootnoteReference"/>
        </w:rPr>
        <w:footnoteRef/>
      </w:r>
      <w:r>
        <w:t xml:space="preserve"> </w:t>
      </w:r>
      <w:r>
        <w:t xml:space="preserve">参《教会法典》914条。</w:t>
      </w:r>
    </w:p>
  </w:footnote>
  <w:footnote w:id="2498">
    <w:p>
      <w:pPr>
        <w:pStyle w:val="FootnoteText"/>
      </w:pPr>
      <w:r>
        <w:rPr>
          <w:rStyle w:val="FootnoteReference"/>
        </w:rPr>
        <w:footnoteRef/>
      </w:r>
      <w:r>
        <w:t xml:space="preserve"> </w:t>
      </w:r>
      <w:r>
        <w:t xml:space="preserve">参特利腾大公会议：DS 1680；《教会法典》988条2项。</w:t>
      </w:r>
    </w:p>
  </w:footnote>
  <w:footnote w:id="2499">
    <w:p>
      <w:pPr>
        <w:pStyle w:val="FootnoteText"/>
      </w:pPr>
      <w:r>
        <w:rPr>
          <w:rStyle w:val="FootnoteReference"/>
        </w:rPr>
        <w:footnoteRef/>
      </w:r>
      <w:r>
        <w:t xml:space="preserve"> </w:t>
      </w:r>
      <w:r>
        <w:t xml:space="preserve">参路6:36。</w:t>
      </w:r>
    </w:p>
  </w:footnote>
  <w:footnote w:id="2500">
    <w:p>
      <w:pPr>
        <w:pStyle w:val="FootnoteText"/>
      </w:pPr>
      <w:r>
        <w:rPr>
          <w:rStyle w:val="FootnoteReference"/>
        </w:rPr>
        <w:footnoteRef/>
      </w:r>
      <w:r>
        <w:t xml:space="preserve"> </w:t>
      </w:r>
      <w:r>
        <w:t xml:space="preserve">圣奥古斯丁，《约翰福音释义》12,13：PL 35,1491。</w:t>
      </w:r>
    </w:p>
  </w:footnote>
  <w:footnote w:id="2502">
    <w:p>
      <w:pPr>
        <w:pStyle w:val="FootnoteText"/>
      </w:pPr>
      <w:r>
        <w:rPr>
          <w:rStyle w:val="FootnoteReference"/>
        </w:rPr>
        <w:footnoteRef/>
      </w:r>
      <w:r>
        <w:t xml:space="preserve"> </w:t>
      </w:r>
      <w:r>
        <w:t xml:space="preserve">参特利腾大公会议(1551)：DS 1712。</w:t>
      </w:r>
    </w:p>
  </w:footnote>
  <w:footnote w:id="2503">
    <w:p>
      <w:pPr>
        <w:pStyle w:val="FootnoteText"/>
      </w:pPr>
      <w:r>
        <w:rPr>
          <w:rStyle w:val="FootnoteReference"/>
        </w:rPr>
        <w:footnoteRef/>
      </w:r>
      <w:r>
        <w:t xml:space="preserve"> </w:t>
      </w:r>
      <w:r>
        <w:t xml:space="preserve">罗8:17；罗3:25；约壹2:1-2；参特利腾大公会议(1551)：DS 1690。</w:t>
      </w:r>
    </w:p>
  </w:footnote>
  <w:footnote w:id="2504">
    <w:p>
      <w:pPr>
        <w:pStyle w:val="FootnoteText"/>
      </w:pPr>
      <w:r>
        <w:rPr>
          <w:rStyle w:val="FootnoteReference"/>
        </w:rPr>
        <w:footnoteRef/>
      </w:r>
      <w:r>
        <w:t xml:space="preserve"> </w:t>
      </w:r>
      <w:r>
        <w:t xml:space="preserve">特利腾大公会议(1551)：DS 1691；参腓4:13；林前1:31；林后10:17；加6:14；路3:8。</w:t>
      </w:r>
    </w:p>
  </w:footnote>
  <w:footnote w:id="2507">
    <w:p>
      <w:pPr>
        <w:pStyle w:val="FootnoteText"/>
      </w:pPr>
      <w:r>
        <w:rPr>
          <w:rStyle w:val="FootnoteReference"/>
        </w:rPr>
        <w:footnoteRef/>
      </w:r>
      <w:r>
        <w:t xml:space="preserve"> </w:t>
      </w:r>
      <w:r>
        <w:t xml:space="preserve">参约20:23；林后5:18。</w:t>
      </w:r>
    </w:p>
  </w:footnote>
  <w:footnote w:id="2508">
    <w:p>
      <w:pPr>
        <w:pStyle w:val="FootnoteText"/>
      </w:pPr>
      <w:r>
        <w:rPr>
          <w:rStyle w:val="FootnoteReference"/>
        </w:rPr>
        <w:footnoteRef/>
      </w:r>
      <w:r>
        <w:t xml:space="preserve"> </w:t>
      </w:r>
      <w:r>
        <w:t xml:space="preserve">参LG 26 § 3。</w:t>
      </w:r>
    </w:p>
  </w:footnote>
  <w:footnote w:id="2509">
    <w:p>
      <w:pPr>
        <w:pStyle w:val="FootnoteText"/>
      </w:pPr>
      <w:r>
        <w:rPr>
          <w:rStyle w:val="FootnoteReference"/>
        </w:rPr>
        <w:footnoteRef/>
      </w:r>
      <w:r>
        <w:t xml:space="preserve"> </w:t>
      </w:r>
      <w:r>
        <w:t xml:space="preserve">参《教会法典》844、967-969、972条；《东方教会法典》722条3-4项。</w:t>
      </w:r>
    </w:p>
  </w:footnote>
  <w:footnote w:id="2510">
    <w:p>
      <w:pPr>
        <w:pStyle w:val="FootnoteText"/>
      </w:pPr>
      <w:r>
        <w:rPr>
          <w:rStyle w:val="FootnoteReference"/>
        </w:rPr>
        <w:footnoteRef/>
      </w:r>
      <w:r>
        <w:t xml:space="preserve"> </w:t>
      </w:r>
      <w:r>
        <w:t xml:space="preserve">参《教会法典》1331、1354-1357条；《东方教会法典》1431、1434、1420条。</w:t>
      </w:r>
    </w:p>
  </w:footnote>
  <w:footnote w:id="2511">
    <w:p>
      <w:pPr>
        <w:pStyle w:val="FootnoteText"/>
      </w:pPr>
      <w:r>
        <w:rPr>
          <w:rStyle w:val="FootnoteReference"/>
        </w:rPr>
        <w:footnoteRef/>
      </w:r>
      <w:r>
        <w:t xml:space="preserve"> </w:t>
      </w:r>
      <w:r>
        <w:t xml:space="preserve">参《教会法典》976条；《东方教会法典》725条。</w:t>
      </w:r>
    </w:p>
  </w:footnote>
  <w:footnote w:id="2512">
    <w:p>
      <w:pPr>
        <w:pStyle w:val="FootnoteText"/>
      </w:pPr>
      <w:r>
        <w:rPr>
          <w:rStyle w:val="FootnoteReference"/>
        </w:rPr>
        <w:footnoteRef/>
      </w:r>
      <w:r>
        <w:t xml:space="preserve"> </w:t>
      </w:r>
      <w:r>
        <w:t xml:space="preserve">参《教会法典》486条；《东方教会法典》735条；PO 13。</w:t>
      </w:r>
    </w:p>
  </w:footnote>
  <w:footnote w:id="2513">
    <w:p>
      <w:pPr>
        <w:pStyle w:val="FootnoteText"/>
      </w:pPr>
      <w:r>
        <w:rPr>
          <w:rStyle w:val="FootnoteReference"/>
        </w:rPr>
        <w:footnoteRef/>
      </w:r>
      <w:r>
        <w:t xml:space="preserve"> </w:t>
      </w:r>
      <w:r>
        <w:t xml:space="preserve">参PO 13。</w:t>
      </w:r>
    </w:p>
  </w:footnote>
  <w:footnote w:id="2514">
    <w:p>
      <w:pPr>
        <w:pStyle w:val="FootnoteText"/>
      </w:pPr>
      <w:r>
        <w:rPr>
          <w:rStyle w:val="FootnoteReference"/>
        </w:rPr>
        <w:footnoteRef/>
      </w:r>
      <w:r>
        <w:t xml:space="preserve"> </w:t>
      </w:r>
      <w:r>
        <w:t xml:space="preserve">参《教会法典》1388条1项；《东方教会法典》1456条。</w:t>
      </w:r>
    </w:p>
  </w:footnote>
  <w:footnote w:id="2516">
    <w:p>
      <w:pPr>
        <w:pStyle w:val="FootnoteText"/>
      </w:pPr>
      <w:r>
        <w:rPr>
          <w:rStyle w:val="FootnoteReference"/>
        </w:rPr>
        <w:footnoteRef/>
      </w:r>
      <w:r>
        <w:t xml:space="preserve"> </w:t>
      </w:r>
      <w:r>
        <w:t xml:space="preserve">《罗马教理》II,V,18。</w:t>
      </w:r>
    </w:p>
  </w:footnote>
  <w:footnote w:id="2517">
    <w:p>
      <w:pPr>
        <w:pStyle w:val="FootnoteText"/>
      </w:pPr>
      <w:r>
        <w:rPr>
          <w:rStyle w:val="FootnoteReference"/>
        </w:rPr>
        <w:footnoteRef/>
      </w:r>
      <w:r>
        <w:t xml:space="preserve"> </w:t>
      </w:r>
      <w:r>
        <w:t xml:space="preserve">特利腾大公会议(1551)：DS 1674。</w:t>
      </w:r>
    </w:p>
  </w:footnote>
  <w:footnote w:id="2518">
    <w:p>
      <w:pPr>
        <w:pStyle w:val="FootnoteText"/>
      </w:pPr>
      <w:r>
        <w:rPr>
          <w:rStyle w:val="FootnoteReference"/>
        </w:rPr>
        <w:footnoteRef/>
      </w:r>
      <w:r>
        <w:t xml:space="preserve"> </w:t>
      </w:r>
      <w:r>
        <w:t xml:space="preserve">参路15:32。</w:t>
      </w:r>
    </w:p>
  </w:footnote>
  <w:footnote w:id="2519">
    <w:p>
      <w:pPr>
        <w:pStyle w:val="FootnoteText"/>
      </w:pPr>
      <w:r>
        <w:rPr>
          <w:rStyle w:val="FootnoteReference"/>
        </w:rPr>
        <w:footnoteRef/>
      </w:r>
      <w:r>
        <w:t xml:space="preserve"> </w:t>
      </w:r>
      <w:r>
        <w:t xml:space="preserve">参林前12:26。</w:t>
      </w:r>
    </w:p>
  </w:footnote>
  <w:footnote w:id="2520">
    <w:p>
      <w:pPr>
        <w:pStyle w:val="FootnoteText"/>
      </w:pPr>
      <w:r>
        <w:rPr>
          <w:rStyle w:val="FootnoteReference"/>
        </w:rPr>
        <w:footnoteRef/>
      </w:r>
      <w:r>
        <w:t xml:space="preserve"> </w:t>
      </w:r>
      <w:r>
        <w:t xml:space="preserve">参LG 48-50。</w:t>
      </w:r>
    </w:p>
  </w:footnote>
  <w:footnote w:id="2521">
    <w:p>
      <w:pPr>
        <w:pStyle w:val="FootnoteText"/>
      </w:pPr>
      <w:r>
        <w:rPr>
          <w:rStyle w:val="FootnoteReference"/>
        </w:rPr>
        <w:footnoteRef/>
      </w:r>
      <w:r>
        <w:t xml:space="preserve"> </w:t>
      </w:r>
      <w:r>
        <w:t xml:space="preserve">若望保禄二世，《论和好与忏悔》31,5。</w:t>
      </w:r>
    </w:p>
  </w:footnote>
  <w:footnote w:id="2522">
    <w:p>
      <w:pPr>
        <w:pStyle w:val="FootnoteText"/>
      </w:pPr>
      <w:r>
        <w:rPr>
          <w:rStyle w:val="FootnoteReference"/>
        </w:rPr>
        <w:footnoteRef/>
      </w:r>
      <w:r>
        <w:t xml:space="preserve"> </w:t>
      </w:r>
      <w:r>
        <w:t xml:space="preserve">参林前5:11；加5:19-21；启22:15。</w:t>
      </w:r>
    </w:p>
  </w:footnote>
  <w:footnote w:id="2523">
    <w:p>
      <w:pPr>
        <w:pStyle w:val="FootnoteText"/>
      </w:pPr>
      <w:r>
        <w:rPr>
          <w:rStyle w:val="FootnoteReference"/>
        </w:rPr>
        <w:footnoteRef/>
      </w:r>
      <w:r>
        <w:t xml:space="preserve"> </w:t>
      </w:r>
      <w:r>
        <w:t xml:space="preserve">约5:24。</w:t>
      </w:r>
    </w:p>
  </w:footnote>
  <w:footnote w:id="2525">
    <w:p>
      <w:pPr>
        <w:pStyle w:val="FootnoteText"/>
      </w:pPr>
      <w:r>
        <w:rPr>
          <w:rStyle w:val="FootnoteReference"/>
        </w:rPr>
        <w:footnoteRef/>
      </w:r>
      <w:r>
        <w:t xml:space="preserve"> </w:t>
      </w:r>
      <w:r>
        <w:t xml:space="preserve">保禄六世，《大赦教义》，规范1。</w:t>
      </w:r>
    </w:p>
  </w:footnote>
  <w:footnote w:id="2526">
    <w:p>
      <w:pPr>
        <w:pStyle w:val="FootnoteText"/>
      </w:pPr>
      <w:r>
        <w:rPr>
          <w:rStyle w:val="FootnoteReference"/>
        </w:rPr>
        <w:footnoteRef/>
      </w:r>
      <w:r>
        <w:t xml:space="preserve"> </w:t>
      </w:r>
      <w:r>
        <w:t xml:space="preserve">《大赦教义》，规范2；参规范3。</w:t>
      </w:r>
    </w:p>
  </w:footnote>
  <w:footnote w:id="2527">
    <w:p>
      <w:pPr>
        <w:pStyle w:val="FootnoteText"/>
      </w:pPr>
      <w:r>
        <w:rPr>
          <w:rStyle w:val="FootnoteReference"/>
        </w:rPr>
        <w:footnoteRef/>
      </w:r>
      <w:r>
        <w:t xml:space="preserve"> </w:t>
      </w:r>
      <w:r>
        <w:t xml:space="preserve">《教会法典》994条。</w:t>
      </w:r>
    </w:p>
  </w:footnote>
  <w:footnote w:id="2529">
    <w:p>
      <w:pPr>
        <w:pStyle w:val="FootnoteText"/>
      </w:pPr>
      <w:r>
        <w:rPr>
          <w:rStyle w:val="FootnoteReference"/>
        </w:rPr>
        <w:footnoteRef/>
      </w:r>
      <w:r>
        <w:t xml:space="preserve"> </w:t>
      </w:r>
      <w:r>
        <w:t xml:space="preserve">参特利腾大公会议(1551)：DS 1712-1713；(1563)：1820。</w:t>
      </w:r>
    </w:p>
  </w:footnote>
  <w:footnote w:id="2530">
    <w:p>
      <w:pPr>
        <w:pStyle w:val="FootnoteText"/>
      </w:pPr>
      <w:r>
        <w:rPr>
          <w:rStyle w:val="FootnoteReference"/>
        </w:rPr>
        <w:footnoteRef/>
      </w:r>
      <w:r>
        <w:t xml:space="preserve"> </w:t>
      </w:r>
      <w:r>
        <w:t xml:space="preserve">弗4:22,24。</w:t>
      </w:r>
    </w:p>
  </w:footnote>
  <w:footnote w:id="2532">
    <w:p>
      <w:pPr>
        <w:pStyle w:val="FootnoteText"/>
      </w:pPr>
      <w:r>
        <w:rPr>
          <w:rStyle w:val="FootnoteReference"/>
        </w:rPr>
        <w:footnoteRef/>
      </w:r>
      <w:r>
        <w:t xml:space="preserve"> </w:t>
      </w:r>
      <w:r>
        <w:t xml:space="preserve">《大赦教义》5。</w:t>
      </w:r>
    </w:p>
  </w:footnote>
  <w:footnote w:id="2533">
    <w:p>
      <w:pPr>
        <w:pStyle w:val="FootnoteText"/>
      </w:pPr>
      <w:r>
        <w:rPr>
          <w:rStyle w:val="FootnoteReference"/>
        </w:rPr>
        <w:footnoteRef/>
      </w:r>
      <w:r>
        <w:t xml:space="preserve"> </w:t>
      </w:r>
      <w:r>
        <w:t xml:space="preserve">《大赦教义》5。</w:t>
      </w:r>
    </w:p>
  </w:footnote>
  <w:footnote w:id="2534">
    <w:p>
      <w:pPr>
        <w:pStyle w:val="FootnoteText"/>
      </w:pPr>
      <w:r>
        <w:rPr>
          <w:rStyle w:val="FootnoteReference"/>
        </w:rPr>
        <w:footnoteRef/>
      </w:r>
      <w:r>
        <w:t xml:space="preserve"> </w:t>
      </w:r>
      <w:r>
        <w:t xml:space="preserve">《大赦教义》5。</w:t>
      </w:r>
    </w:p>
  </w:footnote>
  <w:footnote w:id="2535">
    <w:p>
      <w:pPr>
        <w:pStyle w:val="FootnoteText"/>
      </w:pPr>
      <w:r>
        <w:rPr>
          <w:rStyle w:val="FootnoteReference"/>
        </w:rPr>
        <w:footnoteRef/>
      </w:r>
      <w:r>
        <w:t xml:space="preserve"> </w:t>
      </w:r>
      <w:r>
        <w:t xml:space="preserve">《大赦教义》5。</w:t>
      </w:r>
    </w:p>
  </w:footnote>
  <w:footnote w:id="2537">
    <w:p>
      <w:pPr>
        <w:pStyle w:val="FootnoteText"/>
      </w:pPr>
      <w:r>
        <w:rPr>
          <w:rStyle w:val="FootnoteReference"/>
        </w:rPr>
        <w:footnoteRef/>
      </w:r>
      <w:r>
        <w:t xml:space="preserve"> </w:t>
      </w:r>
      <w:r>
        <w:t xml:space="preserve">参《大赦教义》5。</w:t>
      </w:r>
    </w:p>
  </w:footnote>
  <w:footnote w:id="2540">
    <w:p>
      <w:pPr>
        <w:pStyle w:val="FootnoteText"/>
      </w:pPr>
      <w:r>
        <w:rPr>
          <w:rStyle w:val="FootnoteReference"/>
        </w:rPr>
        <w:footnoteRef/>
      </w:r>
      <w:r>
        <w:t xml:space="preserve"> </w:t>
      </w:r>
      <w:r>
        <w:t xml:space="preserve">参SC 26-27。</w:t>
      </w:r>
    </w:p>
  </w:footnote>
  <w:footnote w:id="2541">
    <w:p>
      <w:pPr>
        <w:pStyle w:val="FootnoteText"/>
      </w:pPr>
      <w:r>
        <w:rPr>
          <w:rStyle w:val="FootnoteReference"/>
        </w:rPr>
        <w:footnoteRef/>
      </w:r>
      <w:r>
        <w:t xml:space="preserve"> </w:t>
      </w:r>
      <w:r>
        <w:t xml:space="preserve">参《教会法典》962条1项。</w:t>
      </w:r>
    </w:p>
  </w:footnote>
  <w:footnote w:id="2542">
    <w:p>
      <w:pPr>
        <w:pStyle w:val="FootnoteText"/>
      </w:pPr>
      <w:r>
        <w:rPr>
          <w:rStyle w:val="FootnoteReference"/>
        </w:rPr>
        <w:footnoteRef/>
      </w:r>
      <w:r>
        <w:t xml:space="preserve"> </w:t>
      </w:r>
      <w:r>
        <w:t xml:space="preserve">参《教会法典》961条2项。</w:t>
      </w:r>
    </w:p>
  </w:footnote>
  <w:footnote w:id="2543">
    <w:p>
      <w:pPr>
        <w:pStyle w:val="FootnoteText"/>
      </w:pPr>
      <w:r>
        <w:rPr>
          <w:rStyle w:val="FootnoteReference"/>
        </w:rPr>
        <w:footnoteRef/>
      </w:r>
      <w:r>
        <w:t xml:space="preserve"> </w:t>
      </w:r>
      <w:r>
        <w:t xml:space="preserve">参《教会法典》961条1项。</w:t>
      </w:r>
    </w:p>
  </w:footnote>
  <w:footnote w:id="2544">
    <w:p>
      <w:pPr>
        <w:pStyle w:val="FootnoteText"/>
      </w:pPr>
      <w:r>
        <w:rPr>
          <w:rStyle w:val="FootnoteReference"/>
        </w:rPr>
        <w:footnoteRef/>
      </w:r>
      <w:r>
        <w:t xml:space="preserve"> </w:t>
      </w:r>
      <w:r>
        <w:t xml:space="preserve">OP 31。</w:t>
      </w:r>
    </w:p>
  </w:footnote>
  <w:footnote w:id="2545">
    <w:p>
      <w:pPr>
        <w:pStyle w:val="FootnoteText"/>
      </w:pPr>
      <w:r>
        <w:rPr>
          <w:rStyle w:val="FootnoteReference"/>
        </w:rPr>
        <w:footnoteRef/>
      </w:r>
      <w:r>
        <w:t xml:space="preserve"> </w:t>
      </w:r>
      <w:r>
        <w:t xml:space="preserve">可2:5。</w:t>
      </w:r>
    </w:p>
  </w:footnote>
  <w:footnote w:id="2546">
    <w:p>
      <w:pPr>
        <w:pStyle w:val="FootnoteText"/>
      </w:pPr>
      <w:r>
        <w:rPr>
          <w:rStyle w:val="FootnoteReference"/>
        </w:rPr>
        <w:footnoteRef/>
      </w:r>
      <w:r>
        <w:t xml:space="preserve"> </w:t>
      </w:r>
      <w:r>
        <w:t xml:space="preserve">参可2:17。</w:t>
      </w:r>
    </w:p>
  </w:footnote>
  <w:footnote w:id="2550">
    <w:p>
      <w:pPr>
        <w:pStyle w:val="FootnoteText"/>
      </w:pPr>
      <w:r>
        <w:rPr>
          <w:rStyle w:val="FootnoteReference"/>
        </w:rPr>
        <w:footnoteRef/>
      </w:r>
      <w:r>
        <w:t xml:space="preserve"> </w:t>
      </w:r>
      <w:r>
        <w:t xml:space="preserve">LG 11；参雅5:14-16；罗8:17；西1:24；提后2:11-12；彼前4:13。</w:t>
      </w:r>
    </w:p>
  </w:footnote>
  <w:footnote w:id="2551">
    <w:p>
      <w:pPr>
        <w:pStyle w:val="FootnoteText"/>
      </w:pPr>
      <w:r>
        <w:rPr>
          <w:rStyle w:val="FootnoteReference"/>
        </w:rPr>
        <w:footnoteRef/>
      </w:r>
      <w:r>
        <w:t xml:space="preserve"> </w:t>
      </w:r>
      <w:r>
        <w:t xml:space="preserve">参诗6:3；38；赛38。</w:t>
      </w:r>
    </w:p>
  </w:footnote>
  <w:footnote w:id="2552">
    <w:p>
      <w:pPr>
        <w:pStyle w:val="FootnoteText"/>
      </w:pPr>
      <w:r>
        <w:rPr>
          <w:rStyle w:val="FootnoteReference"/>
        </w:rPr>
        <w:footnoteRef/>
      </w:r>
      <w:r>
        <w:t xml:space="preserve"> </w:t>
      </w:r>
      <w:r>
        <w:t xml:space="preserve">参诗32:5；38:5；39:9,12；107:20；参可2:5-12。</w:t>
      </w:r>
    </w:p>
  </w:footnote>
  <w:footnote w:id="2553">
    <w:p>
      <w:pPr>
        <w:pStyle w:val="FootnoteText"/>
      </w:pPr>
      <w:r>
        <w:rPr>
          <w:rStyle w:val="FootnoteReference"/>
        </w:rPr>
        <w:footnoteRef/>
      </w:r>
      <w:r>
        <w:t xml:space="preserve"> </w:t>
      </w:r>
      <w:r>
        <w:t xml:space="preserve">出15:26。</w:t>
      </w:r>
    </w:p>
  </w:footnote>
  <w:footnote w:id="2554">
    <w:p>
      <w:pPr>
        <w:pStyle w:val="FootnoteText"/>
      </w:pPr>
      <w:r>
        <w:rPr>
          <w:rStyle w:val="FootnoteReference"/>
        </w:rPr>
        <w:footnoteRef/>
      </w:r>
      <w:r>
        <w:t xml:space="preserve"> </w:t>
      </w:r>
      <w:r>
        <w:t xml:space="preserve">参赛53:11。</w:t>
      </w:r>
    </w:p>
  </w:footnote>
  <w:footnote w:id="2555">
    <w:p>
      <w:pPr>
        <w:pStyle w:val="FootnoteText"/>
      </w:pPr>
      <w:r>
        <w:rPr>
          <w:rStyle w:val="FootnoteReference"/>
        </w:rPr>
        <w:footnoteRef/>
      </w:r>
      <w:r>
        <w:t xml:space="preserve"> </w:t>
      </w:r>
      <w:r>
        <w:t xml:space="preserve">参赛33:24。</w:t>
      </w:r>
    </w:p>
  </w:footnote>
  <w:footnote w:id="2556">
    <w:p>
      <w:pPr>
        <w:pStyle w:val="FootnoteText"/>
      </w:pPr>
      <w:r>
        <w:rPr>
          <w:rStyle w:val="FootnoteReference"/>
        </w:rPr>
        <w:footnoteRef/>
      </w:r>
      <w:r>
        <w:t xml:space="preserve"> </w:t>
      </w:r>
      <w:r>
        <w:t xml:space="preserve">路7:16；参太4:24。</w:t>
      </w:r>
    </w:p>
  </w:footnote>
  <w:footnote w:id="2557">
    <w:p>
      <w:pPr>
        <w:pStyle w:val="FootnoteText"/>
      </w:pPr>
      <w:r>
        <w:rPr>
          <w:rStyle w:val="FootnoteReference"/>
        </w:rPr>
        <w:footnoteRef/>
      </w:r>
      <w:r>
        <w:t xml:space="preserve"> </w:t>
      </w:r>
      <w:r>
        <w:t xml:space="preserve">参可2:5-12。</w:t>
      </w:r>
    </w:p>
  </w:footnote>
  <w:footnote w:id="2558">
    <w:p>
      <w:pPr>
        <w:pStyle w:val="FootnoteText"/>
      </w:pPr>
      <w:r>
        <w:rPr>
          <w:rStyle w:val="FootnoteReference"/>
        </w:rPr>
        <w:footnoteRef/>
      </w:r>
      <w:r>
        <w:t xml:space="preserve"> </w:t>
      </w:r>
      <w:r>
        <w:t xml:space="preserve">参可2:17。</w:t>
      </w:r>
    </w:p>
  </w:footnote>
  <w:footnote w:id="2559">
    <w:p>
      <w:pPr>
        <w:pStyle w:val="FootnoteText"/>
      </w:pPr>
      <w:r>
        <w:rPr>
          <w:rStyle w:val="FootnoteReference"/>
        </w:rPr>
        <w:footnoteRef/>
      </w:r>
      <w:r>
        <w:t xml:space="preserve"> </w:t>
      </w:r>
      <w:r>
        <w:t xml:space="preserve">太25:36。</w:t>
      </w:r>
    </w:p>
  </w:footnote>
  <w:footnote w:id="2560">
    <w:p>
      <w:pPr>
        <w:pStyle w:val="FootnoteText"/>
      </w:pPr>
      <w:r>
        <w:rPr>
          <w:rStyle w:val="FootnoteReference"/>
        </w:rPr>
        <w:footnoteRef/>
      </w:r>
      <w:r>
        <w:t xml:space="preserve"> </w:t>
      </w:r>
      <w:r>
        <w:t xml:space="preserve">参可5:34,36；9:23。</w:t>
      </w:r>
    </w:p>
  </w:footnote>
  <w:footnote w:id="2561">
    <w:p>
      <w:pPr>
        <w:pStyle w:val="FootnoteText"/>
      </w:pPr>
      <w:r>
        <w:rPr>
          <w:rStyle w:val="FootnoteReference"/>
        </w:rPr>
        <w:footnoteRef/>
      </w:r>
      <w:r>
        <w:t xml:space="preserve"> </w:t>
      </w:r>
      <w:r>
        <w:t xml:space="preserve">参可7:32-36；8:22-25。</w:t>
      </w:r>
    </w:p>
  </w:footnote>
  <w:footnote w:id="2562">
    <w:p>
      <w:pPr>
        <w:pStyle w:val="FootnoteText"/>
      </w:pPr>
      <w:r>
        <w:rPr>
          <w:rStyle w:val="FootnoteReference"/>
        </w:rPr>
        <w:footnoteRef/>
      </w:r>
      <w:r>
        <w:t xml:space="preserve"> </w:t>
      </w:r>
      <w:r>
        <w:t xml:space="preserve">参约9:6-7。</w:t>
      </w:r>
    </w:p>
  </w:footnote>
  <w:footnote w:id="2563">
    <w:p>
      <w:pPr>
        <w:pStyle w:val="FootnoteText"/>
      </w:pPr>
      <w:r>
        <w:rPr>
          <w:rStyle w:val="FootnoteReference"/>
        </w:rPr>
        <w:footnoteRef/>
      </w:r>
      <w:r>
        <w:t xml:space="preserve"> </w:t>
      </w:r>
      <w:r>
        <w:t xml:space="preserve">路6:19；参可1:41；3:10；6:56。</w:t>
      </w:r>
    </w:p>
  </w:footnote>
  <w:footnote w:id="2564">
    <w:p>
      <w:pPr>
        <w:pStyle w:val="FootnoteText"/>
      </w:pPr>
      <w:r>
        <w:rPr>
          <w:rStyle w:val="FootnoteReference"/>
        </w:rPr>
        <w:footnoteRef/>
      </w:r>
      <w:r>
        <w:t xml:space="preserve"> </w:t>
      </w:r>
      <w:r>
        <w:t xml:space="preserve">太8:17；参赛53:4。</w:t>
      </w:r>
    </w:p>
  </w:footnote>
  <w:footnote w:id="2565">
    <w:p>
      <w:pPr>
        <w:pStyle w:val="FootnoteText"/>
      </w:pPr>
      <w:r>
        <w:rPr>
          <w:rStyle w:val="FootnoteReference"/>
        </w:rPr>
        <w:footnoteRef/>
      </w:r>
      <w:r>
        <w:t xml:space="preserve"> </w:t>
      </w:r>
      <w:r>
        <w:t xml:space="preserve">约1:29；参赛53:4-6。</w:t>
      </w:r>
    </w:p>
  </w:footnote>
  <w:footnote w:id="2566">
    <w:p>
      <w:pPr>
        <w:pStyle w:val="FootnoteText"/>
      </w:pPr>
      <w:r>
        <w:rPr>
          <w:rStyle w:val="FootnoteReference"/>
        </w:rPr>
        <w:footnoteRef/>
      </w:r>
      <w:r>
        <w:t xml:space="preserve"> </w:t>
      </w:r>
      <w:r>
        <w:t xml:space="preserve">参太10:38。</w:t>
      </w:r>
    </w:p>
  </w:footnote>
  <w:footnote w:id="2567">
    <w:p>
      <w:pPr>
        <w:pStyle w:val="FootnoteText"/>
      </w:pPr>
      <w:r>
        <w:rPr>
          <w:rStyle w:val="FootnoteReference"/>
        </w:rPr>
        <w:footnoteRef/>
      </w:r>
      <w:r>
        <w:t xml:space="preserve"> </w:t>
      </w:r>
      <w:r>
        <w:t xml:space="preserve">可6:12-13。</w:t>
      </w:r>
    </w:p>
  </w:footnote>
  <w:footnote w:id="2568">
    <w:p>
      <w:pPr>
        <w:pStyle w:val="FootnoteText"/>
      </w:pPr>
      <w:r>
        <w:rPr>
          <w:rStyle w:val="FootnoteReference"/>
        </w:rPr>
        <w:footnoteRef/>
      </w:r>
      <w:r>
        <w:t xml:space="preserve"> </w:t>
      </w:r>
      <w:r>
        <w:t xml:space="preserve">可16:17-18。</w:t>
      </w:r>
    </w:p>
  </w:footnote>
  <w:footnote w:id="2569">
    <w:p>
      <w:pPr>
        <w:pStyle w:val="FootnoteText"/>
      </w:pPr>
      <w:r>
        <w:rPr>
          <w:rStyle w:val="FootnoteReference"/>
        </w:rPr>
        <w:footnoteRef/>
      </w:r>
      <w:r>
        <w:t xml:space="preserve"> </w:t>
      </w:r>
      <w:r>
        <w:t xml:space="preserve">参徒9:34；14:3。</w:t>
      </w:r>
    </w:p>
  </w:footnote>
  <w:footnote w:id="2570">
    <w:p>
      <w:pPr>
        <w:pStyle w:val="FootnoteText"/>
      </w:pPr>
      <w:r>
        <w:rPr>
          <w:rStyle w:val="FootnoteReference"/>
        </w:rPr>
        <w:footnoteRef/>
      </w:r>
      <w:r>
        <w:t xml:space="preserve"> </w:t>
      </w:r>
      <w:r>
        <w:t xml:space="preserve">参太1:21；徒4:12。</w:t>
      </w:r>
    </w:p>
  </w:footnote>
  <w:footnote w:id="2571">
    <w:p>
      <w:pPr>
        <w:pStyle w:val="FootnoteText"/>
      </w:pPr>
      <w:r>
        <w:rPr>
          <w:rStyle w:val="FootnoteReference"/>
        </w:rPr>
        <w:footnoteRef/>
      </w:r>
      <w:r>
        <w:t xml:space="preserve"> </w:t>
      </w:r>
      <w:r>
        <w:t xml:space="preserve">参林前12:9,28,30。</w:t>
      </w:r>
    </w:p>
  </w:footnote>
  <w:footnote w:id="2572">
    <w:p>
      <w:pPr>
        <w:pStyle w:val="FootnoteText"/>
      </w:pPr>
      <w:r>
        <w:rPr>
          <w:rStyle w:val="FootnoteReference"/>
        </w:rPr>
        <w:footnoteRef/>
      </w:r>
      <w:r>
        <w:t xml:space="preserve"> </w:t>
      </w:r>
      <w:r>
        <w:t xml:space="preserve">林后12:9；西1:24。</w:t>
      </w:r>
    </w:p>
  </w:footnote>
  <w:footnote w:id="2573">
    <w:p>
      <w:pPr>
        <w:pStyle w:val="FootnoteText"/>
      </w:pPr>
      <w:r>
        <w:rPr>
          <w:rStyle w:val="FootnoteReference"/>
        </w:rPr>
        <w:footnoteRef/>
      </w:r>
      <w:r>
        <w:t xml:space="preserve"> </w:t>
      </w:r>
      <w:r>
        <w:t xml:space="preserve">太10:8。</w:t>
      </w:r>
    </w:p>
  </w:footnote>
  <w:footnote w:id="2574">
    <w:p>
      <w:pPr>
        <w:pStyle w:val="FootnoteText"/>
      </w:pPr>
      <w:r>
        <w:rPr>
          <w:rStyle w:val="FootnoteReference"/>
        </w:rPr>
        <w:footnoteRef/>
      </w:r>
      <w:r>
        <w:t xml:space="preserve"> </w:t>
      </w:r>
      <w:r>
        <w:t xml:space="preserve">参约6:54,58；林前11:30。</w:t>
      </w:r>
    </w:p>
  </w:footnote>
  <w:footnote w:id="2575">
    <w:p>
      <w:pPr>
        <w:pStyle w:val="FootnoteText"/>
      </w:pPr>
      <w:r>
        <w:rPr>
          <w:rStyle w:val="FootnoteReference"/>
        </w:rPr>
        <w:footnoteRef/>
      </w:r>
      <w:r>
        <w:t xml:space="preserve"> </w:t>
      </w:r>
      <w:r>
        <w:t xml:space="preserve">雅5:14-15。</w:t>
      </w:r>
    </w:p>
  </w:footnote>
  <w:footnote w:id="2576">
    <w:p>
      <w:pPr>
        <w:pStyle w:val="FootnoteText"/>
      </w:pPr>
      <w:r>
        <w:rPr>
          <w:rStyle w:val="FootnoteReference"/>
        </w:rPr>
        <w:footnoteRef/>
      </w:r>
      <w:r>
        <w:t xml:space="preserve"> </w:t>
      </w:r>
      <w:r>
        <w:t xml:space="preserve">参君士坦丁堡第二届大公会议（553年）DS 216；佛罗伦萨大公会议（1439年）1324-1325；特利腾大公会议（1551年）1695-1696；1716-1717。</w:t>
      </w:r>
    </w:p>
  </w:footnote>
  <w:footnote w:id="2577">
    <w:p>
      <w:pPr>
        <w:pStyle w:val="FootnoteText"/>
      </w:pPr>
      <w:r>
        <w:rPr>
          <w:rStyle w:val="FootnoteReference"/>
        </w:rPr>
        <w:footnoteRef/>
      </w:r>
      <w:r>
        <w:t xml:space="preserve"> </w:t>
      </w:r>
      <w:r>
        <w:t xml:space="preserve">特利腾大公会议（1551年）：DS 1695；参可6:13；雅5:14-15。</w:t>
      </w:r>
    </w:p>
  </w:footnote>
  <w:footnote w:id="2578">
    <w:p>
      <w:pPr>
        <w:pStyle w:val="FootnoteText"/>
      </w:pPr>
      <w:r>
        <w:rPr>
          <w:rStyle w:val="FootnoteReference"/>
        </w:rPr>
        <w:footnoteRef/>
      </w:r>
      <w:r>
        <w:t xml:space="preserve"> </w:t>
      </w:r>
      <w:r>
        <w:t xml:space="preserve">参特利腾大公会议（1551年）：DS 1696。</w:t>
      </w:r>
    </w:p>
  </w:footnote>
  <w:footnote w:id="2579">
    <w:p>
      <w:pPr>
        <w:pStyle w:val="FootnoteText"/>
      </w:pPr>
      <w:r>
        <w:rPr>
          <w:rStyle w:val="FootnoteReference"/>
        </w:rPr>
        <w:footnoteRef/>
      </w:r>
      <w:r>
        <w:t xml:space="preserve"> </w:t>
      </w:r>
      <w:r>
        <w:t xml:space="preserve">参《礼仪宪章》73。</w:t>
      </w:r>
    </w:p>
  </w:footnote>
  <w:footnote w:id="2580">
    <w:p>
      <w:pPr>
        <w:pStyle w:val="FootnoteText"/>
      </w:pPr>
      <w:r>
        <w:rPr>
          <w:rStyle w:val="FootnoteReference"/>
        </w:rPr>
        <w:footnoteRef/>
      </w:r>
      <w:r>
        <w:t xml:space="preserve"> </w:t>
      </w:r>
      <w:r>
        <w:t xml:space="preserve">保禄六世，《病人傅油圣事》宗座宪章，1972年11月30日。</w:t>
      </w:r>
    </w:p>
  </w:footnote>
  <w:footnote w:id="2581">
    <w:p>
      <w:pPr>
        <w:pStyle w:val="FootnoteText"/>
      </w:pPr>
      <w:r>
        <w:rPr>
          <w:rStyle w:val="FootnoteReference"/>
        </w:rPr>
        <w:footnoteRef/>
      </w:r>
      <w:r>
        <w:t xml:space="preserve"> </w:t>
      </w:r>
      <w:r>
        <w:t xml:space="preserve">参《教会法典》第847条1项。</w:t>
      </w:r>
    </w:p>
  </w:footnote>
  <w:footnote w:id="2583">
    <w:p>
      <w:pPr>
        <w:pStyle w:val="FootnoteText"/>
      </w:pPr>
      <w:r>
        <w:rPr>
          <w:rStyle w:val="FootnoteReference"/>
        </w:rPr>
        <w:footnoteRef/>
      </w:r>
      <w:r>
        <w:t xml:space="preserve"> </w:t>
      </w:r>
      <w:r>
        <w:t xml:space="preserve">《礼仪宪章》73；参《教会法典》第1004条1项、1005条、1007条；《东方教会法典》第738条。</w:t>
      </w:r>
    </w:p>
  </w:footnote>
  <w:footnote w:id="2584">
    <w:p>
      <w:pPr>
        <w:pStyle w:val="FootnoteText"/>
      </w:pPr>
      <w:r>
        <w:rPr>
          <w:rStyle w:val="FootnoteReference"/>
        </w:rPr>
        <w:footnoteRef/>
      </w:r>
      <w:r>
        <w:t xml:space="preserve"> </w:t>
      </w:r>
      <w:r>
        <w:t xml:space="preserve">参特利腾大公会议（1551年）：DS 1697；1719；《教会法典》第1003条；《东方教会法典》第739条1项。</w:t>
      </w:r>
    </w:p>
  </w:footnote>
  <w:footnote w:id="2586">
    <w:p>
      <w:pPr>
        <w:pStyle w:val="FootnoteText"/>
      </w:pPr>
      <w:r>
        <w:rPr>
          <w:rStyle w:val="FootnoteReference"/>
        </w:rPr>
        <w:footnoteRef/>
      </w:r>
      <w:r>
        <w:t xml:space="preserve"> </w:t>
      </w:r>
      <w:r>
        <w:t xml:space="preserve">参《礼仪宪章》27。</w:t>
      </w:r>
    </w:p>
  </w:footnote>
  <w:footnote w:id="2587">
    <w:p>
      <w:pPr>
        <w:pStyle w:val="FootnoteText"/>
      </w:pPr>
      <w:r>
        <w:rPr>
          <w:rStyle w:val="FootnoteReference"/>
        </w:rPr>
        <w:footnoteRef/>
      </w:r>
      <w:r>
        <w:t xml:space="preserve"> </w:t>
      </w:r>
      <w:r>
        <w:t xml:space="preserve">雅5:14。</w:t>
      </w:r>
    </w:p>
  </w:footnote>
  <w:footnote w:id="2588">
    <w:p>
      <w:pPr>
        <w:pStyle w:val="FootnoteText"/>
      </w:pPr>
      <w:r>
        <w:rPr>
          <w:rStyle w:val="FootnoteReference"/>
        </w:rPr>
        <w:footnoteRef/>
      </w:r>
      <w:r>
        <w:t xml:space="preserve"> </w:t>
      </w:r>
      <w:r>
        <w:t xml:space="preserve">参雅5:15。</w:t>
      </w:r>
    </w:p>
  </w:footnote>
  <w:footnote w:id="2590">
    <w:p>
      <w:pPr>
        <w:pStyle w:val="FootnoteText"/>
      </w:pPr>
      <w:r>
        <w:rPr>
          <w:rStyle w:val="FootnoteReference"/>
        </w:rPr>
        <w:footnoteRef/>
      </w:r>
      <w:r>
        <w:t xml:space="preserve"> </w:t>
      </w:r>
      <w:r>
        <w:t xml:space="preserve">参来2:15。</w:t>
      </w:r>
    </w:p>
  </w:footnote>
  <w:footnote w:id="2591">
    <w:p>
      <w:pPr>
        <w:pStyle w:val="FootnoteText"/>
      </w:pPr>
      <w:r>
        <w:rPr>
          <w:rStyle w:val="FootnoteReference"/>
        </w:rPr>
        <w:footnoteRef/>
      </w:r>
      <w:r>
        <w:t xml:space="preserve"> </w:t>
      </w:r>
      <w:r>
        <w:t xml:space="preserve">参佛罗伦萨大公会议（1439年）：DS 1325。</w:t>
      </w:r>
    </w:p>
  </w:footnote>
  <w:footnote w:id="2592">
    <w:p>
      <w:pPr>
        <w:pStyle w:val="FootnoteText"/>
      </w:pPr>
      <w:r>
        <w:rPr>
          <w:rStyle w:val="FootnoteReference"/>
        </w:rPr>
        <w:footnoteRef/>
      </w:r>
      <w:r>
        <w:t xml:space="preserve"> </w:t>
      </w:r>
      <w:r>
        <w:t xml:space="preserve">雅5:15；参特利腾大公会议（1551年）：DS 1717。</w:t>
      </w:r>
    </w:p>
  </w:footnote>
  <w:footnote w:id="2593">
    <w:p>
      <w:pPr>
        <w:pStyle w:val="FootnoteText"/>
      </w:pPr>
      <w:r>
        <w:rPr>
          <w:rStyle w:val="FootnoteReference"/>
        </w:rPr>
        <w:footnoteRef/>
      </w:r>
      <w:r>
        <w:t xml:space="preserve"> </w:t>
      </w:r>
      <w:r>
        <w:t xml:space="preserve">《教会宪章》11条2项。</w:t>
      </w:r>
    </w:p>
  </w:footnote>
  <w:footnote w:id="2594">
    <w:p>
      <w:pPr>
        <w:pStyle w:val="FootnoteText"/>
      </w:pPr>
      <w:r>
        <w:rPr>
          <w:rStyle w:val="FootnoteReference"/>
        </w:rPr>
        <w:footnoteRef/>
      </w:r>
      <w:r>
        <w:t xml:space="preserve"> </w:t>
      </w:r>
      <w:r>
        <w:t xml:space="preserve">特利腾大公会议（1551年）：DS 1698。</w:t>
      </w:r>
    </w:p>
  </w:footnote>
  <w:footnote w:id="2595">
    <w:p>
      <w:pPr>
        <w:pStyle w:val="FootnoteText"/>
      </w:pPr>
      <w:r>
        <w:rPr>
          <w:rStyle w:val="FootnoteReference"/>
        </w:rPr>
        <w:footnoteRef/>
      </w:r>
      <w:r>
        <w:t xml:space="preserve"> </w:t>
      </w:r>
      <w:r>
        <w:t xml:space="preserve">特利腾大公会议（1551年）：DS 1694。</w:t>
      </w:r>
    </w:p>
  </w:footnote>
  <w:footnote w:id="2597">
    <w:p>
      <w:pPr>
        <w:pStyle w:val="FootnoteText"/>
      </w:pPr>
      <w:r>
        <w:rPr>
          <w:rStyle w:val="FootnoteReference"/>
        </w:rPr>
        <w:footnoteRef/>
      </w:r>
      <w:r>
        <w:t xml:space="preserve"> </w:t>
      </w:r>
      <w:r>
        <w:t xml:space="preserve">约6:54。</w:t>
      </w:r>
    </w:p>
  </w:footnote>
  <w:footnote w:id="2598">
    <w:p>
      <w:pPr>
        <w:pStyle w:val="FootnoteText"/>
      </w:pPr>
      <w:r>
        <w:rPr>
          <w:rStyle w:val="FootnoteReference"/>
        </w:rPr>
        <w:footnoteRef/>
      </w:r>
      <w:r>
        <w:t xml:space="preserve"> </w:t>
      </w:r>
      <w:r>
        <w:t xml:space="preserve">参约13:1。</w:t>
      </w:r>
    </w:p>
  </w:footnote>
  <w:footnote w:id="2600">
    <w:p>
      <w:pPr>
        <w:pStyle w:val="FootnoteText"/>
      </w:pPr>
      <w:r>
        <w:rPr>
          <w:rStyle w:val="FootnoteReference"/>
        </w:rPr>
        <w:footnoteRef/>
      </w:r>
      <w:r>
        <w:t xml:space="preserve"> </w:t>
      </w:r>
      <w:r>
        <w:t xml:space="preserve">参特利腾大公会议（1551年）：DS 1697；1719；《教会法典》第1003条；《东方教会法典》第739条1项。</w:t>
      </w:r>
    </w:p>
  </w:footnote>
  <w:footnote w:id="2604">
    <w:p>
      <w:pPr>
        <w:pStyle w:val="FootnoteText"/>
      </w:pPr>
      <w:r>
        <w:rPr>
          <w:rStyle w:val="FootnoteReference"/>
        </w:rPr>
        <w:footnoteRef/>
      </w:r>
      <w:r>
        <w:t xml:space="preserve"> </w:t>
      </w:r>
      <w:r>
        <w:t xml:space="preserve">参《教会宪章》10。</w:t>
      </w:r>
    </w:p>
  </w:footnote>
  <w:footnote w:id="2605">
    <w:p>
      <w:pPr>
        <w:pStyle w:val="FootnoteText"/>
      </w:pPr>
      <w:r>
        <w:rPr>
          <w:rStyle w:val="FootnoteReference"/>
        </w:rPr>
        <w:footnoteRef/>
      </w:r>
      <w:r>
        <w:t xml:space="preserve"> </w:t>
      </w:r>
      <w:r>
        <w:t xml:space="preserve">《教会宪章》11条2款。</w:t>
      </w:r>
    </w:p>
  </w:footnote>
  <w:footnote w:id="2606">
    <w:p>
      <w:pPr>
        <w:pStyle w:val="FootnoteText"/>
      </w:pPr>
      <w:r>
        <w:rPr>
          <w:rStyle w:val="FootnoteReference"/>
        </w:rPr>
        <w:footnoteRef/>
      </w:r>
      <w:r>
        <w:t xml:space="preserve"> </w:t>
      </w:r>
      <w:r>
        <w:t xml:space="preserve">《教会在现代世界牧职宪章》48条2款。</w:t>
      </w:r>
    </w:p>
  </w:footnote>
  <w:footnote w:id="2607">
    <w:p>
      <w:pPr>
        <w:pStyle w:val="FootnoteText"/>
      </w:pPr>
      <w:r>
        <w:rPr>
          <w:rStyle w:val="FootnoteReference"/>
        </w:rPr>
        <w:footnoteRef/>
      </w:r>
      <w:r>
        <w:t xml:space="preserve"> </w:t>
      </w:r>
      <w:r>
        <w:t xml:space="preserve">参来5:6；7:11；诗110:4。</w:t>
      </w:r>
    </w:p>
  </w:footnote>
  <w:footnote w:id="2608">
    <w:p>
      <w:pPr>
        <w:pStyle w:val="FootnoteText"/>
      </w:pPr>
      <w:r>
        <w:rPr>
          <w:rStyle w:val="FootnoteReference"/>
        </w:rPr>
        <w:footnoteRef/>
      </w:r>
      <w:r>
        <w:t xml:space="preserve"> </w:t>
      </w:r>
      <w:r>
        <w:t xml:space="preserve">参《教会宪章》10。</w:t>
      </w:r>
    </w:p>
  </w:footnote>
  <w:footnote w:id="2610">
    <w:p>
      <w:pPr>
        <w:pStyle w:val="FootnoteText"/>
      </w:pPr>
      <w:r>
        <w:rPr>
          <w:rStyle w:val="FootnoteReference"/>
        </w:rPr>
        <w:footnoteRef/>
      </w:r>
      <w:r>
        <w:t xml:space="preserve"> </w:t>
      </w:r>
      <w:r>
        <w:t xml:space="preserve">出19:6；参赛61:6。</w:t>
      </w:r>
    </w:p>
  </w:footnote>
  <w:footnote w:id="2611">
    <w:p>
      <w:pPr>
        <w:pStyle w:val="FootnoteText"/>
      </w:pPr>
      <w:r>
        <w:rPr>
          <w:rStyle w:val="FootnoteReference"/>
        </w:rPr>
        <w:footnoteRef/>
      </w:r>
      <w:r>
        <w:t xml:space="preserve"> </w:t>
      </w:r>
      <w:r>
        <w:t xml:space="preserve">参民1:48-53；书13:33。</w:t>
      </w:r>
    </w:p>
  </w:footnote>
  <w:footnote w:id="2612">
    <w:p>
      <w:pPr>
        <w:pStyle w:val="FootnoteText"/>
      </w:pPr>
      <w:r>
        <w:rPr>
          <w:rStyle w:val="FootnoteReference"/>
        </w:rPr>
        <w:footnoteRef/>
      </w:r>
      <w:r>
        <w:t xml:space="preserve"> </w:t>
      </w:r>
      <w:r>
        <w:t xml:space="preserve">来5:1；参出29:1-30；利8。</w:t>
      </w:r>
    </w:p>
  </w:footnote>
  <w:footnote w:id="2613">
    <w:p>
      <w:pPr>
        <w:pStyle w:val="FootnoteText"/>
      </w:pPr>
      <w:r>
        <w:rPr>
          <w:rStyle w:val="FootnoteReference"/>
        </w:rPr>
        <w:footnoteRef/>
      </w:r>
      <w:r>
        <w:t xml:space="preserve"> </w:t>
      </w:r>
      <w:r>
        <w:t xml:space="preserve">参玛2:7-9。</w:t>
      </w:r>
    </w:p>
  </w:footnote>
  <w:footnote w:id="2614">
    <w:p>
      <w:pPr>
        <w:pStyle w:val="FootnoteText"/>
      </w:pPr>
      <w:r>
        <w:rPr>
          <w:rStyle w:val="FootnoteReference"/>
        </w:rPr>
        <w:footnoteRef/>
      </w:r>
      <w:r>
        <w:t xml:space="preserve"> </w:t>
      </w:r>
      <w:r>
        <w:t xml:space="preserve">参来5:3；7:27；10:1-4。</w:t>
      </w:r>
    </w:p>
  </w:footnote>
  <w:footnote w:id="2615">
    <w:p>
      <w:pPr>
        <w:pStyle w:val="FootnoteText"/>
      </w:pPr>
      <w:r>
        <w:rPr>
          <w:rStyle w:val="FootnoteReference"/>
        </w:rPr>
        <w:footnoteRef/>
      </w:r>
      <w:r>
        <w:t xml:space="preserve"> </w:t>
      </w:r>
      <w:r>
        <w:t xml:space="preserve">参民11:24-25。</w:t>
      </w:r>
    </w:p>
  </w:footnote>
  <w:footnote w:id="2616">
    <w:p>
      <w:pPr>
        <w:pStyle w:val="FootnoteText"/>
      </w:pPr>
      <w:r>
        <w:rPr>
          <w:rStyle w:val="FootnoteReference"/>
        </w:rPr>
        <w:footnoteRef/>
      </w:r>
      <w:r>
        <w:t xml:space="preserve"> </w:t>
      </w:r>
      <w:r>
        <w:t xml:space="preserve">《罗马主教礼书》，主教授职礼26，祝圣祷文。</w:t>
      </w:r>
    </w:p>
  </w:footnote>
  <w:footnote w:id="2617">
    <w:p>
      <w:pPr>
        <w:pStyle w:val="FootnoteText"/>
      </w:pPr>
      <w:r>
        <w:rPr>
          <w:rStyle w:val="FootnoteReference"/>
        </w:rPr>
        <w:footnoteRef/>
      </w:r>
      <w:r>
        <w:t xml:space="preserve"> </w:t>
      </w:r>
      <w:r>
        <w:t xml:space="preserve">《罗马主教礼书》，祭司授职礼22，祝圣祷文。</w:t>
      </w:r>
    </w:p>
  </w:footnote>
  <w:footnote w:id="2618">
    <w:p>
      <w:pPr>
        <w:pStyle w:val="FootnoteText"/>
      </w:pPr>
      <w:r>
        <w:rPr>
          <w:rStyle w:val="FootnoteReference"/>
        </w:rPr>
        <w:footnoteRef/>
      </w:r>
      <w:r>
        <w:t xml:space="preserve"> </w:t>
      </w:r>
      <w:r>
        <w:t xml:space="preserve">《罗马主教礼书》，执事授职礼21，祝圣祷文。</w:t>
      </w:r>
    </w:p>
  </w:footnote>
  <w:footnote w:id="2620">
    <w:p>
      <w:pPr>
        <w:pStyle w:val="FootnoteText"/>
      </w:pPr>
      <w:r>
        <w:rPr>
          <w:rStyle w:val="FootnoteReference"/>
        </w:rPr>
        <w:footnoteRef/>
      </w:r>
      <w:r>
        <w:t xml:space="preserve"> </w:t>
      </w:r>
      <w:r>
        <w:t xml:space="preserve">提前2:5。</w:t>
      </w:r>
    </w:p>
  </w:footnote>
  <w:footnote w:id="2621">
    <w:p>
      <w:pPr>
        <w:pStyle w:val="FootnoteText"/>
      </w:pPr>
      <w:r>
        <w:rPr>
          <w:rStyle w:val="FootnoteReference"/>
        </w:rPr>
        <w:footnoteRef/>
      </w:r>
      <w:r>
        <w:t xml:space="preserve"> </w:t>
      </w:r>
      <w:r>
        <w:t xml:space="preserve">来5:10；参6:20；创14:18。</w:t>
      </w:r>
    </w:p>
  </w:footnote>
  <w:footnote w:id="2622">
    <w:p>
      <w:pPr>
        <w:pStyle w:val="FootnoteText"/>
      </w:pPr>
      <w:r>
        <w:rPr>
          <w:rStyle w:val="FootnoteReference"/>
        </w:rPr>
        <w:footnoteRef/>
      </w:r>
      <w:r>
        <w:t xml:space="preserve"> </w:t>
      </w:r>
      <w:r>
        <w:t xml:space="preserve">来7:26。</w:t>
      </w:r>
    </w:p>
  </w:footnote>
  <w:footnote w:id="2623">
    <w:p>
      <w:pPr>
        <w:pStyle w:val="FootnoteText"/>
      </w:pPr>
      <w:r>
        <w:rPr>
          <w:rStyle w:val="FootnoteReference"/>
        </w:rPr>
        <w:footnoteRef/>
      </w:r>
      <w:r>
        <w:t xml:space="preserve"> </w:t>
      </w:r>
      <w:r>
        <w:t xml:space="preserve">来10:14。</w:t>
      </w:r>
    </w:p>
  </w:footnote>
  <w:footnote w:id="2624">
    <w:p>
      <w:pPr>
        <w:pStyle w:val="FootnoteText"/>
      </w:pPr>
      <w:r>
        <w:rPr>
          <w:rStyle w:val="FootnoteReference"/>
        </w:rPr>
        <w:footnoteRef/>
      </w:r>
      <w:r>
        <w:t xml:space="preserve"> </w:t>
      </w:r>
      <w:r>
        <w:t xml:space="preserve">圣托马斯阿奎那，《希伯来书注释》8,4。</w:t>
      </w:r>
    </w:p>
  </w:footnote>
  <w:footnote w:id="2626">
    <w:p>
      <w:pPr>
        <w:pStyle w:val="FootnoteText"/>
      </w:pPr>
      <w:r>
        <w:rPr>
          <w:rStyle w:val="FootnoteReference"/>
        </w:rPr>
        <w:footnoteRef/>
      </w:r>
      <w:r>
        <w:t xml:space="preserve"> </w:t>
      </w:r>
      <w:r>
        <w:t xml:space="preserve">启1:6；参启5:9-10；彼前2:5，9。</w:t>
      </w:r>
    </w:p>
  </w:footnote>
  <w:footnote w:id="2627">
    <w:p>
      <w:pPr>
        <w:pStyle w:val="FootnoteText"/>
      </w:pPr>
      <w:r>
        <w:rPr>
          <w:rStyle w:val="FootnoteReference"/>
        </w:rPr>
        <w:footnoteRef/>
      </w:r>
      <w:r>
        <w:t xml:space="preserve"> </w:t>
      </w:r>
      <w:r>
        <w:t xml:space="preserve">《教会宪章》10条1款。</w:t>
      </w:r>
    </w:p>
  </w:footnote>
  <w:footnote w:id="2628">
    <w:p>
      <w:pPr>
        <w:pStyle w:val="FootnoteText"/>
      </w:pPr>
      <w:r>
        <w:rPr>
          <w:rStyle w:val="FootnoteReference"/>
        </w:rPr>
        <w:footnoteRef/>
      </w:r>
      <w:r>
        <w:t xml:space="preserve"> </w:t>
      </w:r>
      <w:r>
        <w:t xml:space="preserve">《教会宪章》10条2款。</w:t>
      </w:r>
    </w:p>
  </w:footnote>
  <w:footnote w:id="2630">
    <w:p>
      <w:pPr>
        <w:pStyle w:val="FootnoteText"/>
      </w:pPr>
      <w:r>
        <w:rPr>
          <w:rStyle w:val="FootnoteReference"/>
        </w:rPr>
        <w:footnoteRef/>
      </w:r>
      <w:r>
        <w:t xml:space="preserve"> </w:t>
      </w:r>
      <w:r>
        <w:t xml:space="preserve">参《教会宪章》10；28；《礼仪宪章》33；《主教职务法令》11；《祭司职务与生活法令》2；6。</w:t>
      </w:r>
    </w:p>
  </w:footnote>
  <w:footnote w:id="2631">
    <w:p>
      <w:pPr>
        <w:pStyle w:val="FootnoteText"/>
      </w:pPr>
      <w:r>
        <w:rPr>
          <w:rStyle w:val="FootnoteReference"/>
        </w:rPr>
        <w:footnoteRef/>
      </w:r>
      <w:r>
        <w:t xml:space="preserve"> </w:t>
      </w:r>
      <w:r>
        <w:t xml:space="preserve">庇护十二世，《中保神》通谕：AAS，39（1947）548。</w:t>
      </w:r>
    </w:p>
  </w:footnote>
  <w:footnote w:id="2632">
    <w:p>
      <w:pPr>
        <w:pStyle w:val="FootnoteText"/>
      </w:pPr>
      <w:r>
        <w:rPr>
          <w:rStyle w:val="FootnoteReference"/>
        </w:rPr>
        <w:footnoteRef/>
      </w:r>
      <w:r>
        <w:t xml:space="preserve"> </w:t>
      </w:r>
      <w:r>
        <w:t xml:space="preserve">圣托马斯阿奎那，《神学大全》III，22，4c。</w:t>
      </w:r>
    </w:p>
  </w:footnote>
  <w:footnote w:id="2633">
    <w:p>
      <w:pPr>
        <w:pStyle w:val="FootnoteText"/>
      </w:pPr>
      <w:r>
        <w:rPr>
          <w:rStyle w:val="FootnoteReference"/>
        </w:rPr>
        <w:footnoteRef/>
      </w:r>
      <w:r>
        <w:t xml:space="preserve"> </w:t>
      </w:r>
      <w:r>
        <w:t xml:space="preserve">参《教会宪章》21。</w:t>
      </w:r>
    </w:p>
  </w:footnote>
  <w:footnote w:id="2634">
    <w:p>
      <w:pPr>
        <w:pStyle w:val="FootnoteText"/>
      </w:pPr>
      <w:r>
        <w:rPr>
          <w:rStyle w:val="FootnoteReference"/>
        </w:rPr>
        <w:footnoteRef/>
      </w:r>
      <w:r>
        <w:t xml:space="preserve"> </w:t>
      </w:r>
      <w:r>
        <w:t xml:space="preserve">安提阿的圣依纳爵，《致特拉勒人书》3，1：SCh 10，96；参《致马格内西亚人书》6，1：SCh 10，82-84。</w:t>
      </w:r>
    </w:p>
  </w:footnote>
  <w:footnote w:id="2635">
    <w:p>
      <w:pPr>
        <w:pStyle w:val="FootnoteText"/>
      </w:pPr>
      <w:r>
        <w:rPr>
          <w:rStyle w:val="FootnoteReference"/>
        </w:rPr>
        <w:footnoteRef/>
      </w:r>
      <w:r>
        <w:t xml:space="preserve"> </w:t>
      </w:r>
      <w:r>
        <w:t xml:space="preserve">《教会宪章》24。</w:t>
      </w:r>
    </w:p>
  </w:footnote>
  <w:footnote w:id="2636">
    <w:p>
      <w:pPr>
        <w:pStyle w:val="FootnoteText"/>
      </w:pPr>
      <w:r>
        <w:rPr>
          <w:rStyle w:val="FootnoteReference"/>
        </w:rPr>
        <w:footnoteRef/>
      </w:r>
      <w:r>
        <w:t xml:space="preserve"> </w:t>
      </w:r>
      <w:r>
        <w:t xml:space="preserve">参可10:43-45；彼前5:3。</w:t>
      </w:r>
    </w:p>
  </w:footnote>
  <w:footnote w:id="2637">
    <w:p>
      <w:pPr>
        <w:pStyle w:val="FootnoteText"/>
      </w:pPr>
      <w:r>
        <w:rPr>
          <w:rStyle w:val="FootnoteReference"/>
        </w:rPr>
        <w:footnoteRef/>
      </w:r>
      <w:r>
        <w:t xml:space="preserve"> </w:t>
      </w:r>
      <w:r>
        <w:t xml:space="preserve">圣约翰屈梭多模，《论祭司职》2，4：PG 48，636；参约21:15-17。</w:t>
      </w:r>
    </w:p>
  </w:footnote>
  <w:footnote w:id="2639">
    <w:p>
      <w:pPr>
        <w:pStyle w:val="FootnoteText"/>
      </w:pPr>
      <w:r>
        <w:rPr>
          <w:rStyle w:val="FootnoteReference"/>
        </w:rPr>
        <w:footnoteRef/>
      </w:r>
      <w:r>
        <w:t xml:space="preserve"> </w:t>
      </w:r>
      <w:r>
        <w:t xml:space="preserve">参《礼仪宪章》33；《教会宪章》10。</w:t>
      </w:r>
    </w:p>
  </w:footnote>
  <w:footnote w:id="2642">
    <w:p>
      <w:pPr>
        <w:pStyle w:val="FootnoteText"/>
      </w:pPr>
      <w:r>
        <w:rPr>
          <w:rStyle w:val="FootnoteReference"/>
        </w:rPr>
        <w:footnoteRef/>
      </w:r>
      <w:r>
        <w:t xml:space="preserve"> </w:t>
      </w:r>
      <w:r>
        <w:t xml:space="preserve">《教会宪章》28。</w:t>
      </w:r>
    </w:p>
  </w:footnote>
  <w:footnote w:id="2643">
    <w:p>
      <w:pPr>
        <w:pStyle w:val="FootnoteText"/>
      </w:pPr>
      <w:r>
        <w:rPr>
          <w:rStyle w:val="FootnoteReference"/>
        </w:rPr>
        <w:footnoteRef/>
      </w:r>
      <w:r>
        <w:t xml:space="preserve"> </w:t>
      </w:r>
      <w:r>
        <w:t xml:space="preserve">安提阿的圣依纳爵，《致特拉勒人书》3，1：SCh 10，96。</w:t>
      </w:r>
    </w:p>
  </w:footnote>
  <w:footnote w:id="2644">
    <w:p>
      <w:pPr>
        <w:pStyle w:val="FootnoteText"/>
      </w:pPr>
      <w:r>
        <w:rPr>
          <w:rStyle w:val="FootnoteReference"/>
        </w:rPr>
        <w:footnoteRef/>
      </w:r>
      <w:r>
        <w:t xml:space="preserve"> </w:t>
      </w:r>
      <w:r>
        <w:t xml:space="preserve">《教会宪章》20。</w:t>
      </w:r>
    </w:p>
  </w:footnote>
  <w:footnote w:id="2645">
    <w:p>
      <w:pPr>
        <w:pStyle w:val="FootnoteText"/>
      </w:pPr>
      <w:r>
        <w:rPr>
          <w:rStyle w:val="FootnoteReference"/>
        </w:rPr>
        <w:footnoteRef/>
      </w:r>
      <w:r>
        <w:t xml:space="preserve"> </w:t>
      </w:r>
      <w:r>
        <w:t xml:space="preserve">《教会宪章》21；参徒1:8；2:4；约20:22-23；提前4:14；提后1:6-7。</w:t>
      </w:r>
    </w:p>
  </w:footnote>
  <w:footnote w:id="2646">
    <w:p>
      <w:pPr>
        <w:pStyle w:val="FootnoteText"/>
      </w:pPr>
      <w:r>
        <w:rPr>
          <w:rStyle w:val="FootnoteReference"/>
        </w:rPr>
        <w:footnoteRef/>
      </w:r>
      <w:r>
        <w:t xml:space="preserve"> </w:t>
      </w:r>
      <w:r>
        <w:t xml:space="preserve">《教会宪章》21条2款。</w:t>
      </w:r>
    </w:p>
  </w:footnote>
  <w:footnote w:id="2647">
    <w:p>
      <w:pPr>
        <w:pStyle w:val="FootnoteText"/>
      </w:pPr>
      <w:r>
        <w:rPr>
          <w:rStyle w:val="FootnoteReference"/>
        </w:rPr>
        <w:footnoteRef/>
      </w:r>
      <w:r>
        <w:t xml:space="preserve"> </w:t>
      </w:r>
      <w:r>
        <w:t xml:space="preserve">《教会宪章》21。</w:t>
      </w:r>
    </w:p>
  </w:footnote>
  <w:footnote w:id="2648">
    <w:p>
      <w:pPr>
        <w:pStyle w:val="FootnoteText"/>
      </w:pPr>
      <w:r>
        <w:rPr>
          <w:rStyle w:val="FootnoteReference"/>
        </w:rPr>
        <w:footnoteRef/>
      </w:r>
      <w:r>
        <w:t xml:space="preserve"> </w:t>
      </w:r>
      <w:r>
        <w:t xml:space="preserve">《主教职务法令》2条2款。</w:t>
      </w:r>
    </w:p>
  </w:footnote>
  <w:footnote w:id="2649">
    <w:p>
      <w:pPr>
        <w:pStyle w:val="FootnoteText"/>
      </w:pPr>
      <w:r>
        <w:rPr>
          <w:rStyle w:val="FootnoteReference"/>
        </w:rPr>
        <w:footnoteRef/>
      </w:r>
      <w:r>
        <w:t xml:space="preserve"> </w:t>
      </w:r>
      <w:r>
        <w:t xml:space="preserve">《教会宪章》22。</w:t>
      </w:r>
    </w:p>
  </w:footnote>
  <w:footnote w:id="2650">
    <w:p>
      <w:pPr>
        <w:pStyle w:val="FootnoteText"/>
      </w:pPr>
      <w:r>
        <w:rPr>
          <w:rStyle w:val="FootnoteReference"/>
        </w:rPr>
        <w:footnoteRef/>
      </w:r>
      <w:r>
        <w:t xml:space="preserve"> </w:t>
      </w:r>
      <w:r>
        <w:t xml:space="preserve">参《教会宪章》22。</w:t>
      </w:r>
    </w:p>
  </w:footnote>
  <w:footnote w:id="2651">
    <w:p>
      <w:pPr>
        <w:pStyle w:val="FootnoteText"/>
      </w:pPr>
      <w:r>
        <w:rPr>
          <w:rStyle w:val="FootnoteReference"/>
        </w:rPr>
        <w:footnoteRef/>
      </w:r>
      <w:r>
        <w:t xml:space="preserve"> </w:t>
      </w:r>
      <w:r>
        <w:t xml:space="preserve">庇护十二世，《信心的恩赐》：AAS 49（1957）237；参《教会宪章》23；《主教职务法令》4；36；37；《教会传教工作法令》5；6；38。</w:t>
      </w:r>
    </w:p>
  </w:footnote>
  <w:footnote w:id="2652">
    <w:p>
      <w:pPr>
        <w:pStyle w:val="FootnoteText"/>
      </w:pPr>
      <w:r>
        <w:rPr>
          <w:rStyle w:val="FootnoteReference"/>
        </w:rPr>
        <w:footnoteRef/>
      </w:r>
      <w:r>
        <w:t xml:space="preserve"> </w:t>
      </w:r>
      <w:r>
        <w:t xml:space="preserve">参《礼仪宪章》41；《教会宪章》26。</w:t>
      </w:r>
    </w:p>
  </w:footnote>
  <w:footnote w:id="2654">
    <w:p>
      <w:pPr>
        <w:pStyle w:val="FootnoteText"/>
      </w:pPr>
      <w:r>
        <w:rPr>
          <w:rStyle w:val="FootnoteReference"/>
        </w:rPr>
        <w:footnoteRef/>
      </w:r>
      <w:r>
        <w:t xml:space="preserve"> </w:t>
      </w:r>
      <w:r>
        <w:t xml:space="preserve">《教会宪章》28；参约10:36。</w:t>
      </w:r>
    </w:p>
  </w:footnote>
  <w:footnote w:id="2655">
    <w:p>
      <w:pPr>
        <w:pStyle w:val="FootnoteText"/>
      </w:pPr>
      <w:r>
        <w:rPr>
          <w:rStyle w:val="FootnoteReference"/>
        </w:rPr>
        <w:footnoteRef/>
      </w:r>
      <w:r>
        <w:t xml:space="preserve"> </w:t>
      </w:r>
      <w:r>
        <w:t xml:space="preserve">《祭司职务与生活法令》2条2款。</w:t>
      </w:r>
    </w:p>
  </w:footnote>
  <w:footnote w:id="2656">
    <w:p>
      <w:pPr>
        <w:pStyle w:val="FootnoteText"/>
      </w:pPr>
      <w:r>
        <w:rPr>
          <w:rStyle w:val="FootnoteReference"/>
        </w:rPr>
        <w:footnoteRef/>
      </w:r>
      <w:r>
        <w:t xml:space="preserve"> </w:t>
      </w:r>
      <w:r>
        <w:t xml:space="preserve">《祭司职务与生活法令》2。</w:t>
      </w:r>
    </w:p>
  </w:footnote>
  <w:footnote w:id="2657">
    <w:p>
      <w:pPr>
        <w:pStyle w:val="FootnoteText"/>
      </w:pPr>
      <w:r>
        <w:rPr>
          <w:rStyle w:val="FootnoteReference"/>
        </w:rPr>
        <w:footnoteRef/>
      </w:r>
      <w:r>
        <w:t xml:space="preserve"> </w:t>
      </w:r>
      <w:r>
        <w:t xml:space="preserve">《教会宪章》28；参来5:1-10；7:24；9:11-28；依诺森一世，《致德肯提乌书》：PL 20，554A；纳齐安的圣额我略，《讲道集》2，22：PG 35，432B。</w:t>
      </w:r>
    </w:p>
  </w:footnote>
  <w:footnote w:id="2658">
    <w:p>
      <w:pPr>
        <w:pStyle w:val="FootnoteText"/>
      </w:pPr>
      <w:r>
        <w:rPr>
          <w:rStyle w:val="FootnoteReference"/>
        </w:rPr>
        <w:footnoteRef/>
      </w:r>
      <w:r>
        <w:t xml:space="preserve"> </w:t>
      </w:r>
      <w:r>
        <w:t xml:space="preserve">《祭司职务与生活法令》10；《祭司培养法令》20；参徒1:8。</w:t>
      </w:r>
    </w:p>
  </w:footnote>
  <w:footnote w:id="2659">
    <w:p>
      <w:pPr>
        <w:pStyle w:val="FootnoteText"/>
      </w:pPr>
      <w:r>
        <w:rPr>
          <w:rStyle w:val="FootnoteReference"/>
        </w:rPr>
        <w:footnoteRef/>
      </w:r>
      <w:r>
        <w:t xml:space="preserve"> </w:t>
      </w:r>
      <w:r>
        <w:t xml:space="preserve">《祭司培养法令》20。</w:t>
      </w:r>
    </w:p>
  </w:footnote>
  <w:footnote w:id="2660">
    <w:p>
      <w:pPr>
        <w:pStyle w:val="FootnoteText"/>
      </w:pPr>
      <w:r>
        <w:rPr>
          <w:rStyle w:val="FootnoteReference"/>
        </w:rPr>
        <w:footnoteRef/>
      </w:r>
      <w:r>
        <w:t xml:space="preserve"> </w:t>
      </w:r>
      <w:r>
        <w:t xml:space="preserve">《教会宪章》28；参林前11:26。</w:t>
      </w:r>
    </w:p>
  </w:footnote>
  <w:footnote w:id="2661">
    <w:p>
      <w:pPr>
        <w:pStyle w:val="FootnoteText"/>
      </w:pPr>
      <w:r>
        <w:rPr>
          <w:rStyle w:val="FootnoteReference"/>
        </w:rPr>
        <w:footnoteRef/>
      </w:r>
      <w:r>
        <w:t xml:space="preserve"> </w:t>
      </w:r>
      <w:r>
        <w:t xml:space="preserve">参《祭司职务与生活法令》2。</w:t>
      </w:r>
    </w:p>
  </w:footnote>
  <w:footnote w:id="2662">
    <w:p>
      <w:pPr>
        <w:pStyle w:val="FootnoteText"/>
      </w:pPr>
      <w:r>
        <w:rPr>
          <w:rStyle w:val="FootnoteReference"/>
        </w:rPr>
        <w:footnoteRef/>
      </w:r>
      <w:r>
        <w:t xml:space="preserve"> </w:t>
      </w:r>
      <w:r>
        <w:t xml:space="preserve">《教会宪章》28条2款。</w:t>
      </w:r>
    </w:p>
  </w:footnote>
  <w:footnote w:id="2663">
    <w:p>
      <w:pPr>
        <w:pStyle w:val="FootnoteText"/>
      </w:pPr>
      <w:r>
        <w:rPr>
          <w:rStyle w:val="FootnoteReference"/>
        </w:rPr>
        <w:footnoteRef/>
      </w:r>
      <w:r>
        <w:t xml:space="preserve"> </w:t>
      </w:r>
      <w:r>
        <w:t xml:space="preserve">《祭司职务与生活法令》8。</w:t>
      </w:r>
    </w:p>
  </w:footnote>
  <w:footnote w:id="2665">
    <w:p>
      <w:pPr>
        <w:pStyle w:val="FootnoteText"/>
      </w:pPr>
      <w:r>
        <w:rPr>
          <w:rStyle w:val="FootnoteReference"/>
        </w:rPr>
        <w:footnoteRef/>
      </w:r>
      <w:r>
        <w:t xml:space="preserve"> </w:t>
      </w:r>
      <w:r>
        <w:t xml:space="preserve">《教会宪章》29；参《主教职务法令》15。</w:t>
      </w:r>
    </w:p>
  </w:footnote>
  <w:footnote w:id="2666">
    <w:p>
      <w:pPr>
        <w:pStyle w:val="FootnoteText"/>
      </w:pPr>
      <w:r>
        <w:rPr>
          <w:rStyle w:val="FootnoteReference"/>
        </w:rPr>
        <w:footnoteRef/>
      </w:r>
      <w:r>
        <w:t xml:space="preserve"> </w:t>
      </w:r>
      <w:r>
        <w:t xml:space="preserve">参圣希波律陀，《使徒传统》8：SCh 11，58-62。</w:t>
      </w:r>
    </w:p>
  </w:footnote>
  <w:footnote w:id="2667">
    <w:p>
      <w:pPr>
        <w:pStyle w:val="FootnoteText"/>
      </w:pPr>
      <w:r>
        <w:rPr>
          <w:rStyle w:val="FootnoteReference"/>
        </w:rPr>
        <w:footnoteRef/>
      </w:r>
      <w:r>
        <w:t xml:space="preserve"> </w:t>
      </w:r>
      <w:r>
        <w:t xml:space="preserve">参《教会宪章》41；《教友传教法令》16。</w:t>
      </w:r>
    </w:p>
  </w:footnote>
  <w:footnote w:id="2668">
    <w:p>
      <w:pPr>
        <w:pStyle w:val="FootnoteText"/>
      </w:pPr>
      <w:r>
        <w:rPr>
          <w:rStyle w:val="FootnoteReference"/>
        </w:rPr>
        <w:footnoteRef/>
      </w:r>
      <w:r>
        <w:t xml:space="preserve"> </w:t>
      </w:r>
      <w:r>
        <w:t xml:space="preserve">参可10:45；路22:27；圣坡旅甲，《致斐理伯人书》5,2：SCh 10,182。</w:t>
      </w:r>
    </w:p>
  </w:footnote>
  <w:footnote w:id="2669">
    <w:p>
      <w:pPr>
        <w:pStyle w:val="FootnoteText"/>
      </w:pPr>
      <w:r>
        <w:rPr>
          <w:rStyle w:val="FootnoteReference"/>
        </w:rPr>
        <w:footnoteRef/>
      </w:r>
      <w:r>
        <w:t xml:space="preserve"> </w:t>
      </w:r>
      <w:r>
        <w:t xml:space="preserve">参《教会宪章》29；《礼仪宪章》35条4款；《教会传教工作法令》16。</w:t>
      </w:r>
    </w:p>
  </w:footnote>
  <w:footnote w:id="2670">
    <w:p>
      <w:pPr>
        <w:pStyle w:val="FootnoteText"/>
      </w:pPr>
      <w:r>
        <w:rPr>
          <w:rStyle w:val="FootnoteReference"/>
        </w:rPr>
        <w:footnoteRef/>
      </w:r>
      <w:r>
        <w:t xml:space="preserve"> </w:t>
      </w:r>
      <w:r>
        <w:t xml:space="preserve">《教会宪章》29条2款。</w:t>
      </w:r>
    </w:p>
  </w:footnote>
  <w:footnote w:id="2671">
    <w:p>
      <w:pPr>
        <w:pStyle w:val="FootnoteText"/>
      </w:pPr>
      <w:r>
        <w:rPr>
          <w:rStyle w:val="FootnoteReference"/>
        </w:rPr>
        <w:footnoteRef/>
      </w:r>
      <w:r>
        <w:t xml:space="preserve"> </w:t>
      </w:r>
      <w:r>
        <w:t xml:space="preserve">《教会传教工作法令》16条6款。</w:t>
      </w:r>
    </w:p>
  </w:footnote>
  <w:footnote w:id="2674">
    <w:p>
      <w:pPr>
        <w:pStyle w:val="FootnoteText"/>
      </w:pPr>
      <w:r>
        <w:rPr>
          <w:rStyle w:val="FootnoteReference"/>
        </w:rPr>
        <w:footnoteRef/>
      </w:r>
      <w:r>
        <w:t xml:space="preserve"> </w:t>
      </w:r>
      <w:r>
        <w:t xml:space="preserve">参庇护十二世，《圣秩圣事》宗座宪章：DS 3858。</w:t>
      </w:r>
    </w:p>
  </w:footnote>
  <w:footnote w:id="2676">
    <w:p>
      <w:pPr>
        <w:pStyle w:val="FootnoteText"/>
      </w:pPr>
      <w:r>
        <w:rPr>
          <w:rStyle w:val="FootnoteReference"/>
        </w:rPr>
        <w:footnoteRef/>
      </w:r>
      <w:r>
        <w:t xml:space="preserve"> </w:t>
      </w:r>
      <w:r>
        <w:t xml:space="preserve">参《罗马弥撒经书》，使徒颂谢词一。</w:t>
      </w:r>
    </w:p>
  </w:footnote>
  <w:footnote w:id="2677">
    <w:p>
      <w:pPr>
        <w:pStyle w:val="FootnoteText"/>
      </w:pPr>
      <w:r>
        <w:rPr>
          <w:rStyle w:val="FootnoteReference"/>
        </w:rPr>
        <w:footnoteRef/>
      </w:r>
      <w:r>
        <w:t xml:space="preserve"> </w:t>
      </w:r>
      <w:r>
        <w:t xml:space="preserve">参《教会宪章》21；弗4:11。</w:t>
      </w:r>
    </w:p>
  </w:footnote>
  <w:footnote w:id="2678">
    <w:p>
      <w:pPr>
        <w:pStyle w:val="FootnoteText"/>
      </w:pPr>
      <w:r>
        <w:rPr>
          <w:rStyle w:val="FootnoteReference"/>
        </w:rPr>
        <w:footnoteRef/>
      </w:r>
      <w:r>
        <w:t xml:space="preserve"> </w:t>
      </w:r>
      <w:r>
        <w:t xml:space="preserve">《教会宪章》21 §2。</w:t>
      </w:r>
    </w:p>
  </w:footnote>
  <w:footnote w:id="2679">
    <w:p>
      <w:pPr>
        <w:pStyle w:val="FootnoteText"/>
      </w:pPr>
      <w:r>
        <w:rPr>
          <w:rStyle w:val="FootnoteReference"/>
        </w:rPr>
        <w:footnoteRef/>
      </w:r>
      <w:r>
        <w:t xml:space="preserve"> </w:t>
      </w:r>
      <w:r>
        <w:t xml:space="preserve">《教会宪章》20。</w:t>
      </w:r>
    </w:p>
  </w:footnote>
  <w:footnote w:id="2680">
    <w:p>
      <w:pPr>
        <w:pStyle w:val="FootnoteText"/>
      </w:pPr>
      <w:r>
        <w:rPr>
          <w:rStyle w:val="FootnoteReference"/>
        </w:rPr>
        <w:footnoteRef/>
      </w:r>
      <w:r>
        <w:t xml:space="preserve"> </w:t>
      </w:r>
      <w:r>
        <w:t xml:space="preserve">参DS 794及DS 802；《拉丁教会法典》1012条；《东方教会法典》744条；747条。</w:t>
      </w:r>
    </w:p>
  </w:footnote>
  <w:footnote w:id="2682">
    <w:p>
      <w:pPr>
        <w:pStyle w:val="FootnoteText"/>
      </w:pPr>
      <w:r>
        <w:rPr>
          <w:rStyle w:val="FootnoteReference"/>
        </w:rPr>
        <w:footnoteRef/>
      </w:r>
      <w:r>
        <w:t xml:space="preserve"> </w:t>
      </w:r>
      <w:r>
        <w:t xml:space="preserve">《教会法典》1024条。</w:t>
      </w:r>
    </w:p>
  </w:footnote>
  <w:footnote w:id="2683">
    <w:p>
      <w:pPr>
        <w:pStyle w:val="FootnoteText"/>
      </w:pPr>
      <w:r>
        <w:rPr>
          <w:rStyle w:val="FootnoteReference"/>
        </w:rPr>
        <w:footnoteRef/>
      </w:r>
      <w:r>
        <w:t xml:space="preserve"> </w:t>
      </w:r>
      <w:r>
        <w:t xml:space="preserve">参可3:14-19；路6:12-16；提前3:1-13；提后1:6；多1:5-9；罗马的圣革利免，《致格林多人书》42,4；44,3：PG 1,292-293；300。</w:t>
      </w:r>
    </w:p>
  </w:footnote>
  <w:footnote w:id="2684">
    <w:p>
      <w:pPr>
        <w:pStyle w:val="FootnoteText"/>
      </w:pPr>
      <w:r>
        <w:rPr>
          <w:rStyle w:val="FootnoteReference"/>
        </w:rPr>
        <w:footnoteRef/>
      </w:r>
      <w:r>
        <w:t xml:space="preserve"> </w:t>
      </w:r>
      <w:r>
        <w:t xml:space="preserve">参若望保禄二世，《妇女的尊严》26-27；信理部声明，《Inter insigniores》：AAS 69（1977）98-116。</w:t>
      </w:r>
    </w:p>
  </w:footnote>
  <w:footnote w:id="2685">
    <w:p>
      <w:pPr>
        <w:pStyle w:val="FootnoteText"/>
      </w:pPr>
      <w:r>
        <w:rPr>
          <w:rStyle w:val="FootnoteReference"/>
        </w:rPr>
        <w:footnoteRef/>
      </w:r>
      <w:r>
        <w:t xml:space="preserve"> </w:t>
      </w:r>
      <w:r>
        <w:t xml:space="preserve">参来5:4。</w:t>
      </w:r>
    </w:p>
  </w:footnote>
  <w:footnote w:id="2686">
    <w:p>
      <w:pPr>
        <w:pStyle w:val="FootnoteText"/>
      </w:pPr>
      <w:r>
        <w:rPr>
          <w:rStyle w:val="FootnoteReference"/>
        </w:rPr>
        <w:footnoteRef/>
      </w:r>
      <w:r>
        <w:t xml:space="preserve"> </w:t>
      </w:r>
      <w:r>
        <w:t xml:space="preserve">太19:12。</w:t>
      </w:r>
    </w:p>
  </w:footnote>
  <w:footnote w:id="2687">
    <w:p>
      <w:pPr>
        <w:pStyle w:val="FootnoteText"/>
      </w:pPr>
      <w:r>
        <w:rPr>
          <w:rStyle w:val="FootnoteReference"/>
        </w:rPr>
        <w:footnoteRef/>
      </w:r>
      <w:r>
        <w:t xml:space="preserve"> </w:t>
      </w:r>
      <w:r>
        <w:t xml:space="preserve">林前7:32。</w:t>
      </w:r>
    </w:p>
  </w:footnote>
  <w:footnote w:id="2688">
    <w:p>
      <w:pPr>
        <w:pStyle w:val="FootnoteText"/>
      </w:pPr>
      <w:r>
        <w:rPr>
          <w:rStyle w:val="FootnoteReference"/>
        </w:rPr>
        <w:footnoteRef/>
      </w:r>
      <w:r>
        <w:t xml:space="preserve"> </w:t>
      </w:r>
      <w:r>
        <w:t xml:space="preserve">参《祭司职务与生活法令》16。</w:t>
      </w:r>
    </w:p>
  </w:footnote>
  <w:footnote w:id="2689">
    <w:p>
      <w:pPr>
        <w:pStyle w:val="FootnoteText"/>
      </w:pPr>
      <w:r>
        <w:rPr>
          <w:rStyle w:val="FootnoteReference"/>
        </w:rPr>
        <w:footnoteRef/>
      </w:r>
      <w:r>
        <w:t xml:space="preserve"> </w:t>
      </w:r>
      <w:r>
        <w:t xml:space="preserve">参《祭司职务与生活法令》16。</w:t>
      </w:r>
    </w:p>
  </w:footnote>
  <w:footnote w:id="2691">
    <w:p>
      <w:pPr>
        <w:pStyle w:val="FootnoteText"/>
      </w:pPr>
      <w:r>
        <w:rPr>
          <w:rStyle w:val="FootnoteReference"/>
        </w:rPr>
        <w:footnoteRef/>
      </w:r>
      <w:r>
        <w:t xml:space="preserve"> </w:t>
      </w:r>
      <w:r>
        <w:t xml:space="preserve">参特利腾大公会议：DS 1767；《教会宪章》21；28；29；《祭司职务与生活法令》2。</w:t>
      </w:r>
    </w:p>
  </w:footnote>
  <w:footnote w:id="2692">
    <w:p>
      <w:pPr>
        <w:pStyle w:val="FootnoteText"/>
      </w:pPr>
      <w:r>
        <w:rPr>
          <w:rStyle w:val="FootnoteReference"/>
        </w:rPr>
        <w:footnoteRef/>
      </w:r>
      <w:r>
        <w:t xml:space="preserve"> </w:t>
      </w:r>
      <w:r>
        <w:t xml:space="preserve">参《教会法典》290-293条；1336条1款3°，5°，1338条2款；特利腾大公会议：DS 1774。</w:t>
      </w:r>
    </w:p>
  </w:footnote>
  <w:footnote w:id="2693">
    <w:p>
      <w:pPr>
        <w:pStyle w:val="FootnoteText"/>
      </w:pPr>
      <w:r>
        <w:rPr>
          <w:rStyle w:val="FootnoteReference"/>
        </w:rPr>
        <w:footnoteRef/>
      </w:r>
      <w:r>
        <w:t xml:space="preserve"> </w:t>
      </w:r>
      <w:r>
        <w:t xml:space="preserve">参特利腾大公会议：DS 1612；DS 1154。</w:t>
      </w:r>
    </w:p>
  </w:footnote>
  <w:footnote w:id="2694">
    <w:p>
      <w:pPr>
        <w:pStyle w:val="FootnoteText"/>
      </w:pPr>
      <w:r>
        <w:rPr>
          <w:rStyle w:val="FootnoteReference"/>
        </w:rPr>
        <w:footnoteRef/>
      </w:r>
      <w:r>
        <w:t xml:space="preserve"> </w:t>
      </w:r>
      <w:r>
        <w:t xml:space="preserve">圣奥古斯丁，《约翰福音注释》5,15：PL 35,1422。</w:t>
      </w:r>
    </w:p>
  </w:footnote>
  <w:footnote w:id="2696">
    <w:p>
      <w:pPr>
        <w:pStyle w:val="FootnoteText"/>
      </w:pPr>
      <w:r>
        <w:rPr>
          <w:rStyle w:val="FootnoteReference"/>
        </w:rPr>
        <w:footnoteRef/>
      </w:r>
      <w:r>
        <w:t xml:space="preserve"> </w:t>
      </w:r>
      <w:r>
        <w:t xml:space="preserve">参《罗马主教礼书》，主教授职礼26，祝圣祷文；参13；16。</w:t>
      </w:r>
    </w:p>
  </w:footnote>
  <w:footnote w:id="2697">
    <w:p>
      <w:pPr>
        <w:pStyle w:val="FootnoteText"/>
      </w:pPr>
      <w:r>
        <w:rPr>
          <w:rStyle w:val="FootnoteReference"/>
        </w:rPr>
        <w:footnoteRef/>
      </w:r>
      <w:r>
        <w:t xml:space="preserve"> </w:t>
      </w:r>
      <w:r>
        <w:t xml:space="preserve">《罗马礼典》，主教祝圣事26，祝圣祷文；参圣希波吕托，《使徒传承》3：SCh 11,44-46。</w:t>
      </w:r>
    </w:p>
  </w:footnote>
  <w:footnote w:id="2698">
    <w:p>
      <w:pPr>
        <w:pStyle w:val="FootnoteText"/>
      </w:pPr>
      <w:r>
        <w:rPr>
          <w:rStyle w:val="FootnoteReference"/>
        </w:rPr>
        <w:footnoteRef/>
      </w:r>
      <w:r>
        <w:t xml:space="preserve"> </w:t>
      </w:r>
      <w:r>
        <w:t xml:space="preserve">拜占庭礼仪，《圣事礼典》。</w:t>
      </w:r>
    </w:p>
  </w:footnote>
  <w:footnote w:id="2699">
    <w:p>
      <w:pPr>
        <w:pStyle w:val="FootnoteText"/>
      </w:pPr>
      <w:r>
        <w:rPr>
          <w:rStyle w:val="FootnoteReference"/>
        </w:rPr>
        <w:footnoteRef/>
      </w:r>
      <w:r>
        <w:t xml:space="preserve"> </w:t>
      </w:r>
      <w:r>
        <w:t xml:space="preserve">《教会宪章》29。</w:t>
      </w:r>
    </w:p>
  </w:footnote>
  <w:footnote w:id="2700">
    <w:p>
      <w:pPr>
        <w:pStyle w:val="FootnoteText"/>
      </w:pPr>
      <w:r>
        <w:rPr>
          <w:rStyle w:val="FootnoteReference"/>
        </w:rPr>
        <w:footnoteRef/>
      </w:r>
      <w:r>
        <w:t xml:space="preserve"> </w:t>
      </w:r>
      <w:r>
        <w:t xml:space="preserve">纳齐安的圣额我略，《讲道集》2,71,74,73：PG 35,480-481。</w:t>
      </w:r>
    </w:p>
  </w:footnote>
  <w:footnote w:id="2701">
    <w:p>
      <w:pPr>
        <w:pStyle w:val="FootnoteText"/>
      </w:pPr>
      <w:r>
        <w:rPr>
          <w:rStyle w:val="FootnoteReference"/>
        </w:rPr>
        <w:footnoteRef/>
      </w:r>
      <w:r>
        <w:t xml:space="preserve"> </w:t>
      </w:r>
      <w:r>
        <w:t xml:space="preserve">圣约翰维雅纳，引自B. Nodet，《亚尔斯本堂神父约翰马利亚维雅纳》，100。</w:t>
      </w:r>
    </w:p>
  </w:footnote>
  <w:footnote w:id="2706">
    <w:p>
      <w:pPr>
        <w:pStyle w:val="FootnoteText"/>
      </w:pPr>
      <w:r>
        <w:rPr>
          <w:rStyle w:val="FootnoteReference"/>
        </w:rPr>
        <w:footnoteRef/>
      </w:r>
      <w:r>
        <w:t xml:space="preserve"> </w:t>
      </w:r>
      <w:r>
        <w:t xml:space="preserve">《教会法典》，法条 1055 § 1；参《牧职宪章》48 § 1。</w:t>
      </w:r>
    </w:p>
  </w:footnote>
  <w:footnote w:id="2707">
    <w:p>
      <w:pPr>
        <w:pStyle w:val="FootnoteText"/>
      </w:pPr>
      <w:r>
        <w:rPr>
          <w:rStyle w:val="FootnoteReference"/>
        </w:rPr>
        <w:footnoteRef/>
      </w:r>
      <w:r>
        <w:t xml:space="preserve"> </w:t>
      </w:r>
      <w:r>
        <w:t xml:space="preserve">启 19:7, 9；参创 1:26-27。</w:t>
      </w:r>
    </w:p>
  </w:footnote>
  <w:footnote w:id="2708">
    <w:p>
      <w:pPr>
        <w:pStyle w:val="FootnoteText"/>
      </w:pPr>
      <w:r>
        <w:rPr>
          <w:rStyle w:val="FootnoteReference"/>
        </w:rPr>
        <w:footnoteRef/>
      </w:r>
      <w:r>
        <w:t xml:space="preserve"> </w:t>
      </w:r>
      <w:r>
        <w:t xml:space="preserve">林前 7:39；参弗 5:31-32。</w:t>
      </w:r>
    </w:p>
  </w:footnote>
  <w:footnote w:id="2709">
    <w:p>
      <w:pPr>
        <w:pStyle w:val="FootnoteText"/>
      </w:pPr>
      <w:r>
        <w:rPr>
          <w:rStyle w:val="FootnoteReference"/>
        </w:rPr>
        <w:footnoteRef/>
      </w:r>
      <w:r>
        <w:t xml:space="preserve"> </w:t>
      </w:r>
      <w:r>
        <w:t xml:space="preserve">《牧职宪章》48 § 1。</w:t>
      </w:r>
    </w:p>
  </w:footnote>
  <w:footnote w:id="2710">
    <w:p>
      <w:pPr>
        <w:pStyle w:val="FootnoteText"/>
      </w:pPr>
      <w:r>
        <w:rPr>
          <w:rStyle w:val="FootnoteReference"/>
        </w:rPr>
        <w:footnoteRef/>
      </w:r>
      <w:r>
        <w:t xml:space="preserve"> </w:t>
      </w:r>
      <w:r>
        <w:t xml:space="preserve">参《牧职宪章》47 § 2。</w:t>
      </w:r>
    </w:p>
  </w:footnote>
  <w:footnote w:id="2711">
    <w:p>
      <w:pPr>
        <w:pStyle w:val="FootnoteText"/>
      </w:pPr>
      <w:r>
        <w:rPr>
          <w:rStyle w:val="FootnoteReference"/>
        </w:rPr>
        <w:footnoteRef/>
      </w:r>
      <w:r>
        <w:t xml:space="preserve"> </w:t>
      </w:r>
      <w:r>
        <w:t xml:space="preserve">《牧职宪章》47 § 1。</w:t>
      </w:r>
    </w:p>
  </w:footnote>
  <w:footnote w:id="2712">
    <w:p>
      <w:pPr>
        <w:pStyle w:val="FootnoteText"/>
      </w:pPr>
      <w:r>
        <w:rPr>
          <w:rStyle w:val="FootnoteReference"/>
        </w:rPr>
        <w:footnoteRef/>
      </w:r>
      <w:r>
        <w:t xml:space="preserve"> </w:t>
      </w:r>
      <w:r>
        <w:t xml:space="preserve">参创 1:27；约一 4:8, 16。</w:t>
      </w:r>
    </w:p>
  </w:footnote>
  <w:footnote w:id="2713">
    <w:p>
      <w:pPr>
        <w:pStyle w:val="FootnoteText"/>
      </w:pPr>
      <w:r>
        <w:rPr>
          <w:rStyle w:val="FootnoteReference"/>
        </w:rPr>
        <w:footnoteRef/>
      </w:r>
      <w:r>
        <w:t xml:space="preserve"> </w:t>
      </w:r>
      <w:r>
        <w:t xml:space="preserve">创 1:28；参 1:31。</w:t>
      </w:r>
    </w:p>
  </w:footnote>
  <w:footnote w:id="2714">
    <w:p>
      <w:pPr>
        <w:pStyle w:val="FootnoteText"/>
      </w:pPr>
      <w:r>
        <w:rPr>
          <w:rStyle w:val="FootnoteReference"/>
        </w:rPr>
        <w:footnoteRef/>
      </w:r>
      <w:r>
        <w:t xml:space="preserve"> </w:t>
      </w:r>
      <w:r>
        <w:t xml:space="preserve">创2:18。</w:t>
      </w:r>
    </w:p>
  </w:footnote>
  <w:footnote w:id="2715">
    <w:p>
      <w:pPr>
        <w:pStyle w:val="FootnoteText"/>
      </w:pPr>
      <w:r>
        <w:rPr>
          <w:rStyle w:val="FootnoteReference"/>
        </w:rPr>
        <w:footnoteRef/>
      </w:r>
      <w:r>
        <w:t xml:space="preserve"> </w:t>
      </w:r>
      <w:r>
        <w:t xml:space="preserve">参创2:18-25。</w:t>
      </w:r>
    </w:p>
  </w:footnote>
  <w:footnote w:id="2716">
    <w:p>
      <w:pPr>
        <w:pStyle w:val="FootnoteText"/>
      </w:pPr>
      <w:r>
        <w:rPr>
          <w:rStyle w:val="FootnoteReference"/>
        </w:rPr>
        <w:footnoteRef/>
      </w:r>
      <w:r>
        <w:t xml:space="preserve"> </w:t>
      </w:r>
      <w:r>
        <w:t xml:space="preserve">创2:24。</w:t>
      </w:r>
    </w:p>
  </w:footnote>
  <w:footnote w:id="2717">
    <w:p>
      <w:pPr>
        <w:pStyle w:val="FootnoteText"/>
      </w:pPr>
      <w:r>
        <w:rPr>
          <w:rStyle w:val="FootnoteReference"/>
        </w:rPr>
        <w:footnoteRef/>
      </w:r>
      <w:r>
        <w:t xml:space="preserve"> </w:t>
      </w:r>
      <w:r>
        <w:t xml:space="preserve">太19:6。</w:t>
      </w:r>
    </w:p>
  </w:footnote>
  <w:footnote w:id="2719">
    <w:p>
      <w:pPr>
        <w:pStyle w:val="FootnoteText"/>
      </w:pPr>
      <w:r>
        <w:rPr>
          <w:rStyle w:val="FootnoteReference"/>
        </w:rPr>
        <w:footnoteRef/>
      </w:r>
      <w:r>
        <w:t xml:space="preserve"> </w:t>
      </w:r>
      <w:r>
        <w:t xml:space="preserve">参创3:12。</w:t>
      </w:r>
    </w:p>
  </w:footnote>
  <w:footnote w:id="2720">
    <w:p>
      <w:pPr>
        <w:pStyle w:val="FootnoteText"/>
      </w:pPr>
      <w:r>
        <w:rPr>
          <w:rStyle w:val="FootnoteReference"/>
        </w:rPr>
        <w:footnoteRef/>
      </w:r>
      <w:r>
        <w:t xml:space="preserve"> </w:t>
      </w:r>
      <w:r>
        <w:t xml:space="preserve">参创2:22；3:16。</w:t>
      </w:r>
    </w:p>
  </w:footnote>
  <w:footnote w:id="2721">
    <w:p>
      <w:pPr>
        <w:pStyle w:val="FootnoteText"/>
      </w:pPr>
      <w:r>
        <w:rPr>
          <w:rStyle w:val="FootnoteReference"/>
        </w:rPr>
        <w:footnoteRef/>
      </w:r>
      <w:r>
        <w:t xml:space="preserve"> </w:t>
      </w:r>
      <w:r>
        <w:t xml:space="preserve">参创1:28；3:16-19。</w:t>
      </w:r>
    </w:p>
  </w:footnote>
  <w:footnote w:id="2722">
    <w:p>
      <w:pPr>
        <w:pStyle w:val="FootnoteText"/>
      </w:pPr>
      <w:r>
        <w:rPr>
          <w:rStyle w:val="FootnoteReference"/>
        </w:rPr>
        <w:footnoteRef/>
      </w:r>
      <w:r>
        <w:t xml:space="preserve"> </w:t>
      </w:r>
      <w:r>
        <w:t xml:space="preserve">参创 3:21。</w:t>
      </w:r>
    </w:p>
  </w:footnote>
  <w:footnote w:id="2724">
    <w:p>
      <w:pPr>
        <w:pStyle w:val="FootnoteText"/>
      </w:pPr>
      <w:r>
        <w:rPr>
          <w:rStyle w:val="FootnoteReference"/>
        </w:rPr>
        <w:footnoteRef/>
      </w:r>
      <w:r>
        <w:t xml:space="preserve"> </w:t>
      </w:r>
      <w:r>
        <w:t xml:space="preserve">《创世记》3:16, 19。</w:t>
      </w:r>
    </w:p>
  </w:footnote>
  <w:footnote w:id="2725">
    <w:p>
      <w:pPr>
        <w:pStyle w:val="FootnoteText"/>
      </w:pPr>
      <w:r>
        <w:rPr>
          <w:rStyle w:val="FootnoteReference"/>
        </w:rPr>
        <w:footnoteRef/>
      </w:r>
      <w:r>
        <w:t xml:space="preserve"> </w:t>
      </w:r>
      <w:r>
        <w:t xml:space="preserve">参《马太福音》19:8；《申命记》24:1。</w:t>
      </w:r>
    </w:p>
  </w:footnote>
  <w:footnote w:id="2726">
    <w:p>
      <w:pPr>
        <w:pStyle w:val="FootnoteText"/>
      </w:pPr>
      <w:r>
        <w:rPr>
          <w:rStyle w:val="FootnoteReference"/>
        </w:rPr>
        <w:footnoteRef/>
      </w:r>
      <w:r>
        <w:t xml:space="preserve"> </w:t>
      </w:r>
      <w:r>
        <w:t xml:space="preserve">参《何西阿书》1-3；《以赛亚书》54；62；《耶利米书》2-3；31；《以西结书》16；23；《玛拉基书》2:13-17。</w:t>
      </w:r>
    </w:p>
  </w:footnote>
  <w:footnote w:id="2727">
    <w:p>
      <w:pPr>
        <w:pStyle w:val="FootnoteText"/>
      </w:pPr>
      <w:r>
        <w:rPr>
          <w:rStyle w:val="FootnoteReference"/>
        </w:rPr>
        <w:footnoteRef/>
      </w:r>
      <w:r>
        <w:t xml:space="preserve"> </w:t>
      </w:r>
      <w:r>
        <w:t xml:space="preserve">《雅歌》8:6-7。</w:t>
      </w:r>
    </w:p>
  </w:footnote>
  <w:footnote w:id="2729">
    <w:p>
      <w:pPr>
        <w:pStyle w:val="FootnoteText"/>
      </w:pPr>
      <w:r>
        <w:rPr>
          <w:rStyle w:val="FootnoteReference"/>
        </w:rPr>
        <w:footnoteRef/>
      </w:r>
      <w:r>
        <w:t xml:space="preserve"> </w:t>
      </w:r>
      <w:r>
        <w:t xml:space="preserve">启 19:7,9；参《牧职宪章》22。</w:t>
      </w:r>
    </w:p>
  </w:footnote>
  <w:footnote w:id="2730">
    <w:p>
      <w:pPr>
        <w:pStyle w:val="FootnoteText"/>
      </w:pPr>
      <w:r>
        <w:rPr>
          <w:rStyle w:val="FootnoteReference"/>
        </w:rPr>
        <w:footnoteRef/>
      </w:r>
      <w:r>
        <w:t xml:space="preserve"> </w:t>
      </w:r>
      <w:r>
        <w:t xml:space="preserve">参约 2:1-11。</w:t>
      </w:r>
    </w:p>
  </w:footnote>
  <w:footnote w:id="2731">
    <w:p>
      <w:pPr>
        <w:pStyle w:val="FootnoteText"/>
      </w:pPr>
      <w:r>
        <w:rPr>
          <w:rStyle w:val="FootnoteReference"/>
        </w:rPr>
        <w:footnoteRef/>
      </w:r>
      <w:r>
        <w:t xml:space="preserve"> </w:t>
      </w:r>
      <w:r>
        <w:t xml:space="preserve">参太 19:8。</w:t>
      </w:r>
    </w:p>
  </w:footnote>
  <w:footnote w:id="2732">
    <w:p>
      <w:pPr>
        <w:pStyle w:val="FootnoteText"/>
      </w:pPr>
      <w:r>
        <w:rPr>
          <w:rStyle w:val="FootnoteReference"/>
        </w:rPr>
        <w:footnoteRef/>
      </w:r>
      <w:r>
        <w:t xml:space="preserve"> </w:t>
      </w:r>
      <w:r>
        <w:t xml:space="preserve">太 19:6。</w:t>
      </w:r>
    </w:p>
  </w:footnote>
  <w:footnote w:id="2733">
    <w:p>
      <w:pPr>
        <w:pStyle w:val="FootnoteText"/>
      </w:pPr>
      <w:r>
        <w:rPr>
          <w:rStyle w:val="FootnoteReference"/>
        </w:rPr>
        <w:footnoteRef/>
      </w:r>
      <w:r>
        <w:t xml:space="preserve"> </w:t>
      </w:r>
      <w:r>
        <w:t xml:space="preserve">参可 8:34；太 11:29-30。</w:t>
      </w:r>
    </w:p>
  </w:footnote>
  <w:footnote w:id="2734">
    <w:p>
      <w:pPr>
        <w:pStyle w:val="FootnoteText"/>
      </w:pPr>
      <w:r>
        <w:rPr>
          <w:rStyle w:val="FootnoteReference"/>
        </w:rPr>
        <w:footnoteRef/>
      </w:r>
      <w:r>
        <w:t xml:space="preserve"> </w:t>
      </w:r>
      <w:r>
        <w:t xml:space="preserve">参太 19:11。</w:t>
      </w:r>
    </w:p>
  </w:footnote>
  <w:footnote w:id="2735">
    <w:p>
      <w:pPr>
        <w:pStyle w:val="FootnoteText"/>
      </w:pPr>
      <w:r>
        <w:rPr>
          <w:rStyle w:val="FootnoteReference"/>
        </w:rPr>
        <w:footnoteRef/>
      </w:r>
      <w:r>
        <w:t xml:space="preserve"> </w:t>
      </w:r>
      <w:r>
        <w:t xml:space="preserve">弗 5:25-26,31-32；参 创 2:24。</w:t>
      </w:r>
    </w:p>
  </w:footnote>
  <w:footnote w:id="2736">
    <w:p>
      <w:pPr>
        <w:pStyle w:val="FootnoteText"/>
      </w:pPr>
      <w:r>
        <w:rPr>
          <w:rStyle w:val="FootnoteReference"/>
        </w:rPr>
        <w:footnoteRef/>
      </w:r>
      <w:r>
        <w:t xml:space="preserve"> </w:t>
      </w:r>
      <w:r>
        <w:t xml:space="preserve">参弗 5:26-27。</w:t>
      </w:r>
    </w:p>
  </w:footnote>
  <w:footnote w:id="2737">
    <w:p>
      <w:pPr>
        <w:pStyle w:val="FootnoteText"/>
      </w:pPr>
      <w:r>
        <w:rPr>
          <w:rStyle w:val="FootnoteReference"/>
        </w:rPr>
        <w:footnoteRef/>
      </w:r>
      <w:r>
        <w:t xml:space="preserve"> </w:t>
      </w:r>
      <w:r>
        <w:t xml:space="preserve">参DS 1800；CIC，Can. 1055 § 2。</w:t>
      </w:r>
    </w:p>
  </w:footnote>
  <w:footnote w:id="2739">
    <w:p>
      <w:pPr>
        <w:pStyle w:val="FootnoteText"/>
      </w:pPr>
      <w:r>
        <w:rPr>
          <w:rStyle w:val="FootnoteReference"/>
        </w:rPr>
        <w:footnoteRef/>
      </w:r>
      <w:r>
        <w:t xml:space="preserve"> </w:t>
      </w:r>
      <w:r>
        <w:t xml:space="preserve">参路14:26；可10:28-31。</w:t>
      </w:r>
    </w:p>
  </w:footnote>
  <w:footnote w:id="2740">
    <w:p>
      <w:pPr>
        <w:pStyle w:val="FootnoteText"/>
      </w:pPr>
      <w:r>
        <w:rPr>
          <w:rStyle w:val="FootnoteReference"/>
        </w:rPr>
        <w:footnoteRef/>
      </w:r>
      <w:r>
        <w:t xml:space="preserve"> </w:t>
      </w:r>
      <w:r>
        <w:t xml:space="preserve">参启14:4；林前7:32；太2:56。</w:t>
      </w:r>
    </w:p>
  </w:footnote>
  <w:footnote w:id="2741">
    <w:p>
      <w:pPr>
        <w:pStyle w:val="FootnoteText"/>
      </w:pPr>
      <w:r>
        <w:rPr>
          <w:rStyle w:val="FootnoteReference"/>
        </w:rPr>
        <w:footnoteRef/>
      </w:r>
      <w:r>
        <w:t xml:space="preserve"> </w:t>
      </w:r>
      <w:r>
        <w:t xml:space="preserve">太 19:12。</w:t>
      </w:r>
    </w:p>
  </w:footnote>
  <w:footnote w:id="2742">
    <w:p>
      <w:pPr>
        <w:pStyle w:val="FootnoteText"/>
      </w:pPr>
      <w:r>
        <w:rPr>
          <w:rStyle w:val="FootnoteReference"/>
        </w:rPr>
        <w:footnoteRef/>
      </w:r>
      <w:r>
        <w:t xml:space="preserve"> </w:t>
      </w:r>
      <w:r>
        <w:t xml:space="preserve">参可 12:25；林前 7:31。</w:t>
      </w:r>
    </w:p>
  </w:footnote>
  <w:footnote w:id="2743">
    <w:p>
      <w:pPr>
        <w:pStyle w:val="FootnoteText"/>
      </w:pPr>
      <w:r>
        <w:rPr>
          <w:rStyle w:val="FootnoteReference"/>
        </w:rPr>
        <w:footnoteRef/>
      </w:r>
      <w:r>
        <w:t xml:space="preserve"> </w:t>
      </w:r>
      <w:r>
        <w:t xml:space="preserve">参太 19:3-12。</w:t>
      </w:r>
    </w:p>
  </w:footnote>
  <w:footnote w:id="2744">
    <w:p>
      <w:pPr>
        <w:pStyle w:val="FootnoteText"/>
      </w:pPr>
      <w:r>
        <w:rPr>
          <w:rStyle w:val="FootnoteReference"/>
        </w:rPr>
        <w:footnoteRef/>
      </w:r>
      <w:r>
        <w:t xml:space="preserve"> </w:t>
      </w:r>
      <w:r>
        <w:t xml:space="preserve">参《教会宪章》42；《修会生活革新法令》12；《祭司培养法令》10。</w:t>
      </w:r>
    </w:p>
  </w:footnote>
  <w:footnote w:id="2745">
    <w:p>
      <w:pPr>
        <w:pStyle w:val="FootnoteText"/>
      </w:pPr>
      <w:r>
        <w:rPr>
          <w:rStyle w:val="FootnoteReference"/>
        </w:rPr>
        <w:footnoteRef/>
      </w:r>
      <w:r>
        <w:t xml:space="preserve"> </w:t>
      </w:r>
      <w:r>
        <w:t xml:space="preserve">圣屈梭多模，《论童贞》10,1：PG 48,540；参若望保禄二世，《家庭团体》16。</w:t>
      </w:r>
    </w:p>
  </w:footnote>
  <w:footnote w:id="2748">
    <w:p>
      <w:pPr>
        <w:pStyle w:val="FootnoteText"/>
      </w:pPr>
      <w:r>
        <w:rPr>
          <w:rStyle w:val="FootnoteReference"/>
        </w:rPr>
        <w:footnoteRef/>
      </w:r>
      <w:r>
        <w:t xml:space="preserve"> </w:t>
      </w:r>
      <w:r>
        <w:t xml:space="preserve">参《礼仪宪章》61。</w:t>
      </w:r>
    </w:p>
  </w:footnote>
  <w:footnote w:id="2749">
    <w:p>
      <w:pPr>
        <w:pStyle w:val="FootnoteText"/>
      </w:pPr>
      <w:r>
        <w:rPr>
          <w:rStyle w:val="FootnoteReference"/>
        </w:rPr>
        <w:footnoteRef/>
      </w:r>
      <w:r>
        <w:t xml:space="preserve"> </w:t>
      </w:r>
      <w:r>
        <w:t xml:space="preserve">参《教会宪章》6。</w:t>
      </w:r>
    </w:p>
  </w:footnote>
  <w:footnote w:id="2750">
    <w:p>
      <w:pPr>
        <w:pStyle w:val="FootnoteText"/>
      </w:pPr>
      <w:r>
        <w:rPr>
          <w:rStyle w:val="FootnoteReference"/>
        </w:rPr>
        <w:footnoteRef/>
      </w:r>
      <w:r>
        <w:t xml:space="preserve"> </w:t>
      </w:r>
      <w:r>
        <w:t xml:space="preserve">参 林前 10:17。</w:t>
      </w:r>
    </w:p>
  </w:footnote>
  <w:footnote w:id="2751">
    <w:p>
      <w:pPr>
        <w:pStyle w:val="FootnoteText"/>
      </w:pPr>
      <w:r>
        <w:rPr>
          <w:rStyle w:val="FootnoteReference"/>
        </w:rPr>
        <w:footnoteRef/>
      </w:r>
      <w:r>
        <w:t xml:space="preserve"> </w:t>
      </w:r>
      <w:r>
        <w:t xml:space="preserve">《家庭团体》67。</w:t>
      </w:r>
    </w:p>
  </w:footnote>
  <w:footnote w:id="2752">
    <w:p>
      <w:pPr>
        <w:pStyle w:val="FootnoteText"/>
      </w:pPr>
      <w:r>
        <w:rPr>
          <w:rStyle w:val="FootnoteReference"/>
        </w:rPr>
        <w:footnoteRef/>
      </w:r>
      <w:r>
        <w:t xml:space="preserve"> </w:t>
      </w:r>
      <w:r>
        <w:t xml:space="preserve">参《东方教会法典》，法条 817。</w:t>
      </w:r>
    </w:p>
  </w:footnote>
  <w:footnote w:id="2753">
    <w:p>
      <w:pPr>
        <w:pStyle w:val="FootnoteText"/>
      </w:pPr>
      <w:r>
        <w:rPr>
          <w:rStyle w:val="FootnoteReference"/>
        </w:rPr>
        <w:footnoteRef/>
      </w:r>
      <w:r>
        <w:t xml:space="preserve"> </w:t>
      </w:r>
      <w:r>
        <w:t xml:space="preserve">参《东方教会法典》，法条 828。</w:t>
      </w:r>
    </w:p>
  </w:footnote>
  <w:footnote w:id="2754">
    <w:p>
      <w:pPr>
        <w:pStyle w:val="FootnoteText"/>
      </w:pPr>
      <w:r>
        <w:rPr>
          <w:rStyle w:val="FootnoteReference"/>
        </w:rPr>
        <w:footnoteRef/>
      </w:r>
      <w:r>
        <w:t xml:space="preserve"> </w:t>
      </w:r>
      <w:r>
        <w:t xml:space="preserve">参弗 5:32。</w:t>
      </w:r>
    </w:p>
  </w:footnote>
  <w:footnote w:id="2756">
    <w:p>
      <w:pPr>
        <w:pStyle w:val="FootnoteText"/>
      </w:pPr>
      <w:r>
        <w:rPr>
          <w:rStyle w:val="FootnoteReference"/>
        </w:rPr>
        <w:footnoteRef/>
      </w:r>
      <w:r>
        <w:t xml:space="preserve"> </w:t>
      </w:r>
      <w:r>
        <w:t xml:space="preserve">《教会法典》，法条 1057 § 1。</w:t>
      </w:r>
    </w:p>
  </w:footnote>
  <w:footnote w:id="2757">
    <w:p>
      <w:pPr>
        <w:pStyle w:val="FootnoteText"/>
      </w:pPr>
      <w:r>
        <w:rPr>
          <w:rStyle w:val="FootnoteReference"/>
        </w:rPr>
        <w:footnoteRef/>
      </w:r>
      <w:r>
        <w:t xml:space="preserve"> </w:t>
      </w:r>
      <w:r>
        <w:t xml:space="preserve">《牧职宪章》48 § 1；《婚姻庆典》45；参《教会法典》，法条 1057 § 2。</w:t>
      </w:r>
    </w:p>
  </w:footnote>
  <w:footnote w:id="2758">
    <w:p>
      <w:pPr>
        <w:pStyle w:val="FootnoteText"/>
      </w:pPr>
      <w:r>
        <w:rPr>
          <w:rStyle w:val="FootnoteReference"/>
        </w:rPr>
        <w:footnoteRef/>
      </w:r>
      <w:r>
        <w:t xml:space="preserve"> </w:t>
      </w:r>
      <w:r>
        <w:t xml:space="preserve">创 2:24；参太 19:8；弗 5:31。</w:t>
      </w:r>
    </w:p>
  </w:footnote>
  <w:footnote w:id="2759">
    <w:p>
      <w:pPr>
        <w:pStyle w:val="FootnoteText"/>
      </w:pPr>
      <w:r>
        <w:rPr>
          <w:rStyle w:val="FootnoteReference"/>
        </w:rPr>
        <w:footnoteRef/>
      </w:r>
      <w:r>
        <w:t xml:space="preserve"> </w:t>
      </w:r>
      <w:r>
        <w:t xml:space="preserve">参《教会法典》，法条 1103。</w:t>
      </w:r>
    </w:p>
  </w:footnote>
  <w:footnote w:id="2760">
    <w:p>
      <w:pPr>
        <w:pStyle w:val="FootnoteText"/>
      </w:pPr>
      <w:r>
        <w:rPr>
          <w:rStyle w:val="FootnoteReference"/>
        </w:rPr>
        <w:footnoteRef/>
      </w:r>
      <w:r>
        <w:t xml:space="preserve"> </w:t>
      </w:r>
      <w:r>
        <w:t xml:space="preserve">参《教会法典》，法条 1057 § 1。</w:t>
      </w:r>
    </w:p>
  </w:footnote>
  <w:footnote w:id="2761">
    <w:p>
      <w:pPr>
        <w:pStyle w:val="FootnoteText"/>
      </w:pPr>
      <w:r>
        <w:rPr>
          <w:rStyle w:val="FootnoteReference"/>
        </w:rPr>
        <w:footnoteRef/>
      </w:r>
      <w:r>
        <w:t xml:space="preserve"> </w:t>
      </w:r>
      <w:r>
        <w:t xml:space="preserve">参《教会法典》，法条 1095-1107。</w:t>
      </w:r>
    </w:p>
  </w:footnote>
  <w:footnote w:id="2762">
    <w:p>
      <w:pPr>
        <w:pStyle w:val="FootnoteText"/>
      </w:pPr>
      <w:r>
        <w:rPr>
          <w:rStyle w:val="FootnoteReference"/>
        </w:rPr>
        <w:footnoteRef/>
      </w:r>
      <w:r>
        <w:t xml:space="preserve"> </w:t>
      </w:r>
      <w:r>
        <w:t xml:space="preserve">参《教会法典》，法条 1071。</w:t>
      </w:r>
    </w:p>
  </w:footnote>
  <w:footnote w:id="2763">
    <w:p>
      <w:pPr>
        <w:pStyle w:val="FootnoteText"/>
      </w:pPr>
      <w:r>
        <w:rPr>
          <w:rStyle w:val="FootnoteReference"/>
        </w:rPr>
        <w:footnoteRef/>
      </w:r>
      <w:r>
        <w:t xml:space="preserve"> </w:t>
      </w:r>
      <w:r>
        <w:t xml:space="preserve">参特利腾大公会议：DS 1813-1816；《教会法典》，法条 1108。</w:t>
      </w:r>
    </w:p>
  </w:footnote>
  <w:footnote w:id="2764">
    <w:p>
      <w:pPr>
        <w:pStyle w:val="FootnoteText"/>
      </w:pPr>
      <w:r>
        <w:rPr>
          <w:rStyle w:val="FootnoteReference"/>
        </w:rPr>
        <w:footnoteRef/>
      </w:r>
      <w:r>
        <w:t xml:space="preserve"> </w:t>
      </w:r>
      <w:r>
        <w:t xml:space="preserve">参《教会法典》，法条 1063。</w:t>
      </w:r>
    </w:p>
  </w:footnote>
  <w:footnote w:id="2765">
    <w:p>
      <w:pPr>
        <w:pStyle w:val="FootnoteText"/>
      </w:pPr>
      <w:r>
        <w:rPr>
          <w:rStyle w:val="FootnoteReference"/>
        </w:rPr>
        <w:footnoteRef/>
      </w:r>
      <w:r>
        <w:t xml:space="preserve"> </w:t>
      </w:r>
      <w:r>
        <w:t xml:space="preserve">《牧职宪章》49 § 3。</w:t>
      </w:r>
    </w:p>
  </w:footnote>
  <w:footnote w:id="2766">
    <w:p>
      <w:pPr>
        <w:pStyle w:val="FootnoteText"/>
      </w:pPr>
      <w:r>
        <w:rPr>
          <w:rStyle w:val="FootnoteReference"/>
        </w:rPr>
        <w:footnoteRef/>
      </w:r>
      <w:r>
        <w:t xml:space="preserve"> </w:t>
      </w:r>
      <w:r>
        <w:t xml:space="preserve">参《教会法典》，法条 1124。</w:t>
      </w:r>
    </w:p>
  </w:footnote>
  <w:footnote w:id="2767">
    <w:p>
      <w:pPr>
        <w:pStyle w:val="FootnoteText"/>
      </w:pPr>
      <w:r>
        <w:rPr>
          <w:rStyle w:val="FootnoteReference"/>
        </w:rPr>
        <w:footnoteRef/>
      </w:r>
      <w:r>
        <w:t xml:space="preserve"> </w:t>
      </w:r>
      <w:r>
        <w:t xml:space="preserve">参《教会法典》，法条 1086。</w:t>
      </w:r>
    </w:p>
  </w:footnote>
  <w:footnote w:id="2768">
    <w:p>
      <w:pPr>
        <w:pStyle w:val="FootnoteText"/>
      </w:pPr>
      <w:r>
        <w:rPr>
          <w:rStyle w:val="FootnoteReference"/>
        </w:rPr>
        <w:footnoteRef/>
      </w:r>
      <w:r>
        <w:t xml:space="preserve"> </w:t>
      </w:r>
      <w:r>
        <w:t xml:space="preserve">参《教会法典》，法条 1125。</w:t>
      </w:r>
    </w:p>
  </w:footnote>
  <w:footnote w:id="2769">
    <w:p>
      <w:pPr>
        <w:pStyle w:val="FootnoteText"/>
      </w:pPr>
      <w:r>
        <w:rPr>
          <w:rStyle w:val="FootnoteReference"/>
        </w:rPr>
        <w:footnoteRef/>
      </w:r>
      <w:r>
        <w:t xml:space="preserve"> </w:t>
      </w:r>
      <w:r>
        <w:t xml:space="preserve">林前 7:14。</w:t>
      </w:r>
    </w:p>
  </w:footnote>
  <w:footnote w:id="2770">
    <w:p>
      <w:pPr>
        <w:pStyle w:val="FootnoteText"/>
      </w:pPr>
      <w:r>
        <w:rPr>
          <w:rStyle w:val="FootnoteReference"/>
        </w:rPr>
        <w:footnoteRef/>
      </w:r>
      <w:r>
        <w:t xml:space="preserve"> </w:t>
      </w:r>
      <w:r>
        <w:t xml:space="preserve">参林前 7:16。</w:t>
      </w:r>
    </w:p>
  </w:footnote>
  <w:footnote w:id="2773">
    <w:p>
      <w:pPr>
        <w:pStyle w:val="FootnoteText"/>
      </w:pPr>
      <w:r>
        <w:rPr>
          <w:rStyle w:val="FootnoteReference"/>
        </w:rPr>
        <w:footnoteRef/>
      </w:r>
      <w:r>
        <w:t xml:space="preserve"> </w:t>
      </w:r>
      <w:r>
        <w:t xml:space="preserve">参《教会法典》，法条 1134。</w:t>
      </w:r>
    </w:p>
  </w:footnote>
  <w:footnote w:id="2774">
    <w:p>
      <w:pPr>
        <w:pStyle w:val="FootnoteText"/>
      </w:pPr>
      <w:r>
        <w:rPr>
          <w:rStyle w:val="FootnoteReference"/>
        </w:rPr>
        <w:footnoteRef/>
      </w:r>
      <w:r>
        <w:t xml:space="preserve"> </w:t>
      </w:r>
      <w:r>
        <w:t xml:space="preserve">参可 10:9。</w:t>
      </w:r>
    </w:p>
  </w:footnote>
  <w:footnote w:id="2775">
    <w:p>
      <w:pPr>
        <w:pStyle w:val="FootnoteText"/>
      </w:pPr>
      <w:r>
        <w:rPr>
          <w:rStyle w:val="FootnoteReference"/>
        </w:rPr>
        <w:footnoteRef/>
      </w:r>
      <w:r>
        <w:t xml:space="preserve"> </w:t>
      </w:r>
      <w:r>
        <w:t xml:space="preserve">《牧职宪章》48 § 1。</w:t>
      </w:r>
    </w:p>
  </w:footnote>
  <w:footnote w:id="2776">
    <w:p>
      <w:pPr>
        <w:pStyle w:val="FootnoteText"/>
      </w:pPr>
      <w:r>
        <w:rPr>
          <w:rStyle w:val="FootnoteReference"/>
        </w:rPr>
        <w:footnoteRef/>
      </w:r>
      <w:r>
        <w:t xml:space="preserve"> </w:t>
      </w:r>
      <w:r>
        <w:t xml:space="preserve">《牧职宪章》48 § 2。</w:t>
      </w:r>
    </w:p>
  </w:footnote>
  <w:footnote w:id="2777">
    <w:p>
      <w:pPr>
        <w:pStyle w:val="FootnoteText"/>
      </w:pPr>
      <w:r>
        <w:rPr>
          <w:rStyle w:val="FootnoteReference"/>
        </w:rPr>
        <w:footnoteRef/>
      </w:r>
      <w:r>
        <w:t xml:space="preserve"> </w:t>
      </w:r>
      <w:r>
        <w:t xml:space="preserve">参《教会法典》，法条 1141。</w:t>
      </w:r>
    </w:p>
  </w:footnote>
  <w:footnote w:id="2779">
    <w:p>
      <w:pPr>
        <w:pStyle w:val="FootnoteText"/>
      </w:pPr>
      <w:r>
        <w:rPr>
          <w:rStyle w:val="FootnoteReference"/>
        </w:rPr>
        <w:footnoteRef/>
      </w:r>
      <w:r>
        <w:t xml:space="preserve"> </w:t>
      </w:r>
      <w:r>
        <w:t xml:space="preserve">《教会宪章》11 § 2。</w:t>
      </w:r>
    </w:p>
  </w:footnote>
  <w:footnote w:id="2780">
    <w:p>
      <w:pPr>
        <w:pStyle w:val="FootnoteText"/>
      </w:pPr>
      <w:r>
        <w:rPr>
          <w:rStyle w:val="FootnoteReference"/>
        </w:rPr>
        <w:footnoteRef/>
      </w:r>
      <w:r>
        <w:t xml:space="preserve"> </w:t>
      </w:r>
      <w:r>
        <w:t xml:space="preserve">《教会宪章》11 § 2；参《教会宪章》41。</w:t>
      </w:r>
    </w:p>
  </w:footnote>
  <w:footnote w:id="2781">
    <w:p>
      <w:pPr>
        <w:pStyle w:val="FootnoteText"/>
      </w:pPr>
      <w:r>
        <w:rPr>
          <w:rStyle w:val="FootnoteReference"/>
        </w:rPr>
        <w:footnoteRef/>
      </w:r>
      <w:r>
        <w:t xml:space="preserve"> </w:t>
      </w:r>
      <w:r>
        <w:t xml:space="preserve">《牧职宪章》48 § 2。</w:t>
      </w:r>
    </w:p>
  </w:footnote>
  <w:footnote w:id="2782">
    <w:p>
      <w:pPr>
        <w:pStyle w:val="FootnoteText"/>
      </w:pPr>
      <w:r>
        <w:rPr>
          <w:rStyle w:val="FootnoteReference"/>
        </w:rPr>
        <w:footnoteRef/>
      </w:r>
      <w:r>
        <w:t xml:space="preserve"> </w:t>
      </w:r>
      <w:r>
        <w:t xml:space="preserve">弗 5:21；参加 6:2。</w:t>
      </w:r>
    </w:p>
  </w:footnote>
  <w:footnote w:id="2783">
    <w:p>
      <w:pPr>
        <w:pStyle w:val="FootnoteText"/>
      </w:pPr>
      <w:r>
        <w:rPr>
          <w:rStyle w:val="FootnoteReference"/>
        </w:rPr>
        <w:footnoteRef/>
      </w:r>
      <w:r>
        <w:t xml:space="preserve"> </w:t>
      </w:r>
      <w:r>
        <w:t xml:space="preserve">特土良，《致妻书》2,8,6-7：PL 1,1412-1413；参《家庭团体》13。</w:t>
      </w:r>
    </w:p>
  </w:footnote>
  <w:footnote w:id="2786">
    <w:p>
      <w:pPr>
        <w:pStyle w:val="FootnoteText"/>
      </w:pPr>
      <w:r>
        <w:rPr>
          <w:rStyle w:val="FootnoteReference"/>
        </w:rPr>
        <w:footnoteRef/>
      </w:r>
      <w:r>
        <w:t xml:space="preserve"> </w:t>
      </w:r>
      <w:r>
        <w:t xml:space="preserve">《家庭团体》13。</w:t>
      </w:r>
    </w:p>
  </w:footnote>
  <w:footnote w:id="2787">
    <w:p>
      <w:pPr>
        <w:pStyle w:val="FootnoteText"/>
      </w:pPr>
      <w:r>
        <w:rPr>
          <w:rStyle w:val="FootnoteReference"/>
        </w:rPr>
        <w:footnoteRef/>
      </w:r>
      <w:r>
        <w:t xml:space="preserve"> </w:t>
      </w:r>
      <w:r>
        <w:t xml:space="preserve">太 19:6；参创 2:24。</w:t>
      </w:r>
    </w:p>
  </w:footnote>
  <w:footnote w:id="2788">
    <w:p>
      <w:pPr>
        <w:pStyle w:val="FootnoteText"/>
      </w:pPr>
      <w:r>
        <w:rPr>
          <w:rStyle w:val="FootnoteReference"/>
        </w:rPr>
        <w:footnoteRef/>
      </w:r>
      <w:r>
        <w:t xml:space="preserve"> </w:t>
      </w:r>
      <w:r>
        <w:t xml:space="preserve">《家庭团体》19。</w:t>
      </w:r>
    </w:p>
  </w:footnote>
  <w:footnote w:id="2789">
    <w:p>
      <w:pPr>
        <w:pStyle w:val="FootnoteText"/>
      </w:pPr>
      <w:r>
        <w:rPr>
          <w:rStyle w:val="FootnoteReference"/>
        </w:rPr>
        <w:footnoteRef/>
      </w:r>
      <w:r>
        <w:t xml:space="preserve"> </w:t>
      </w:r>
      <w:r>
        <w:t xml:space="preserve">《牧职宪章》49 § 2。</w:t>
      </w:r>
    </w:p>
  </w:footnote>
  <w:footnote w:id="2790">
    <w:p>
      <w:pPr>
        <w:pStyle w:val="FootnoteText"/>
      </w:pPr>
      <w:r>
        <w:rPr>
          <w:rStyle w:val="FootnoteReference"/>
        </w:rPr>
        <w:footnoteRef/>
      </w:r>
      <w:r>
        <w:t xml:space="preserve"> </w:t>
      </w:r>
      <w:r>
        <w:t xml:space="preserve">参《家庭团体》19。</w:t>
      </w:r>
    </w:p>
  </w:footnote>
  <w:footnote w:id="2792">
    <w:p>
      <w:pPr>
        <w:pStyle w:val="FootnoteText"/>
      </w:pPr>
      <w:r>
        <w:rPr>
          <w:rStyle w:val="FootnoteReference"/>
        </w:rPr>
        <w:footnoteRef/>
      </w:r>
      <w:r>
        <w:t xml:space="preserve"> </w:t>
      </w:r>
      <w:r>
        <w:t xml:space="preserve">《牧职宪章》48 § 1。</w:t>
      </w:r>
    </w:p>
  </w:footnote>
  <w:footnote w:id="2793">
    <w:p>
      <w:pPr>
        <w:pStyle w:val="FootnoteText"/>
      </w:pPr>
      <w:r>
        <w:rPr>
          <w:rStyle w:val="FootnoteReference"/>
        </w:rPr>
        <w:footnoteRef/>
      </w:r>
      <w:r>
        <w:t xml:space="preserve"> </w:t>
      </w:r>
      <w:r>
        <w:t xml:space="preserve">参《家庭团体》20。</w:t>
      </w:r>
    </w:p>
  </w:footnote>
  <w:footnote w:id="2794">
    <w:p>
      <w:pPr>
        <w:pStyle w:val="FootnoteText"/>
      </w:pPr>
      <w:r>
        <w:rPr>
          <w:rStyle w:val="FootnoteReference"/>
        </w:rPr>
        <w:footnoteRef/>
      </w:r>
      <w:r>
        <w:t xml:space="preserve"> </w:t>
      </w:r>
      <w:r>
        <w:t xml:space="preserve">参《家庭团体》83；《教会法典》，法条 1151-1155。</w:t>
      </w:r>
    </w:p>
  </w:footnote>
  <w:footnote w:id="2795">
    <w:p>
      <w:pPr>
        <w:pStyle w:val="FootnoteText"/>
      </w:pPr>
      <w:r>
        <w:rPr>
          <w:rStyle w:val="FootnoteReference"/>
        </w:rPr>
        <w:footnoteRef/>
      </w:r>
      <w:r>
        <w:t xml:space="preserve"> </w:t>
      </w:r>
      <w:r>
        <w:t xml:space="preserve">可10:11-12。</w:t>
      </w:r>
    </w:p>
  </w:footnote>
  <w:footnote w:id="2796">
    <w:p>
      <w:pPr>
        <w:pStyle w:val="FootnoteText"/>
      </w:pPr>
      <w:r>
        <w:rPr>
          <w:rStyle w:val="FootnoteReference"/>
        </w:rPr>
        <w:footnoteRef/>
      </w:r>
      <w:r>
        <w:t xml:space="preserve"> </w:t>
      </w:r>
      <w:r>
        <w:t xml:space="preserve">《家庭团体》84。</w:t>
      </w:r>
    </w:p>
  </w:footnote>
  <w:footnote w:id="2798">
    <w:p>
      <w:pPr>
        <w:pStyle w:val="FootnoteText"/>
      </w:pPr>
      <w:r>
        <w:rPr>
          <w:rStyle w:val="FootnoteReference"/>
        </w:rPr>
        <w:footnoteRef/>
      </w:r>
      <w:r>
        <w:t xml:space="preserve"> </w:t>
      </w:r>
      <w:r>
        <w:t xml:space="preserve">《牧职宪章》48 § 1；50。</w:t>
      </w:r>
    </w:p>
  </w:footnote>
  <w:footnote w:id="2799">
    <w:p>
      <w:pPr>
        <w:pStyle w:val="FootnoteText"/>
      </w:pPr>
      <w:r>
        <w:rPr>
          <w:rStyle w:val="FootnoteReference"/>
        </w:rPr>
        <w:footnoteRef/>
      </w:r>
      <w:r>
        <w:t xml:space="preserve"> </w:t>
      </w:r>
      <w:r>
        <w:t xml:space="preserve">《牧职宪章》50 § 1；参创 2:18；太 19:4；创 1:28。</w:t>
      </w:r>
    </w:p>
  </w:footnote>
  <w:footnote w:id="2800">
    <w:p>
      <w:pPr>
        <w:pStyle w:val="FootnoteText"/>
      </w:pPr>
      <w:r>
        <w:rPr>
          <w:rStyle w:val="FootnoteReference"/>
        </w:rPr>
        <w:footnoteRef/>
      </w:r>
      <w:r>
        <w:t xml:space="preserve"> </w:t>
      </w:r>
      <w:r>
        <w:t xml:space="preserve">参《基督教育宣言》3。</w:t>
      </w:r>
    </w:p>
  </w:footnote>
  <w:footnote w:id="2801">
    <w:p>
      <w:pPr>
        <w:pStyle w:val="FootnoteText"/>
      </w:pPr>
      <w:r>
        <w:rPr>
          <w:rStyle w:val="FootnoteReference"/>
        </w:rPr>
        <w:footnoteRef/>
      </w:r>
      <w:r>
        <w:t xml:space="preserve"> </w:t>
      </w:r>
      <w:r>
        <w:t xml:space="preserve">参《家庭团体》28。</w:t>
      </w:r>
    </w:p>
  </w:footnote>
  <w:footnote w:id="2804">
    <w:p>
      <w:pPr>
        <w:pStyle w:val="FootnoteText"/>
      </w:pPr>
      <w:r>
        <w:rPr>
          <w:rStyle w:val="FootnoteReference"/>
        </w:rPr>
        <w:footnoteRef/>
      </w:r>
      <w:r>
        <w:t xml:space="preserve"> </w:t>
      </w:r>
      <w:r>
        <w:t xml:space="preserve">参徒 18:8。</w:t>
      </w:r>
    </w:p>
  </w:footnote>
  <w:footnote w:id="2805">
    <w:p>
      <w:pPr>
        <w:pStyle w:val="FootnoteText"/>
      </w:pPr>
      <w:r>
        <w:rPr>
          <w:rStyle w:val="FootnoteReference"/>
        </w:rPr>
        <w:footnoteRef/>
      </w:r>
      <w:r>
        <w:t xml:space="preserve"> </w:t>
      </w:r>
      <w:r>
        <w:t xml:space="preserve">参徒 16:31；徒 11:14。</w:t>
      </w:r>
    </w:p>
  </w:footnote>
  <w:footnote w:id="2806">
    <w:p>
      <w:pPr>
        <w:pStyle w:val="FootnoteText"/>
      </w:pPr>
      <w:r>
        <w:rPr>
          <w:rStyle w:val="FootnoteReference"/>
        </w:rPr>
        <w:footnoteRef/>
      </w:r>
      <w:r>
        <w:t xml:space="preserve"> </w:t>
      </w:r>
      <w:r>
        <w:t xml:space="preserve">《教会宪章》11；参《家庭团体》21。</w:t>
      </w:r>
    </w:p>
  </w:footnote>
  <w:footnote w:id="2807">
    <w:p>
      <w:pPr>
        <w:pStyle w:val="FootnoteText"/>
      </w:pPr>
      <w:r>
        <w:rPr>
          <w:rStyle w:val="FootnoteReference"/>
        </w:rPr>
        <w:footnoteRef/>
      </w:r>
      <w:r>
        <w:t xml:space="preserve"> </w:t>
      </w:r>
      <w:r>
        <w:t xml:space="preserve">《教会宪章》11。</w:t>
      </w:r>
    </w:p>
  </w:footnote>
  <w:footnote w:id="2808">
    <w:p>
      <w:pPr>
        <w:pStyle w:val="FootnoteText"/>
      </w:pPr>
      <w:r>
        <w:rPr>
          <w:rStyle w:val="FootnoteReference"/>
        </w:rPr>
        <w:footnoteRef/>
      </w:r>
      <w:r>
        <w:t xml:space="preserve"> </w:t>
      </w:r>
      <w:r>
        <w:t xml:space="preserve">《教会宪章》10。</w:t>
      </w:r>
    </w:p>
  </w:footnote>
  <w:footnote w:id="2809">
    <w:p>
      <w:pPr>
        <w:pStyle w:val="FootnoteText"/>
      </w:pPr>
      <w:r>
        <w:rPr>
          <w:rStyle w:val="FootnoteReference"/>
        </w:rPr>
        <w:footnoteRef/>
      </w:r>
      <w:r>
        <w:t xml:space="preserve"> </w:t>
      </w:r>
      <w:r>
        <w:t xml:space="preserve">《牧职宪章》52 § 1。</w:t>
      </w:r>
    </w:p>
  </w:footnote>
  <w:footnote w:id="2810">
    <w:p>
      <w:pPr>
        <w:pStyle w:val="FootnoteText"/>
      </w:pPr>
      <w:r>
        <w:rPr>
          <w:rStyle w:val="FootnoteReference"/>
        </w:rPr>
        <w:footnoteRef/>
      </w:r>
      <w:r>
        <w:t xml:space="preserve"> </w:t>
      </w:r>
      <w:r>
        <w:t xml:space="preserve">《家庭团体》85；参太 11:28。</w:t>
      </w:r>
    </w:p>
  </w:footnote>
  <w:footnote w:id="2817">
    <w:p>
      <w:pPr>
        <w:pStyle w:val="FootnoteText"/>
      </w:pPr>
      <w:r>
        <w:rPr>
          <w:rStyle w:val="FootnoteReference"/>
        </w:rPr>
        <w:footnoteRef/>
      </w:r>
      <w:r>
        <w:t xml:space="preserve"> </w:t>
      </w:r>
      <w:r>
        <w:t xml:space="preserve">大圣良，</w:t>
      </w:r>
      <w:r>
        <w:rPr>
          <w:i/>
          <w:iCs/>
        </w:rPr>
        <w:t xml:space="preserve">Sermo 22 in nat. Dom.</w:t>
      </w:r>
      <w:r>
        <w:t xml:space="preserve">，3：PL 54，192C。</w:t>
      </w:r>
    </w:p>
  </w:footnote>
  <w:footnote w:id="2818">
    <w:p>
      <w:pPr>
        <w:pStyle w:val="FootnoteText"/>
      </w:pPr>
      <w:r>
        <w:rPr>
          <w:rStyle w:val="FootnoteReference"/>
        </w:rPr>
        <w:footnoteRef/>
      </w:r>
      <w:r>
        <w:t xml:space="preserve"> </w:t>
      </w:r>
      <w:r>
        <w:t xml:space="preserve">约 1:12；参约一 3:1。</w:t>
      </w:r>
    </w:p>
  </w:footnote>
  <w:footnote w:id="2819">
    <w:p>
      <w:pPr>
        <w:pStyle w:val="FootnoteText"/>
      </w:pPr>
      <w:r>
        <w:rPr>
          <w:rStyle w:val="FootnoteReference"/>
        </w:rPr>
        <w:footnoteRef/>
      </w:r>
      <w:r>
        <w:t xml:space="preserve"> </w:t>
      </w:r>
      <w:r>
        <w:t xml:space="preserve">彼后 1:4。</w:t>
      </w:r>
    </w:p>
  </w:footnote>
  <w:footnote w:id="2820">
    <w:p>
      <w:pPr>
        <w:pStyle w:val="FootnoteText"/>
      </w:pPr>
      <w:r>
        <w:rPr>
          <w:rStyle w:val="FootnoteReference"/>
        </w:rPr>
        <w:footnoteRef/>
      </w:r>
      <w:r>
        <w:t xml:space="preserve"> </w:t>
      </w:r>
      <w:r>
        <w:t xml:space="preserve">腓 1:27。</w:t>
      </w:r>
    </w:p>
  </w:footnote>
  <w:footnote w:id="2821">
    <w:p>
      <w:pPr>
        <w:pStyle w:val="FootnoteText"/>
      </w:pPr>
      <w:r>
        <w:rPr>
          <w:rStyle w:val="FootnoteReference"/>
        </w:rPr>
        <w:footnoteRef/>
      </w:r>
      <w:r>
        <w:t xml:space="preserve"> </w:t>
      </w:r>
      <w:r>
        <w:t xml:space="preserve">参约 8:29。</w:t>
      </w:r>
    </w:p>
  </w:footnote>
  <w:footnote w:id="2822">
    <w:p>
      <w:pPr>
        <w:pStyle w:val="FootnoteText"/>
      </w:pPr>
      <w:r>
        <w:rPr>
          <w:rStyle w:val="FootnoteReference"/>
        </w:rPr>
        <w:footnoteRef/>
      </w:r>
      <w:r>
        <w:t xml:space="preserve"> </w:t>
      </w:r>
      <w:r>
        <w:t xml:space="preserve">太 6:6。</w:t>
      </w:r>
    </w:p>
  </w:footnote>
  <w:footnote w:id="2823">
    <w:p>
      <w:pPr>
        <w:pStyle w:val="FootnoteText"/>
      </w:pPr>
      <w:r>
        <w:rPr>
          <w:rStyle w:val="FootnoteReference"/>
        </w:rPr>
        <w:footnoteRef/>
      </w:r>
      <w:r>
        <w:t xml:space="preserve"> </w:t>
      </w:r>
      <w:r>
        <w:t xml:space="preserve">太 5:48。</w:t>
      </w:r>
    </w:p>
  </w:footnote>
  <w:footnote w:id="2824">
    <w:p>
      <w:pPr>
        <w:pStyle w:val="FootnoteText"/>
      </w:pPr>
      <w:r>
        <w:rPr>
          <w:rStyle w:val="FootnoteReference"/>
        </w:rPr>
        <w:footnoteRef/>
      </w:r>
      <w:r>
        <w:t xml:space="preserve"> </w:t>
      </w:r>
      <w:r>
        <w:t xml:space="preserve">参罗 6:11；6:5；西 2:12。</w:t>
      </w:r>
    </w:p>
  </w:footnote>
  <w:footnote w:id="2825">
    <w:p>
      <w:pPr>
        <w:pStyle w:val="FootnoteText"/>
      </w:pPr>
      <w:r>
        <w:rPr>
          <w:rStyle w:val="FootnoteReference"/>
        </w:rPr>
        <w:footnoteRef/>
      </w:r>
      <w:r>
        <w:t xml:space="preserve"> </w:t>
      </w:r>
      <w:r>
        <w:t xml:space="preserve">参约 15:5。</w:t>
      </w:r>
    </w:p>
  </w:footnote>
  <w:footnote w:id="2826">
    <w:p>
      <w:pPr>
        <w:pStyle w:val="FootnoteText"/>
      </w:pPr>
      <w:r>
        <w:rPr>
          <w:rStyle w:val="FootnoteReference"/>
        </w:rPr>
        <w:footnoteRef/>
      </w:r>
      <w:r>
        <w:t xml:space="preserve"> </w:t>
      </w:r>
      <w:r>
        <w:t xml:space="preserve">弗 5:1-2。</w:t>
      </w:r>
    </w:p>
  </w:footnote>
  <w:footnote w:id="2827">
    <w:p>
      <w:pPr>
        <w:pStyle w:val="FootnoteText"/>
      </w:pPr>
      <w:r>
        <w:rPr>
          <w:rStyle w:val="FootnoteReference"/>
        </w:rPr>
        <w:footnoteRef/>
      </w:r>
      <w:r>
        <w:t xml:space="preserve"> </w:t>
      </w:r>
      <w:r>
        <w:t xml:space="preserve">腓 2:5。</w:t>
      </w:r>
    </w:p>
  </w:footnote>
  <w:footnote w:id="2828">
    <w:p>
      <w:pPr>
        <w:pStyle w:val="FootnoteText"/>
      </w:pPr>
      <w:r>
        <w:rPr>
          <w:rStyle w:val="FootnoteReference"/>
        </w:rPr>
        <w:footnoteRef/>
      </w:r>
      <w:r>
        <w:t xml:space="preserve"> </w:t>
      </w:r>
      <w:r>
        <w:t xml:space="preserve">参约 13:12-16。</w:t>
      </w:r>
    </w:p>
  </w:footnote>
  <w:footnote w:id="2829">
    <w:p>
      <w:pPr>
        <w:pStyle w:val="FootnoteText"/>
      </w:pPr>
      <w:r>
        <w:rPr>
          <w:rStyle w:val="FootnoteReference"/>
        </w:rPr>
        <w:footnoteRef/>
      </w:r>
      <w:r>
        <w:t xml:space="preserve"> </w:t>
      </w:r>
      <w:r>
        <w:t xml:space="preserve">林前 6:11。</w:t>
      </w:r>
    </w:p>
  </w:footnote>
  <w:footnote w:id="2830">
    <w:p>
      <w:pPr>
        <w:pStyle w:val="FootnoteText"/>
      </w:pPr>
      <w:r>
        <w:rPr>
          <w:rStyle w:val="FootnoteReference"/>
        </w:rPr>
        <w:footnoteRef/>
      </w:r>
      <w:r>
        <w:t xml:space="preserve"> </w:t>
      </w:r>
      <w:r>
        <w:t xml:space="preserve">林前 1:2。</w:t>
      </w:r>
    </w:p>
  </w:footnote>
  <w:footnote w:id="2831">
    <w:p>
      <w:pPr>
        <w:pStyle w:val="FootnoteText"/>
      </w:pPr>
      <w:r>
        <w:rPr>
          <w:rStyle w:val="FootnoteReference"/>
        </w:rPr>
        <w:footnoteRef/>
      </w:r>
      <w:r>
        <w:t xml:space="preserve"> </w:t>
      </w:r>
      <w:r>
        <w:t xml:space="preserve">参林前 6:19。</w:t>
      </w:r>
    </w:p>
  </w:footnote>
  <w:footnote w:id="2832">
    <w:p>
      <w:pPr>
        <w:pStyle w:val="FootnoteText"/>
      </w:pPr>
      <w:r>
        <w:rPr>
          <w:rStyle w:val="FootnoteReference"/>
        </w:rPr>
        <w:footnoteRef/>
      </w:r>
      <w:r>
        <w:t xml:space="preserve"> </w:t>
      </w:r>
      <w:r>
        <w:t xml:space="preserve">参加 4:6。</w:t>
      </w:r>
    </w:p>
  </w:footnote>
  <w:footnote w:id="2833">
    <w:p>
      <w:pPr>
        <w:pStyle w:val="FootnoteText"/>
      </w:pPr>
      <w:r>
        <w:rPr>
          <w:rStyle w:val="FootnoteReference"/>
        </w:rPr>
        <w:footnoteRef/>
      </w:r>
      <w:r>
        <w:t xml:space="preserve"> </w:t>
      </w:r>
      <w:r>
        <w:t xml:space="preserve">加 5:22，25。</w:t>
      </w:r>
    </w:p>
  </w:footnote>
  <w:footnote w:id="2834">
    <w:p>
      <w:pPr>
        <w:pStyle w:val="FootnoteText"/>
      </w:pPr>
      <w:r>
        <w:rPr>
          <w:rStyle w:val="FootnoteReference"/>
        </w:rPr>
        <w:footnoteRef/>
      </w:r>
      <w:r>
        <w:t xml:space="preserve"> </w:t>
      </w:r>
      <w:r>
        <w:t xml:space="preserve">参弗 4:23。</w:t>
      </w:r>
    </w:p>
  </w:footnote>
  <w:footnote w:id="2835">
    <w:p>
      <w:pPr>
        <w:pStyle w:val="FootnoteText"/>
      </w:pPr>
      <w:r>
        <w:rPr>
          <w:rStyle w:val="FootnoteReference"/>
        </w:rPr>
        <w:footnoteRef/>
      </w:r>
      <w:r>
        <w:t xml:space="preserve"> </w:t>
      </w:r>
      <w:r>
        <w:t xml:space="preserve">弗 5:8-9。</w:t>
      </w:r>
    </w:p>
  </w:footnote>
  <w:footnote w:id="2836">
    <w:p>
      <w:pPr>
        <w:pStyle w:val="FootnoteText"/>
      </w:pPr>
      <w:r>
        <w:rPr>
          <w:rStyle w:val="FootnoteReference"/>
        </w:rPr>
        <w:footnoteRef/>
      </w:r>
      <w:r>
        <w:t xml:space="preserve"> </w:t>
      </w:r>
      <w:r>
        <w:t xml:space="preserve">太 7:13；参申 30:15-20。</w:t>
      </w:r>
    </w:p>
  </w:footnote>
  <w:footnote w:id="2837">
    <w:p>
      <w:pPr>
        <w:pStyle w:val="FootnoteText"/>
      </w:pPr>
      <w:r>
        <w:rPr>
          <w:rStyle w:val="FootnoteReference"/>
        </w:rPr>
        <w:footnoteRef/>
      </w:r>
      <w:r>
        <w:t xml:space="preserve"> </w:t>
      </w:r>
      <w:r>
        <w:t xml:space="preserve">《十二使徒遗训》1，1：SC 248，140。</w:t>
      </w:r>
    </w:p>
  </w:footnote>
  <w:footnote w:id="2838">
    <w:p>
      <w:pPr>
        <w:pStyle w:val="FootnoteText"/>
      </w:pPr>
      <w:r>
        <w:rPr>
          <w:rStyle w:val="FootnoteReference"/>
        </w:rPr>
        <w:footnoteRef/>
      </w:r>
      <w:r>
        <w:t xml:space="preserve"> </w:t>
      </w:r>
      <w:r>
        <w:t xml:space="preserve">参若望保禄二世，CT 29。</w:t>
      </w:r>
    </w:p>
  </w:footnote>
  <w:footnote w:id="2839">
    <w:p>
      <w:pPr>
        <w:pStyle w:val="FootnoteText"/>
      </w:pPr>
      <w:r>
        <w:rPr>
          <w:rStyle w:val="FootnoteReference"/>
        </w:rPr>
        <w:footnoteRef/>
      </w:r>
      <w:r>
        <w:t xml:space="preserve"> </w:t>
      </w:r>
      <w:r>
        <w:t xml:space="preserve">罗 6:4。</w:t>
      </w:r>
    </w:p>
  </w:footnote>
  <w:footnote w:id="2840">
    <w:p>
      <w:pPr>
        <w:pStyle w:val="FootnoteText"/>
      </w:pPr>
      <w:r>
        <w:rPr>
          <w:rStyle w:val="FootnoteReference"/>
        </w:rPr>
        <w:footnoteRef/>
      </w:r>
      <w:r>
        <w:t xml:space="preserve"> </w:t>
      </w:r>
      <w:r>
        <w:t xml:space="preserve">约 14:6。</w:t>
      </w:r>
    </w:p>
  </w:footnote>
  <w:footnote w:id="2841">
    <w:p>
      <w:pPr>
        <w:pStyle w:val="FootnoteText"/>
      </w:pPr>
      <w:r>
        <w:rPr>
          <w:rStyle w:val="FootnoteReference"/>
        </w:rPr>
        <w:footnoteRef/>
      </w:r>
      <w:r>
        <w:t xml:space="preserve"> </w:t>
      </w:r>
      <w:r>
        <w:t xml:space="preserve">圣约翰·欧德，</w:t>
      </w:r>
      <w:r>
        <w:rPr>
          <w:i/>
          <w:iCs/>
        </w:rPr>
        <w:t xml:space="preserve">Tract. de admirabili corde Jesu</w:t>
      </w:r>
      <w:r>
        <w:t xml:space="preserve">，1，5。</w:t>
      </w:r>
    </w:p>
  </w:footnote>
  <w:footnote w:id="2842">
    <w:p>
      <w:pPr>
        <w:pStyle w:val="FootnoteText"/>
      </w:pPr>
      <w:r>
        <w:rPr>
          <w:rStyle w:val="FootnoteReference"/>
        </w:rPr>
        <w:footnoteRef/>
      </w:r>
      <w:r>
        <w:t xml:space="preserve"> </w:t>
      </w:r>
      <w:r>
        <w:t xml:space="preserve">腓 1:21。</w:t>
      </w:r>
    </w:p>
  </w:footnote>
  <w:footnote w:id="2843">
    <w:p>
      <w:pPr>
        <w:pStyle w:val="FootnoteText"/>
      </w:pPr>
      <w:r>
        <w:rPr>
          <w:rStyle w:val="FootnoteReference"/>
        </w:rPr>
        <w:footnoteRef/>
      </w:r>
      <w:r>
        <w:t xml:space="preserve"> </w:t>
      </w:r>
      <w:r>
        <w:t xml:space="preserve">路15:11-32。</w:t>
      </w:r>
    </w:p>
  </w:footnote>
  <w:footnote w:id="2844">
    <w:p>
      <w:pPr>
        <w:pStyle w:val="FootnoteText"/>
      </w:pPr>
      <w:r>
        <w:rPr>
          <w:rStyle w:val="FootnoteReference"/>
        </w:rPr>
        <w:footnoteRef/>
      </w:r>
      <w:r>
        <w:t xml:space="preserve"> </w:t>
      </w:r>
      <w:r>
        <w:t xml:space="preserve">GS 22。</w:t>
      </w:r>
    </w:p>
  </w:footnote>
  <w:footnote w:id="2845">
    <w:p>
      <w:pPr>
        <w:pStyle w:val="FootnoteText"/>
      </w:pPr>
      <w:r>
        <w:rPr>
          <w:rStyle w:val="FootnoteReference"/>
        </w:rPr>
        <w:footnoteRef/>
      </w:r>
      <w:r>
        <w:t xml:space="preserve"> </w:t>
      </w:r>
      <w:r>
        <w:t xml:space="preserve">西 1:15；参 林后 4:4。</w:t>
      </w:r>
    </w:p>
  </w:footnote>
  <w:footnote w:id="2846">
    <w:p>
      <w:pPr>
        <w:pStyle w:val="FootnoteText"/>
      </w:pPr>
      <w:r>
        <w:rPr>
          <w:rStyle w:val="FootnoteReference"/>
        </w:rPr>
        <w:footnoteRef/>
      </w:r>
      <w:r>
        <w:t xml:space="preserve"> </w:t>
      </w:r>
      <w:r>
        <w:t xml:space="preserve">参 GS 22。</w:t>
      </w:r>
    </w:p>
  </w:footnote>
  <w:footnote w:id="2847">
    <w:p>
      <w:pPr>
        <w:pStyle w:val="FootnoteText"/>
      </w:pPr>
      <w:r>
        <w:rPr>
          <w:rStyle w:val="FootnoteReference"/>
        </w:rPr>
        <w:footnoteRef/>
      </w:r>
      <w:r>
        <w:t xml:space="preserve"> </w:t>
      </w:r>
      <w:r>
        <w:t xml:space="preserve">GS 14 § 2。</w:t>
      </w:r>
    </w:p>
  </w:footnote>
  <w:footnote w:id="2848">
    <w:p>
      <w:pPr>
        <w:pStyle w:val="FootnoteText"/>
      </w:pPr>
      <w:r>
        <w:rPr>
          <w:rStyle w:val="FootnoteReference"/>
        </w:rPr>
        <w:footnoteRef/>
      </w:r>
      <w:r>
        <w:t xml:space="preserve"> </w:t>
      </w:r>
      <w:r>
        <w:t xml:space="preserve">GS 24 § 3。</w:t>
      </w:r>
    </w:p>
  </w:footnote>
  <w:footnote w:id="2849">
    <w:p>
      <w:pPr>
        <w:pStyle w:val="FootnoteText"/>
      </w:pPr>
      <w:r>
        <w:rPr>
          <w:rStyle w:val="FootnoteReference"/>
        </w:rPr>
        <w:footnoteRef/>
      </w:r>
      <w:r>
        <w:t xml:space="preserve"> </w:t>
      </w:r>
      <w:r>
        <w:t xml:space="preserve">GS 15 § 2。</w:t>
      </w:r>
    </w:p>
  </w:footnote>
  <w:footnote w:id="2850">
    <w:p>
      <w:pPr>
        <w:pStyle w:val="FootnoteText"/>
      </w:pPr>
      <w:r>
        <w:rPr>
          <w:rStyle w:val="FootnoteReference"/>
        </w:rPr>
        <w:footnoteRef/>
      </w:r>
      <w:r>
        <w:t xml:space="preserve"> </w:t>
      </w:r>
      <w:r>
        <w:t xml:space="preserve">GS 17。</w:t>
      </w:r>
    </w:p>
  </w:footnote>
  <w:footnote w:id="2851">
    <w:p>
      <w:pPr>
        <w:pStyle w:val="FootnoteText"/>
      </w:pPr>
      <w:r>
        <w:rPr>
          <w:rStyle w:val="FootnoteReference"/>
        </w:rPr>
        <w:footnoteRef/>
      </w:r>
      <w:r>
        <w:t xml:space="preserve"> </w:t>
      </w:r>
      <w:r>
        <w:t xml:space="preserve">GS 16。</w:t>
      </w:r>
    </w:p>
  </w:footnote>
  <w:footnote w:id="2852">
    <w:p>
      <w:pPr>
        <w:pStyle w:val="FootnoteText"/>
      </w:pPr>
      <w:r>
        <w:rPr>
          <w:rStyle w:val="FootnoteReference"/>
        </w:rPr>
        <w:footnoteRef/>
      </w:r>
      <w:r>
        <w:t xml:space="preserve"> </w:t>
      </w:r>
      <w:r>
        <w:t xml:space="preserve">GS 13 § 1。</w:t>
      </w:r>
    </w:p>
  </w:footnote>
  <w:footnote w:id="2853">
    <w:p>
      <w:pPr>
        <w:pStyle w:val="FootnoteText"/>
      </w:pPr>
      <w:r>
        <w:rPr>
          <w:rStyle w:val="FootnoteReference"/>
        </w:rPr>
        <w:footnoteRef/>
      </w:r>
      <w:r>
        <w:t xml:space="preserve"> </w:t>
      </w:r>
      <w:r>
        <w:t xml:space="preserve">GS 13 § 2。</w:t>
      </w:r>
    </w:p>
  </w:footnote>
  <w:footnote w:id="2856">
    <w:p>
      <w:pPr>
        <w:pStyle w:val="FootnoteText"/>
      </w:pPr>
      <w:r>
        <w:rPr>
          <w:rStyle w:val="FootnoteReference"/>
        </w:rPr>
        <w:footnoteRef/>
      </w:r>
      <w:r>
        <w:t xml:space="preserve"> </w:t>
      </w:r>
      <w:r>
        <w:t xml:space="preserve">太 5:3-12。</w:t>
      </w:r>
    </w:p>
  </w:footnote>
  <w:footnote w:id="2858">
    <w:p>
      <w:pPr>
        <w:pStyle w:val="FootnoteText"/>
      </w:pPr>
      <w:r>
        <w:rPr>
          <w:rStyle w:val="FootnoteReference"/>
        </w:rPr>
        <w:footnoteRef/>
      </w:r>
      <w:r>
        <w:t xml:space="preserve"> </w:t>
      </w:r>
      <w:r>
        <w:t xml:space="preserve">圣奥古斯丁，《论教会的道德》，1, 3, 4：PL 32,1312。</w:t>
      </w:r>
    </w:p>
  </w:footnote>
  <w:footnote w:id="2859">
    <w:p>
      <w:pPr>
        <w:pStyle w:val="FootnoteText"/>
      </w:pPr>
      <w:r>
        <w:rPr>
          <w:rStyle w:val="FootnoteReference"/>
        </w:rPr>
        <w:footnoteRef/>
      </w:r>
      <w:r>
        <w:t xml:space="preserve"> </w:t>
      </w:r>
      <w:r>
        <w:t xml:space="preserve">圣奥古斯丁，《忏悔录》10, 20：PL 32,791。</w:t>
      </w:r>
    </w:p>
  </w:footnote>
  <w:footnote w:id="2860">
    <w:p>
      <w:pPr>
        <w:pStyle w:val="FootnoteText"/>
      </w:pPr>
      <w:r>
        <w:rPr>
          <w:rStyle w:val="FootnoteReference"/>
        </w:rPr>
        <w:footnoteRef/>
      </w:r>
      <w:r>
        <w:t xml:space="preserve"> </w:t>
      </w:r>
      <w:r>
        <w:t xml:space="preserve">圣托马斯·阿奎那，《信经讲解》I。</w:t>
      </w:r>
    </w:p>
  </w:footnote>
  <w:footnote w:id="2862">
    <w:p>
      <w:pPr>
        <w:pStyle w:val="FootnoteText"/>
      </w:pPr>
      <w:r>
        <w:rPr>
          <w:rStyle w:val="FootnoteReference"/>
        </w:rPr>
        <w:footnoteRef/>
      </w:r>
      <w:r>
        <w:t xml:space="preserve"> </w:t>
      </w:r>
      <w:r>
        <w:t xml:space="preserve">参 太 4:17。</w:t>
      </w:r>
    </w:p>
  </w:footnote>
  <w:footnote w:id="2863">
    <w:p>
      <w:pPr>
        <w:pStyle w:val="FootnoteText"/>
      </w:pPr>
      <w:r>
        <w:rPr>
          <w:rStyle w:val="FootnoteReference"/>
        </w:rPr>
        <w:footnoteRef/>
      </w:r>
      <w:r>
        <w:t xml:space="preserve"> </w:t>
      </w:r>
      <w:r>
        <w:t xml:space="preserve">太 5:8；参 约一 2；林前 13:12。</w:t>
      </w:r>
    </w:p>
  </w:footnote>
  <w:footnote w:id="2864">
    <w:p>
      <w:pPr>
        <w:pStyle w:val="FootnoteText"/>
      </w:pPr>
      <w:r>
        <w:rPr>
          <w:rStyle w:val="FootnoteReference"/>
        </w:rPr>
        <w:footnoteRef/>
      </w:r>
      <w:r>
        <w:t xml:space="preserve"> </w:t>
      </w:r>
      <w:r>
        <w:t xml:space="preserve">太 25:21-23。</w:t>
      </w:r>
    </w:p>
  </w:footnote>
  <w:footnote w:id="2865">
    <w:p>
      <w:pPr>
        <w:pStyle w:val="FootnoteText"/>
      </w:pPr>
      <w:r>
        <w:rPr>
          <w:rStyle w:val="FootnoteReference"/>
        </w:rPr>
        <w:footnoteRef/>
      </w:r>
      <w:r>
        <w:t xml:space="preserve"> </w:t>
      </w:r>
      <w:r>
        <w:t xml:space="preserve">参 来 4:7-11。</w:t>
      </w:r>
    </w:p>
  </w:footnote>
  <w:footnote w:id="2866">
    <w:p>
      <w:pPr>
        <w:pStyle w:val="FootnoteText"/>
      </w:pPr>
      <w:r>
        <w:rPr>
          <w:rStyle w:val="FootnoteReference"/>
        </w:rPr>
        <w:footnoteRef/>
      </w:r>
      <w:r>
        <w:t xml:space="preserve"> </w:t>
      </w:r>
      <w:r>
        <w:t xml:space="preserve">圣奥古斯丁，《神之城》22, 30, 5：PL 41,804。</w:t>
      </w:r>
    </w:p>
  </w:footnote>
  <w:footnote w:id="2867">
    <w:p>
      <w:pPr>
        <w:pStyle w:val="FootnoteText"/>
      </w:pPr>
      <w:r>
        <w:rPr>
          <w:rStyle w:val="FootnoteReference"/>
        </w:rPr>
        <w:footnoteRef/>
      </w:r>
      <w:r>
        <w:t xml:space="preserve"> </w:t>
      </w:r>
      <w:r>
        <w:t xml:space="preserve">彼后 1:4；参 约 17:3。</w:t>
      </w:r>
    </w:p>
  </w:footnote>
  <w:footnote w:id="2868">
    <w:p>
      <w:pPr>
        <w:pStyle w:val="FootnoteText"/>
      </w:pPr>
      <w:r>
        <w:rPr>
          <w:rStyle w:val="FootnoteReference"/>
        </w:rPr>
        <w:footnoteRef/>
      </w:r>
      <w:r>
        <w:t xml:space="preserve"> </w:t>
      </w:r>
      <w:r>
        <w:t xml:space="preserve">参 罗 8:18。</w:t>
      </w:r>
    </w:p>
  </w:footnote>
  <w:footnote w:id="2869">
    <w:p>
      <w:pPr>
        <w:pStyle w:val="FootnoteText"/>
      </w:pPr>
      <w:r>
        <w:rPr>
          <w:rStyle w:val="FootnoteReference"/>
        </w:rPr>
        <w:footnoteRef/>
      </w:r>
      <w:r>
        <w:t xml:space="preserve"> </w:t>
      </w:r>
      <w:r>
        <w:t xml:space="preserve">圣爱任纽，《反异端论》4, 20, 5：PG 7/1,1034-1035。</w:t>
      </w:r>
    </w:p>
  </w:footnote>
  <w:footnote w:id="2870">
    <w:p>
      <w:pPr>
        <w:pStyle w:val="FootnoteText"/>
      </w:pPr>
      <w:r>
        <w:rPr>
          <w:rStyle w:val="FootnoteReference"/>
        </w:rPr>
        <w:footnoteRef/>
      </w:r>
      <w:r>
        <w:t xml:space="preserve"> </w:t>
      </w:r>
      <w:r>
        <w:t xml:space="preserve">约翰·亨利·纽曼枢机，「圣洁是基督徒原则的标准」，载于《对混合会众的讲道》（伦敦：Longmans, Green and Co., 1906）V, 89-90。</w:t>
      </w:r>
    </w:p>
  </w:footnote>
  <w:footnote w:id="2871">
    <w:p>
      <w:pPr>
        <w:pStyle w:val="FootnoteText"/>
      </w:pPr>
      <w:r>
        <w:rPr>
          <w:rStyle w:val="FootnoteReference"/>
        </w:rPr>
        <w:footnoteRef/>
      </w:r>
      <w:r>
        <w:t xml:space="preserve"> </w:t>
      </w:r>
      <w:r>
        <w:t xml:space="preserve">参 太 13:3-23。</w:t>
      </w:r>
    </w:p>
  </w:footnote>
  <w:footnote w:id="2875">
    <w:p>
      <w:pPr>
        <w:pStyle w:val="FootnoteText"/>
      </w:pPr>
      <w:r>
        <w:rPr>
          <w:rStyle w:val="FootnoteReference"/>
        </w:rPr>
        <w:footnoteRef/>
      </w:r>
      <w:r>
        <w:t xml:space="preserve"> </w:t>
      </w:r>
      <w:r>
        <w:t xml:space="preserve">GS 17；德 15:14。</w:t>
      </w:r>
    </w:p>
  </w:footnote>
  <w:footnote w:id="2876">
    <w:p>
      <w:pPr>
        <w:pStyle w:val="FootnoteText"/>
      </w:pPr>
      <w:r>
        <w:rPr>
          <w:rStyle w:val="FootnoteReference"/>
        </w:rPr>
        <w:footnoteRef/>
      </w:r>
      <w:r>
        <w:t xml:space="preserve"> </w:t>
      </w:r>
      <w:r>
        <w:t xml:space="preserve">圣爱任纽，</w:t>
      </w:r>
      <w:r>
        <w:rPr>
          <w:i/>
          <w:iCs/>
        </w:rPr>
        <w:t xml:space="preserve">Adv. haeres.</w:t>
      </w:r>
      <w:r>
        <w:t xml:space="preserve"> </w:t>
      </w:r>
      <w:r>
        <w:t xml:space="preserve">4，4，3：PG 7/1,983。</w:t>
      </w:r>
    </w:p>
  </w:footnote>
  <w:footnote w:id="2877">
    <w:p>
      <w:pPr>
        <w:pStyle w:val="FootnoteText"/>
      </w:pPr>
      <w:r>
        <w:rPr>
          <w:rStyle w:val="FootnoteReference"/>
        </w:rPr>
        <w:footnoteRef/>
      </w:r>
      <w:r>
        <w:t xml:space="preserve"> </w:t>
      </w:r>
      <w:r>
        <w:t xml:space="preserve">参 罗 6:17。</w:t>
      </w:r>
    </w:p>
  </w:footnote>
  <w:footnote w:id="2878">
    <w:p>
      <w:pPr>
        <w:pStyle w:val="FootnoteText"/>
      </w:pPr>
      <w:r>
        <w:rPr>
          <w:rStyle w:val="FootnoteReference"/>
        </w:rPr>
        <w:footnoteRef/>
      </w:r>
      <w:r>
        <w:t xml:space="preserve"> </w:t>
      </w:r>
      <w:r>
        <w:t xml:space="preserve">创 3:13。</w:t>
      </w:r>
    </w:p>
  </w:footnote>
  <w:footnote w:id="2879">
    <w:p>
      <w:pPr>
        <w:pStyle w:val="FootnoteText"/>
      </w:pPr>
      <w:r>
        <w:rPr>
          <w:rStyle w:val="FootnoteReference"/>
        </w:rPr>
        <w:footnoteRef/>
      </w:r>
      <w:r>
        <w:t xml:space="preserve"> </w:t>
      </w:r>
      <w:r>
        <w:t xml:space="preserve">参 创 4:10。</w:t>
      </w:r>
    </w:p>
  </w:footnote>
  <w:footnote w:id="2880">
    <w:p>
      <w:pPr>
        <w:pStyle w:val="FootnoteText"/>
      </w:pPr>
      <w:r>
        <w:rPr>
          <w:rStyle w:val="FootnoteReference"/>
        </w:rPr>
        <w:footnoteRef/>
      </w:r>
      <w:r>
        <w:t xml:space="preserve"> </w:t>
      </w:r>
      <w:r>
        <w:t xml:space="preserve">参 撒下 12:7-15。</w:t>
      </w:r>
    </w:p>
  </w:footnote>
  <w:footnote w:id="2881">
    <w:p>
      <w:pPr>
        <w:pStyle w:val="FootnoteText"/>
      </w:pPr>
      <w:r>
        <w:rPr>
          <w:rStyle w:val="FootnoteReference"/>
        </w:rPr>
        <w:footnoteRef/>
      </w:r>
      <w:r>
        <w:t xml:space="preserve"> </w:t>
      </w:r>
      <w:r>
        <w:t xml:space="preserve">参 DH 2 § 7。</w:t>
      </w:r>
    </w:p>
  </w:footnote>
  <w:footnote w:id="2883">
    <w:p>
      <w:pPr>
        <w:pStyle w:val="FootnoteText"/>
      </w:pPr>
      <w:r>
        <w:rPr>
          <w:rStyle w:val="FootnoteReference"/>
        </w:rPr>
        <w:footnoteRef/>
      </w:r>
      <w:r>
        <w:t xml:space="preserve"> </w:t>
      </w:r>
      <w:r>
        <w:t xml:space="preserve">信理部，训令，</w:t>
      </w:r>
      <w:r>
        <w:rPr>
          <w:i/>
          <w:iCs/>
        </w:rPr>
        <w:t xml:space="preserve">Libertatis conscientia</w:t>
      </w:r>
      <w:r>
        <w:t xml:space="preserve"> </w:t>
      </w:r>
      <w:r>
        <w:t xml:space="preserve">13。</w:t>
      </w:r>
    </w:p>
  </w:footnote>
  <w:footnote w:id="2884">
    <w:p>
      <w:pPr>
        <w:pStyle w:val="FootnoteText"/>
      </w:pPr>
      <w:r>
        <w:rPr>
          <w:rStyle w:val="FootnoteReference"/>
        </w:rPr>
        <w:footnoteRef/>
      </w:r>
      <w:r>
        <w:t xml:space="preserve"> </w:t>
      </w:r>
      <w:r>
        <w:t xml:space="preserve">加 5:1。</w:t>
      </w:r>
    </w:p>
  </w:footnote>
  <w:footnote w:id="2885">
    <w:p>
      <w:pPr>
        <w:pStyle w:val="FootnoteText"/>
      </w:pPr>
      <w:r>
        <w:rPr>
          <w:rStyle w:val="FootnoteReference"/>
        </w:rPr>
        <w:footnoteRef/>
      </w:r>
      <w:r>
        <w:t xml:space="preserve"> </w:t>
      </w:r>
      <w:r>
        <w:t xml:space="preserve">参 约 8:32。</w:t>
      </w:r>
    </w:p>
  </w:footnote>
  <w:footnote w:id="2886">
    <w:p>
      <w:pPr>
        <w:pStyle w:val="FootnoteText"/>
      </w:pPr>
      <w:r>
        <w:rPr>
          <w:rStyle w:val="FootnoteReference"/>
        </w:rPr>
        <w:footnoteRef/>
      </w:r>
      <w:r>
        <w:t xml:space="preserve"> </w:t>
      </w:r>
      <w:r>
        <w:t xml:space="preserve">林后 3:17。</w:t>
      </w:r>
    </w:p>
  </w:footnote>
  <w:footnote w:id="2887">
    <w:p>
      <w:pPr>
        <w:pStyle w:val="FootnoteText"/>
      </w:pPr>
      <w:r>
        <w:rPr>
          <w:rStyle w:val="FootnoteReference"/>
        </w:rPr>
        <w:footnoteRef/>
      </w:r>
      <w:r>
        <w:t xml:space="preserve"> </w:t>
      </w:r>
      <w:r>
        <w:t xml:space="preserve">罗 8:21。</w:t>
      </w:r>
    </w:p>
  </w:footnote>
  <w:footnote w:id="2888">
    <w:p>
      <w:pPr>
        <w:pStyle w:val="FootnoteText"/>
      </w:pPr>
      <w:r>
        <w:rPr>
          <w:rStyle w:val="FootnoteReference"/>
        </w:rPr>
        <w:footnoteRef/>
      </w:r>
      <w:r>
        <w:t xml:space="preserve"> </w:t>
      </w:r>
      <w:r>
        <w:t xml:space="preserve">罗马弥撒经书，常年期第32主日，开端祷词：</w:t>
      </w:r>
      <w:r>
        <w:rPr>
          <w:i/>
          <w:iCs/>
        </w:rPr>
        <w:t xml:space="preserve">Omnipotens et misericors Deus, universa nobis adversantia propitiatus exclude, ut, mente et corpore pariter expediti, quae tua sunt liberis mentibus exsequamur</w:t>
      </w:r>
      <w:r>
        <w:t xml:space="preserve">。</w:t>
      </w:r>
    </w:p>
  </w:footnote>
  <w:footnote w:id="2892">
    <w:p>
      <w:pPr>
        <w:pStyle w:val="FootnoteText"/>
      </w:pPr>
      <w:r>
        <w:rPr>
          <w:rStyle w:val="FootnoteReference"/>
        </w:rPr>
        <w:footnoteRef/>
      </w:r>
      <w:r>
        <w:t xml:space="preserve"> </w:t>
      </w:r>
      <w:r>
        <w:t xml:space="preserve">参 太 6:24。</w:t>
      </w:r>
    </w:p>
  </w:footnote>
  <w:footnote w:id="2897">
    <w:p>
      <w:pPr>
        <w:pStyle w:val="FootnoteText"/>
      </w:pPr>
      <w:r>
        <w:rPr>
          <w:rStyle w:val="FootnoteReference"/>
        </w:rPr>
        <w:footnoteRef/>
      </w:r>
      <w:r>
        <w:t xml:space="preserve"> </w:t>
      </w:r>
      <w:r>
        <w:t xml:space="preserve">参 可 7:21。</w:t>
      </w:r>
    </w:p>
  </w:footnote>
  <w:footnote w:id="2898">
    <w:p>
      <w:pPr>
        <w:pStyle w:val="FootnoteText"/>
      </w:pPr>
      <w:r>
        <w:rPr>
          <w:rStyle w:val="FootnoteReference"/>
        </w:rPr>
        <w:footnoteRef/>
      </w:r>
      <w:r>
        <w:t xml:space="preserve"> </w:t>
      </w:r>
      <w:r>
        <w:t xml:space="preserve">圣托马斯·阿奎那，</w:t>
      </w:r>
      <w:r>
        <w:rPr>
          <w:i/>
          <w:iCs/>
        </w:rPr>
        <w:t xml:space="preserve">STh</w:t>
      </w:r>
      <w:r>
        <w:t xml:space="preserve"> </w:t>
      </w:r>
      <w:r>
        <w:t xml:space="preserve">I-II, 26, 4,</w:t>
      </w:r>
      <w:r>
        <w:t xml:space="preserve"> </w:t>
      </w:r>
      <w:r>
        <w:rPr>
          <w:i/>
          <w:iCs/>
        </w:rPr>
        <w:t xml:space="preserve">corp. art.</w:t>
      </w:r>
    </w:p>
  </w:footnote>
  <w:footnote w:id="2899">
    <w:p>
      <w:pPr>
        <w:pStyle w:val="FootnoteText"/>
      </w:pPr>
      <w:r>
        <w:rPr>
          <w:rStyle w:val="FootnoteReference"/>
        </w:rPr>
        <w:footnoteRef/>
      </w:r>
      <w:r>
        <w:t xml:space="preserve"> </w:t>
      </w:r>
      <w:r>
        <w:t xml:space="preserve">参 圣奥古斯丁，</w:t>
      </w:r>
      <w:r>
        <w:rPr>
          <w:i/>
          <w:iCs/>
        </w:rPr>
        <w:t xml:space="preserve">De Trin.</w:t>
      </w:r>
      <w:r>
        <w:t xml:space="preserve"> </w:t>
      </w:r>
      <w:r>
        <w:t xml:space="preserve">8, 3, 4：PL 42,949-950。</w:t>
      </w:r>
    </w:p>
  </w:footnote>
  <w:footnote w:id="2900">
    <w:p>
      <w:pPr>
        <w:pStyle w:val="FootnoteText"/>
      </w:pPr>
      <w:r>
        <w:rPr>
          <w:rStyle w:val="FootnoteReference"/>
        </w:rPr>
        <w:footnoteRef/>
      </w:r>
      <w:r>
        <w:t xml:space="preserve"> </w:t>
      </w:r>
      <w:r>
        <w:t xml:space="preserve">圣奥古斯丁，</w:t>
      </w:r>
      <w:r>
        <w:rPr>
          <w:i/>
          <w:iCs/>
        </w:rPr>
        <w:t xml:space="preserve">De civ. Dei</w:t>
      </w:r>
      <w:r>
        <w:t xml:space="preserve"> </w:t>
      </w:r>
      <w:r>
        <w:t xml:space="preserve">14, 7, 2：PL 41,410。</w:t>
      </w:r>
    </w:p>
  </w:footnote>
  <w:footnote w:id="2902">
    <w:p>
      <w:pPr>
        <w:pStyle w:val="FootnoteText"/>
      </w:pPr>
      <w:r>
        <w:rPr>
          <w:rStyle w:val="FootnoteReference"/>
        </w:rPr>
        <w:footnoteRef/>
      </w:r>
      <w:r>
        <w:t xml:space="preserve"> </w:t>
      </w:r>
      <w:r>
        <w:t xml:space="preserve">圣托马斯·阿奎那，</w:t>
      </w:r>
      <w:r>
        <w:rPr>
          <w:i/>
          <w:iCs/>
        </w:rPr>
        <w:t xml:space="preserve">STh</w:t>
      </w:r>
      <w:r>
        <w:t xml:space="preserve"> </w:t>
      </w:r>
      <w:r>
        <w:t xml:space="preserve">I-II, 24, 1,</w:t>
      </w:r>
      <w:r>
        <w:t xml:space="preserve"> </w:t>
      </w:r>
      <w:r>
        <w:rPr>
          <w:i/>
          <w:iCs/>
        </w:rPr>
        <w:t xml:space="preserve">corp. art.</w:t>
      </w:r>
    </w:p>
  </w:footnote>
  <w:footnote w:id="2903">
    <w:p>
      <w:pPr>
        <w:pStyle w:val="FootnoteText"/>
      </w:pPr>
      <w:r>
        <w:rPr>
          <w:rStyle w:val="FootnoteReference"/>
        </w:rPr>
        <w:footnoteRef/>
      </w:r>
      <w:r>
        <w:t xml:space="preserve"> </w:t>
      </w:r>
      <w:r>
        <w:t xml:space="preserve">参 圣托马斯·阿奎那，</w:t>
      </w:r>
      <w:r>
        <w:rPr>
          <w:i/>
          <w:iCs/>
        </w:rPr>
        <w:t xml:space="preserve">STh</w:t>
      </w:r>
      <w:r>
        <w:t xml:space="preserve"> </w:t>
      </w:r>
      <w:r>
        <w:t xml:space="preserve">I-II, 24, 3。</w:t>
      </w:r>
    </w:p>
  </w:footnote>
  <w:footnote w:id="2904">
    <w:p>
      <w:pPr>
        <w:pStyle w:val="FootnoteText"/>
      </w:pPr>
      <w:r>
        <w:rPr>
          <w:rStyle w:val="FootnoteReference"/>
        </w:rPr>
        <w:footnoteRef/>
      </w:r>
      <w:r>
        <w:t xml:space="preserve"> </w:t>
      </w:r>
      <w:r>
        <w:t xml:space="preserve">诗 84:2。</w:t>
      </w:r>
    </w:p>
  </w:footnote>
  <w:footnote w:id="2908">
    <w:p>
      <w:pPr>
        <w:pStyle w:val="FootnoteText"/>
      </w:pPr>
      <w:r>
        <w:rPr>
          <w:rStyle w:val="FootnoteReference"/>
        </w:rPr>
        <w:footnoteRef/>
      </w:r>
      <w:r>
        <w:t xml:space="preserve"> </w:t>
      </w:r>
      <w:r>
        <w:t xml:space="preserve">GS 16。</w:t>
      </w:r>
    </w:p>
  </w:footnote>
  <w:footnote w:id="2909">
    <w:p>
      <w:pPr>
        <w:pStyle w:val="FootnoteText"/>
      </w:pPr>
      <w:r>
        <w:rPr>
          <w:rStyle w:val="FootnoteReference"/>
        </w:rPr>
        <w:footnoteRef/>
      </w:r>
      <w:r>
        <w:t xml:space="preserve"> </w:t>
      </w:r>
      <w:r>
        <w:t xml:space="preserve">参 罗 2:14-16。</w:t>
      </w:r>
    </w:p>
  </w:footnote>
  <w:footnote w:id="2910">
    <w:p>
      <w:pPr>
        <w:pStyle w:val="FootnoteText"/>
      </w:pPr>
      <w:r>
        <w:rPr>
          <w:rStyle w:val="FootnoteReference"/>
        </w:rPr>
        <w:footnoteRef/>
      </w:r>
      <w:r>
        <w:t xml:space="preserve"> </w:t>
      </w:r>
      <w:r>
        <w:t xml:space="preserve">参 罗 1:32。</w:t>
      </w:r>
    </w:p>
  </w:footnote>
  <w:footnote w:id="2911">
    <w:p>
      <w:pPr>
        <w:pStyle w:val="FootnoteText"/>
      </w:pPr>
      <w:r>
        <w:rPr>
          <w:rStyle w:val="FootnoteReference"/>
        </w:rPr>
        <w:footnoteRef/>
      </w:r>
      <w:r>
        <w:t xml:space="preserve"> </w:t>
      </w:r>
      <w:r>
        <w:t xml:space="preserve">约翰·亨利·纽曼，「致诺福克公爵书」，V，载于</w:t>
      </w:r>
      <w:r>
        <w:rPr>
          <w:i/>
          <w:iCs/>
        </w:rPr>
        <w:t xml:space="preserve">Certain Difficulties felt by Anglicans in Catholic Teaching</w:t>
      </w:r>
      <w:r>
        <w:t xml:space="preserve"> </w:t>
      </w:r>
      <w:r>
        <w:t xml:space="preserve">II（伦敦：Longmans Green，1885），248。</w:t>
      </w:r>
    </w:p>
  </w:footnote>
  <w:footnote w:id="2912">
    <w:p>
      <w:pPr>
        <w:pStyle w:val="FootnoteText"/>
      </w:pPr>
      <w:r>
        <w:rPr>
          <w:rStyle w:val="FootnoteReference"/>
        </w:rPr>
        <w:footnoteRef/>
      </w:r>
      <w:r>
        <w:t xml:space="preserve"> </w:t>
      </w:r>
      <w:r>
        <w:t xml:space="preserve">圣奥古斯丁，</w:t>
      </w:r>
      <w:r>
        <w:rPr>
          <w:i/>
          <w:iCs/>
        </w:rPr>
        <w:t xml:space="preserve">In ep. Jo.</w:t>
      </w:r>
      <w:r>
        <w:t xml:space="preserve"> </w:t>
      </w:r>
      <w:r>
        <w:t xml:space="preserve">8, 9：PL 35,2041。</w:t>
      </w:r>
    </w:p>
  </w:footnote>
  <w:footnote w:id="2913">
    <w:p>
      <w:pPr>
        <w:pStyle w:val="FootnoteText"/>
      </w:pPr>
      <w:r>
        <w:rPr>
          <w:rStyle w:val="FootnoteReference"/>
        </w:rPr>
        <w:footnoteRef/>
      </w:r>
      <w:r>
        <w:t xml:space="preserve"> </w:t>
      </w:r>
      <w:r>
        <w:t xml:space="preserve">约一 3:19-20。</w:t>
      </w:r>
    </w:p>
  </w:footnote>
  <w:footnote w:id="2915">
    <w:p>
      <w:pPr>
        <w:pStyle w:val="FootnoteText"/>
      </w:pPr>
      <w:r>
        <w:rPr>
          <w:rStyle w:val="FootnoteReference"/>
        </w:rPr>
        <w:footnoteRef/>
      </w:r>
      <w:r>
        <w:t xml:space="preserve"> </w:t>
      </w:r>
      <w:r>
        <w:t xml:space="preserve">参 诗 119:105。</w:t>
      </w:r>
    </w:p>
  </w:footnote>
  <w:footnote w:id="2916">
    <w:p>
      <w:pPr>
        <w:pStyle w:val="FootnoteText"/>
      </w:pPr>
      <w:r>
        <w:rPr>
          <w:rStyle w:val="FootnoteReference"/>
        </w:rPr>
        <w:footnoteRef/>
      </w:r>
      <w:r>
        <w:t xml:space="preserve"> </w:t>
      </w:r>
      <w:r>
        <w:t xml:space="preserve">参 DH 14。</w:t>
      </w:r>
    </w:p>
  </w:footnote>
  <w:footnote w:id="2918">
    <w:p>
      <w:pPr>
        <w:pStyle w:val="FootnoteText"/>
      </w:pPr>
      <w:r>
        <w:rPr>
          <w:rStyle w:val="FootnoteReference"/>
        </w:rPr>
        <w:footnoteRef/>
      </w:r>
      <w:r>
        <w:t xml:space="preserve"> </w:t>
      </w:r>
      <w:r>
        <w:t xml:space="preserve">太 7:12；参 路 6:31；多俾亚传 4:15。</w:t>
      </w:r>
    </w:p>
  </w:footnote>
  <w:footnote w:id="2919">
    <w:p>
      <w:pPr>
        <w:pStyle w:val="FootnoteText"/>
      </w:pPr>
      <w:r>
        <w:rPr>
          <w:rStyle w:val="FootnoteReference"/>
        </w:rPr>
        <w:footnoteRef/>
      </w:r>
      <w:r>
        <w:t xml:space="preserve"> </w:t>
      </w:r>
      <w:r>
        <w:t xml:space="preserve">林前 8:12。</w:t>
      </w:r>
    </w:p>
  </w:footnote>
  <w:footnote w:id="2920">
    <w:p>
      <w:pPr>
        <w:pStyle w:val="FootnoteText"/>
      </w:pPr>
      <w:r>
        <w:rPr>
          <w:rStyle w:val="FootnoteReference"/>
        </w:rPr>
        <w:footnoteRef/>
      </w:r>
      <w:r>
        <w:t xml:space="preserve"> </w:t>
      </w:r>
      <w:r>
        <w:t xml:space="preserve">罗 14:21。</w:t>
      </w:r>
    </w:p>
  </w:footnote>
  <w:footnote w:id="2922">
    <w:p>
      <w:pPr>
        <w:pStyle w:val="FootnoteText"/>
      </w:pPr>
      <w:r>
        <w:rPr>
          <w:rStyle w:val="FootnoteReference"/>
        </w:rPr>
        <w:footnoteRef/>
      </w:r>
      <w:r>
        <w:t xml:space="preserve"> </w:t>
      </w:r>
      <w:r>
        <w:t xml:space="preserve">GS 16。</w:t>
      </w:r>
    </w:p>
  </w:footnote>
  <w:footnote w:id="2923">
    <w:p>
      <w:pPr>
        <w:pStyle w:val="FootnoteText"/>
      </w:pPr>
      <w:r>
        <w:rPr>
          <w:rStyle w:val="FootnoteReference"/>
        </w:rPr>
        <w:footnoteRef/>
      </w:r>
      <w:r>
        <w:t xml:space="preserve"> </w:t>
      </w:r>
      <w:r>
        <w:t xml:space="preserve">提前 1:5；参 提前 3:9；提后 1:3；彼前 3:21；徒 24:16。</w:t>
      </w:r>
    </w:p>
  </w:footnote>
  <w:footnote w:id="2924">
    <w:p>
      <w:pPr>
        <w:pStyle w:val="FootnoteText"/>
      </w:pPr>
      <w:r>
        <w:rPr>
          <w:rStyle w:val="FootnoteReference"/>
        </w:rPr>
        <w:footnoteRef/>
      </w:r>
      <w:r>
        <w:t xml:space="preserve"> </w:t>
      </w:r>
      <w:r>
        <w:t xml:space="preserve">GS 16。</w:t>
      </w:r>
    </w:p>
  </w:footnote>
  <w:footnote w:id="2928">
    <w:p>
      <w:pPr>
        <w:pStyle w:val="FootnoteText"/>
      </w:pPr>
      <w:r>
        <w:rPr>
          <w:rStyle w:val="FootnoteReference"/>
        </w:rPr>
        <w:footnoteRef/>
      </w:r>
      <w:r>
        <w:t xml:space="preserve"> </w:t>
      </w:r>
      <w:r>
        <w:t xml:space="preserve">腓 4:8。</w:t>
      </w:r>
    </w:p>
  </w:footnote>
  <w:footnote w:id="2929">
    <w:p>
      <w:pPr>
        <w:pStyle w:val="FootnoteText"/>
      </w:pPr>
      <w:r>
        <w:rPr>
          <w:rStyle w:val="FootnoteReference"/>
        </w:rPr>
        <w:footnoteRef/>
      </w:r>
      <w:r>
        <w:t xml:space="preserve"> </w:t>
      </w:r>
      <w:r>
        <w:t xml:space="preserve">圣贵钩利·尼撒，</w:t>
      </w:r>
      <w:r>
        <w:rPr>
          <w:i/>
          <w:iCs/>
        </w:rPr>
        <w:t xml:space="preserve">De beatitudinibus</w:t>
      </w:r>
      <w:r>
        <w:t xml:space="preserve">，1：PG 44,1200D。</w:t>
      </w:r>
    </w:p>
  </w:footnote>
  <w:footnote w:id="2930">
    <w:p>
      <w:pPr>
        <w:pStyle w:val="FootnoteText"/>
      </w:pPr>
      <w:r>
        <w:rPr>
          <w:rStyle w:val="FootnoteReference"/>
        </w:rPr>
        <w:footnoteRef/>
      </w:r>
      <w:r>
        <w:t xml:space="preserve"> </w:t>
      </w:r>
      <w:r>
        <w:t xml:space="preserve">智慧篇 8:7。</w:t>
      </w:r>
    </w:p>
  </w:footnote>
  <w:footnote w:id="2931">
    <w:p>
      <w:pPr>
        <w:pStyle w:val="FootnoteText"/>
      </w:pPr>
      <w:r>
        <w:rPr>
          <w:rStyle w:val="FootnoteReference"/>
        </w:rPr>
        <w:footnoteRef/>
      </w:r>
      <w:r>
        <w:t xml:space="preserve"> </w:t>
      </w:r>
      <w:r>
        <w:t xml:space="preserve">箴 14:15。</w:t>
      </w:r>
    </w:p>
  </w:footnote>
  <w:footnote w:id="2932">
    <w:p>
      <w:pPr>
        <w:pStyle w:val="FootnoteText"/>
      </w:pPr>
      <w:r>
        <w:rPr>
          <w:rStyle w:val="FootnoteReference"/>
        </w:rPr>
        <w:footnoteRef/>
      </w:r>
      <w:r>
        <w:t xml:space="preserve"> </w:t>
      </w:r>
      <w:r>
        <w:t xml:space="preserve">彼前 4:7。</w:t>
      </w:r>
    </w:p>
  </w:footnote>
  <w:footnote w:id="2933">
    <w:p>
      <w:pPr>
        <w:pStyle w:val="FootnoteText"/>
      </w:pPr>
      <w:r>
        <w:rPr>
          <w:rStyle w:val="FootnoteReference"/>
        </w:rPr>
        <w:footnoteRef/>
      </w:r>
      <w:r>
        <w:t xml:space="preserve"> </w:t>
      </w:r>
      <w:r>
        <w:t xml:space="preserve">圣托马斯·阿奎那，</w:t>
      </w:r>
      <w:r>
        <w:rPr>
          <w:i/>
          <w:iCs/>
        </w:rPr>
        <w:t xml:space="preserve">STh</w:t>
      </w:r>
      <w:r>
        <w:t xml:space="preserve"> </w:t>
      </w:r>
      <w:r>
        <w:t xml:space="preserve">II-II, 47, 2。</w:t>
      </w:r>
    </w:p>
  </w:footnote>
  <w:footnote w:id="2934">
    <w:p>
      <w:pPr>
        <w:pStyle w:val="FootnoteText"/>
      </w:pPr>
      <w:r>
        <w:rPr>
          <w:rStyle w:val="FootnoteReference"/>
        </w:rPr>
        <w:footnoteRef/>
      </w:r>
      <w:r>
        <w:t xml:space="preserve"> </w:t>
      </w:r>
      <w:r>
        <w:t xml:space="preserve">利 19:15。</w:t>
      </w:r>
    </w:p>
  </w:footnote>
  <w:footnote w:id="2935">
    <w:p>
      <w:pPr>
        <w:pStyle w:val="FootnoteText"/>
      </w:pPr>
      <w:r>
        <w:rPr>
          <w:rStyle w:val="FootnoteReference"/>
        </w:rPr>
        <w:footnoteRef/>
      </w:r>
      <w:r>
        <w:t xml:space="preserve"> </w:t>
      </w:r>
      <w:r>
        <w:t xml:space="preserve">西 4:1。</w:t>
      </w:r>
    </w:p>
  </w:footnote>
  <w:footnote w:id="2936">
    <w:p>
      <w:pPr>
        <w:pStyle w:val="FootnoteText"/>
      </w:pPr>
      <w:r>
        <w:rPr>
          <w:rStyle w:val="FootnoteReference"/>
        </w:rPr>
        <w:footnoteRef/>
      </w:r>
      <w:r>
        <w:t xml:space="preserve"> </w:t>
      </w:r>
      <w:r>
        <w:t xml:space="preserve">诗 118:14。</w:t>
      </w:r>
    </w:p>
  </w:footnote>
  <w:footnote w:id="2937">
    <w:p>
      <w:pPr>
        <w:pStyle w:val="FootnoteText"/>
      </w:pPr>
      <w:r>
        <w:rPr>
          <w:rStyle w:val="FootnoteReference"/>
        </w:rPr>
        <w:footnoteRef/>
      </w:r>
      <w:r>
        <w:t xml:space="preserve"> </w:t>
      </w:r>
      <w:r>
        <w:t xml:space="preserve">约 16:33。</w:t>
      </w:r>
    </w:p>
  </w:footnote>
  <w:footnote w:id="2938">
    <w:p>
      <w:pPr>
        <w:pStyle w:val="FootnoteText"/>
      </w:pPr>
      <w:r>
        <w:rPr>
          <w:rStyle w:val="FootnoteReference"/>
        </w:rPr>
        <w:footnoteRef/>
      </w:r>
      <w:r>
        <w:t xml:space="preserve"> </w:t>
      </w:r>
      <w:r>
        <w:t xml:space="preserve">德训篇 5:2；参 德训篇 37:27-31。</w:t>
      </w:r>
    </w:p>
  </w:footnote>
  <w:footnote w:id="2939">
    <w:p>
      <w:pPr>
        <w:pStyle w:val="FootnoteText"/>
      </w:pPr>
      <w:r>
        <w:rPr>
          <w:rStyle w:val="FootnoteReference"/>
        </w:rPr>
        <w:footnoteRef/>
      </w:r>
      <w:r>
        <w:t xml:space="preserve"> </w:t>
      </w:r>
      <w:r>
        <w:t xml:space="preserve">德训篇 18:30。</w:t>
      </w:r>
    </w:p>
  </w:footnote>
  <w:footnote w:id="2940">
    <w:p>
      <w:pPr>
        <w:pStyle w:val="FootnoteText"/>
      </w:pPr>
      <w:r>
        <w:rPr>
          <w:rStyle w:val="FootnoteReference"/>
        </w:rPr>
        <w:footnoteRef/>
      </w:r>
      <w:r>
        <w:t xml:space="preserve"> </w:t>
      </w:r>
      <w:r>
        <w:t xml:space="preserve">提 2:12。</w:t>
      </w:r>
    </w:p>
  </w:footnote>
  <w:footnote w:id="2941">
    <w:p>
      <w:pPr>
        <w:pStyle w:val="FootnoteText"/>
      </w:pPr>
      <w:r>
        <w:rPr>
          <w:rStyle w:val="FootnoteReference"/>
        </w:rPr>
        <w:footnoteRef/>
      </w:r>
      <w:r>
        <w:t xml:space="preserve"> </w:t>
      </w:r>
      <w:r>
        <w:t xml:space="preserve">圣奥古斯丁，</w:t>
      </w:r>
      <w:r>
        <w:rPr>
          <w:i/>
          <w:iCs/>
        </w:rPr>
        <w:t xml:space="preserve">De moribus ecclesiae</w:t>
      </w:r>
      <w:r>
        <w:t xml:space="preserve"> </w:t>
      </w:r>
      <w:r>
        <w:t xml:space="preserve">1, 25, 46：PL 32,1330-1331。</w:t>
      </w:r>
    </w:p>
  </w:footnote>
  <w:footnote w:id="2943">
    <w:p>
      <w:pPr>
        <w:pStyle w:val="FootnoteText"/>
      </w:pPr>
      <w:r>
        <w:rPr>
          <w:rStyle w:val="FootnoteReference"/>
        </w:rPr>
        <w:footnoteRef/>
      </w:r>
      <w:r>
        <w:t xml:space="preserve"> </w:t>
      </w:r>
      <w:r>
        <w:t xml:space="preserve">参 彼后 1:4。</w:t>
      </w:r>
    </w:p>
  </w:footnote>
  <w:footnote w:id="2944">
    <w:p>
      <w:pPr>
        <w:pStyle w:val="FootnoteText"/>
      </w:pPr>
      <w:r>
        <w:rPr>
          <w:rStyle w:val="FootnoteReference"/>
        </w:rPr>
        <w:footnoteRef/>
      </w:r>
      <w:r>
        <w:t xml:space="preserve"> </w:t>
      </w:r>
      <w:r>
        <w:t xml:space="preserve">参 林前 13:13。</w:t>
      </w:r>
    </w:p>
  </w:footnote>
  <w:footnote w:id="2945">
    <w:p>
      <w:pPr>
        <w:pStyle w:val="FootnoteText"/>
      </w:pPr>
      <w:r>
        <w:rPr>
          <w:rStyle w:val="FootnoteReference"/>
        </w:rPr>
        <w:footnoteRef/>
      </w:r>
      <w:r>
        <w:t xml:space="preserve"> </w:t>
      </w:r>
      <w:r>
        <w:t xml:space="preserve">DV 5。</w:t>
      </w:r>
    </w:p>
  </w:footnote>
  <w:footnote w:id="2946">
    <w:p>
      <w:pPr>
        <w:pStyle w:val="FootnoteText"/>
      </w:pPr>
      <w:r>
        <w:rPr>
          <w:rStyle w:val="FootnoteReference"/>
        </w:rPr>
        <w:footnoteRef/>
      </w:r>
      <w:r>
        <w:t xml:space="preserve"> </w:t>
      </w:r>
      <w:r>
        <w:t xml:space="preserve">罗 1:17；加 5:6。</w:t>
      </w:r>
    </w:p>
  </w:footnote>
  <w:footnote w:id="2947">
    <w:p>
      <w:pPr>
        <w:pStyle w:val="FootnoteText"/>
      </w:pPr>
      <w:r>
        <w:rPr>
          <w:rStyle w:val="FootnoteReference"/>
        </w:rPr>
        <w:footnoteRef/>
      </w:r>
      <w:r>
        <w:t xml:space="preserve"> </w:t>
      </w:r>
      <w:r>
        <w:t xml:space="preserve">参特利腾会议（1547）：DS 1545。</w:t>
      </w:r>
    </w:p>
  </w:footnote>
  <w:footnote w:id="2948">
    <w:p>
      <w:pPr>
        <w:pStyle w:val="FootnoteText"/>
      </w:pPr>
      <w:r>
        <w:rPr>
          <w:rStyle w:val="FootnoteReference"/>
        </w:rPr>
        <w:footnoteRef/>
      </w:r>
      <w:r>
        <w:t xml:space="preserve"> </w:t>
      </w:r>
      <w:r>
        <w:t xml:space="preserve">雅 2:26。</w:t>
      </w:r>
    </w:p>
  </w:footnote>
  <w:footnote w:id="2949">
    <w:p>
      <w:pPr>
        <w:pStyle w:val="FootnoteText"/>
      </w:pPr>
      <w:r>
        <w:rPr>
          <w:rStyle w:val="FootnoteReference"/>
        </w:rPr>
        <w:footnoteRef/>
      </w:r>
      <w:r>
        <w:t xml:space="preserve"> </w:t>
      </w:r>
      <w:r>
        <w:t xml:space="preserve">LG 42；参 DH 14。</w:t>
      </w:r>
    </w:p>
  </w:footnote>
  <w:footnote w:id="2950">
    <w:p>
      <w:pPr>
        <w:pStyle w:val="FootnoteText"/>
      </w:pPr>
      <w:r>
        <w:rPr>
          <w:rStyle w:val="FootnoteReference"/>
        </w:rPr>
        <w:footnoteRef/>
      </w:r>
      <w:r>
        <w:t xml:space="preserve"> </w:t>
      </w:r>
      <w:r>
        <w:t xml:space="preserve">太 10:32-33。</w:t>
      </w:r>
    </w:p>
  </w:footnote>
  <w:footnote w:id="2951">
    <w:p>
      <w:pPr>
        <w:pStyle w:val="FootnoteText"/>
      </w:pPr>
      <w:r>
        <w:rPr>
          <w:rStyle w:val="FootnoteReference"/>
        </w:rPr>
        <w:footnoteRef/>
      </w:r>
      <w:r>
        <w:t xml:space="preserve"> </w:t>
      </w:r>
      <w:r>
        <w:t xml:space="preserve">来 10:23。</w:t>
      </w:r>
    </w:p>
  </w:footnote>
  <w:footnote w:id="2952">
    <w:p>
      <w:pPr>
        <w:pStyle w:val="FootnoteText"/>
      </w:pPr>
      <w:r>
        <w:rPr>
          <w:rStyle w:val="FootnoteReference"/>
        </w:rPr>
        <w:footnoteRef/>
      </w:r>
      <w:r>
        <w:t xml:space="preserve"> </w:t>
      </w:r>
      <w:r>
        <w:t xml:space="preserve">多 3:6-7。</w:t>
      </w:r>
    </w:p>
  </w:footnote>
  <w:footnote w:id="2953">
    <w:p>
      <w:pPr>
        <w:pStyle w:val="FootnoteText"/>
      </w:pPr>
      <w:r>
        <w:rPr>
          <w:rStyle w:val="FootnoteReference"/>
        </w:rPr>
        <w:footnoteRef/>
      </w:r>
      <w:r>
        <w:t xml:space="preserve"> </w:t>
      </w:r>
      <w:r>
        <w:t xml:space="preserve">参 创 17:4-8；22:1-18。</w:t>
      </w:r>
    </w:p>
  </w:footnote>
  <w:footnote w:id="2954">
    <w:p>
      <w:pPr>
        <w:pStyle w:val="FootnoteText"/>
      </w:pPr>
      <w:r>
        <w:rPr>
          <w:rStyle w:val="FootnoteReference"/>
        </w:rPr>
        <w:footnoteRef/>
      </w:r>
      <w:r>
        <w:t xml:space="preserve"> </w:t>
      </w:r>
      <w:r>
        <w:t xml:space="preserve">罗 4:18。</w:t>
      </w:r>
    </w:p>
  </w:footnote>
  <w:footnote w:id="2955">
    <w:p>
      <w:pPr>
        <w:pStyle w:val="FootnoteText"/>
      </w:pPr>
      <w:r>
        <w:rPr>
          <w:rStyle w:val="FootnoteReference"/>
        </w:rPr>
        <w:footnoteRef/>
      </w:r>
      <w:r>
        <w:t xml:space="preserve"> </w:t>
      </w:r>
      <w:r>
        <w:t xml:space="preserve">罗 5:5。</w:t>
      </w:r>
    </w:p>
  </w:footnote>
  <w:footnote w:id="2956">
    <w:p>
      <w:pPr>
        <w:pStyle w:val="FootnoteText"/>
      </w:pPr>
      <w:r>
        <w:rPr>
          <w:rStyle w:val="FootnoteReference"/>
        </w:rPr>
        <w:footnoteRef/>
      </w:r>
      <w:r>
        <w:t xml:space="preserve"> </w:t>
      </w:r>
      <w:r>
        <w:t xml:space="preserve">来 6:19-20。</w:t>
      </w:r>
    </w:p>
  </w:footnote>
  <w:footnote w:id="2957">
    <w:p>
      <w:pPr>
        <w:pStyle w:val="FootnoteText"/>
      </w:pPr>
      <w:r>
        <w:rPr>
          <w:rStyle w:val="FootnoteReference"/>
        </w:rPr>
        <w:footnoteRef/>
      </w:r>
      <w:r>
        <w:t xml:space="preserve"> </w:t>
      </w:r>
      <w:r>
        <w:t xml:space="preserve">帖前 5:8。</w:t>
      </w:r>
    </w:p>
  </w:footnote>
  <w:footnote w:id="2958">
    <w:p>
      <w:pPr>
        <w:pStyle w:val="FootnoteText"/>
      </w:pPr>
      <w:r>
        <w:rPr>
          <w:rStyle w:val="FootnoteReference"/>
        </w:rPr>
        <w:footnoteRef/>
      </w:r>
      <w:r>
        <w:t xml:space="preserve"> </w:t>
      </w:r>
      <w:r>
        <w:t xml:space="preserve">罗 12:12。</w:t>
      </w:r>
    </w:p>
  </w:footnote>
  <w:footnote w:id="2959">
    <w:p>
      <w:pPr>
        <w:pStyle w:val="FootnoteText"/>
      </w:pPr>
      <w:r>
        <w:rPr>
          <w:rStyle w:val="FootnoteReference"/>
        </w:rPr>
        <w:footnoteRef/>
      </w:r>
      <w:r>
        <w:t xml:space="preserve"> </w:t>
      </w:r>
      <w:r>
        <w:t xml:space="preserve">参 罗 8:28-30；太 7:21。</w:t>
      </w:r>
    </w:p>
  </w:footnote>
  <w:footnote w:id="2960">
    <w:p>
      <w:pPr>
        <w:pStyle w:val="FootnoteText"/>
      </w:pPr>
      <w:r>
        <w:rPr>
          <w:rStyle w:val="FootnoteReference"/>
        </w:rPr>
        <w:footnoteRef/>
      </w:r>
      <w:r>
        <w:t xml:space="preserve"> </w:t>
      </w:r>
      <w:r>
        <w:t xml:space="preserve">太 10:22；参特利腾会议：DS 1541。</w:t>
      </w:r>
    </w:p>
  </w:footnote>
  <w:footnote w:id="2961">
    <w:p>
      <w:pPr>
        <w:pStyle w:val="FootnoteText"/>
      </w:pPr>
      <w:r>
        <w:rPr>
          <w:rStyle w:val="FootnoteReference"/>
        </w:rPr>
        <w:footnoteRef/>
      </w:r>
      <w:r>
        <w:t xml:space="preserve"> </w:t>
      </w:r>
      <w:r>
        <w:t xml:space="preserve">提前 2:4。</w:t>
      </w:r>
    </w:p>
  </w:footnote>
  <w:footnote w:id="2962">
    <w:p>
      <w:pPr>
        <w:pStyle w:val="FootnoteText"/>
      </w:pPr>
      <w:r>
        <w:rPr>
          <w:rStyle w:val="FootnoteReference"/>
        </w:rPr>
        <w:footnoteRef/>
      </w:r>
      <w:r>
        <w:t xml:space="preserve"> </w:t>
      </w:r>
      <w:r>
        <w:t xml:space="preserve">圣特蕾莎·亚维拉，</w:t>
      </w:r>
      <w:r>
        <w:rPr>
          <w:i/>
          <w:iCs/>
        </w:rPr>
        <w:t xml:space="preserve">Exclamaciones</w:t>
      </w:r>
      <w:r>
        <w:t xml:space="preserve">，15:3。</w:t>
      </w:r>
    </w:p>
  </w:footnote>
  <w:footnote w:id="2963">
    <w:p>
      <w:pPr>
        <w:pStyle w:val="FootnoteText"/>
      </w:pPr>
      <w:r>
        <w:rPr>
          <w:rStyle w:val="FootnoteReference"/>
        </w:rPr>
        <w:footnoteRef/>
      </w:r>
      <w:r>
        <w:t xml:space="preserve"> </w:t>
      </w:r>
      <w:r>
        <w:t xml:space="preserve">参 约 13:34。</w:t>
      </w:r>
    </w:p>
  </w:footnote>
  <w:footnote w:id="2964">
    <w:p>
      <w:pPr>
        <w:pStyle w:val="FootnoteText"/>
      </w:pPr>
      <w:r>
        <w:rPr>
          <w:rStyle w:val="FootnoteReference"/>
        </w:rPr>
        <w:footnoteRef/>
      </w:r>
      <w:r>
        <w:t xml:space="preserve"> </w:t>
      </w:r>
      <w:r>
        <w:t xml:space="preserve">约 13:1。</w:t>
      </w:r>
    </w:p>
  </w:footnote>
  <w:footnote w:id="2965">
    <w:p>
      <w:pPr>
        <w:pStyle w:val="FootnoteText"/>
      </w:pPr>
      <w:r>
        <w:rPr>
          <w:rStyle w:val="FootnoteReference"/>
        </w:rPr>
        <w:footnoteRef/>
      </w:r>
      <w:r>
        <w:t xml:space="preserve"> </w:t>
      </w:r>
      <w:r>
        <w:t xml:space="preserve">约 15:9，12。</w:t>
      </w:r>
    </w:p>
  </w:footnote>
  <w:footnote w:id="2966">
    <w:p>
      <w:pPr>
        <w:pStyle w:val="FootnoteText"/>
      </w:pPr>
      <w:r>
        <w:rPr>
          <w:rStyle w:val="FootnoteReference"/>
        </w:rPr>
        <w:footnoteRef/>
      </w:r>
      <w:r>
        <w:t xml:space="preserve"> </w:t>
      </w:r>
      <w:r>
        <w:t xml:space="preserve">约 15:9-10；参 太 22:40；罗 13:8-10。</w:t>
      </w:r>
    </w:p>
  </w:footnote>
  <w:footnote w:id="2967">
    <w:p>
      <w:pPr>
        <w:pStyle w:val="FootnoteText"/>
      </w:pPr>
      <w:r>
        <w:rPr>
          <w:rStyle w:val="FootnoteReference"/>
        </w:rPr>
        <w:footnoteRef/>
      </w:r>
      <w:r>
        <w:t xml:space="preserve"> </w:t>
      </w:r>
      <w:r>
        <w:t xml:space="preserve">罗 5:10。</w:t>
      </w:r>
    </w:p>
  </w:footnote>
  <w:footnote w:id="2968">
    <w:p>
      <w:pPr>
        <w:pStyle w:val="FootnoteText"/>
      </w:pPr>
      <w:r>
        <w:rPr>
          <w:rStyle w:val="FootnoteReference"/>
        </w:rPr>
        <w:footnoteRef/>
      </w:r>
      <w:r>
        <w:t xml:space="preserve"> </w:t>
      </w:r>
      <w:r>
        <w:t xml:space="preserve">参 太 5:44；路 10:27-37；可 9:37；太 25:40，45。</w:t>
      </w:r>
    </w:p>
  </w:footnote>
  <w:footnote w:id="2969">
    <w:p>
      <w:pPr>
        <w:pStyle w:val="FootnoteText"/>
      </w:pPr>
      <w:r>
        <w:rPr>
          <w:rStyle w:val="FootnoteReference"/>
        </w:rPr>
        <w:footnoteRef/>
      </w:r>
      <w:r>
        <w:t xml:space="preserve"> </w:t>
      </w:r>
      <w:r>
        <w:t xml:space="preserve">林前 13:4-7。</w:t>
      </w:r>
    </w:p>
  </w:footnote>
  <w:footnote w:id="2970">
    <w:p>
      <w:pPr>
        <w:pStyle w:val="FootnoteText"/>
      </w:pPr>
      <w:r>
        <w:rPr>
          <w:rStyle w:val="FootnoteReference"/>
        </w:rPr>
        <w:footnoteRef/>
      </w:r>
      <w:r>
        <w:t xml:space="preserve"> </w:t>
      </w:r>
      <w:r>
        <w:t xml:space="preserve">林前 13:1-4。</w:t>
      </w:r>
    </w:p>
  </w:footnote>
  <w:footnote w:id="2971">
    <w:p>
      <w:pPr>
        <w:pStyle w:val="FootnoteText"/>
      </w:pPr>
      <w:r>
        <w:rPr>
          <w:rStyle w:val="FootnoteReference"/>
        </w:rPr>
        <w:footnoteRef/>
      </w:r>
      <w:r>
        <w:t xml:space="preserve"> </w:t>
      </w:r>
      <w:r>
        <w:t xml:space="preserve">林前 13:13。</w:t>
      </w:r>
    </w:p>
  </w:footnote>
  <w:footnote w:id="2972">
    <w:p>
      <w:pPr>
        <w:pStyle w:val="FootnoteText"/>
      </w:pPr>
      <w:r>
        <w:rPr>
          <w:rStyle w:val="FootnoteReference"/>
        </w:rPr>
        <w:footnoteRef/>
      </w:r>
      <w:r>
        <w:t xml:space="preserve"> </w:t>
      </w:r>
      <w:r>
        <w:t xml:space="preserve">西 3:14。</w:t>
      </w:r>
    </w:p>
  </w:footnote>
  <w:footnote w:id="2973">
    <w:p>
      <w:pPr>
        <w:pStyle w:val="FootnoteText"/>
      </w:pPr>
      <w:r>
        <w:rPr>
          <w:rStyle w:val="FootnoteReference"/>
        </w:rPr>
        <w:footnoteRef/>
      </w:r>
      <w:r>
        <w:t xml:space="preserve"> </w:t>
      </w:r>
      <w:r>
        <w:t xml:space="preserve">参 约壹 4:19。</w:t>
      </w:r>
    </w:p>
  </w:footnote>
  <w:footnote w:id="2974">
    <w:p>
      <w:pPr>
        <w:pStyle w:val="FootnoteText"/>
      </w:pPr>
      <w:r>
        <w:rPr>
          <w:rStyle w:val="FootnoteReference"/>
        </w:rPr>
        <w:footnoteRef/>
      </w:r>
      <w:r>
        <w:t xml:space="preserve"> </w:t>
      </w:r>
      <w:r>
        <w:t xml:space="preserve">圣巴西流，</w:t>
      </w:r>
      <w:r>
        <w:rPr>
          <w:i/>
          <w:iCs/>
        </w:rPr>
        <w:t xml:space="preserve">Regulae fusius tractatae</w:t>
      </w:r>
      <w:r>
        <w:t xml:space="preserve">，prol. 3：PG 31,896B。</w:t>
      </w:r>
    </w:p>
  </w:footnote>
  <w:footnote w:id="2975">
    <w:p>
      <w:pPr>
        <w:pStyle w:val="FootnoteText"/>
      </w:pPr>
      <w:r>
        <w:rPr>
          <w:rStyle w:val="FootnoteReference"/>
        </w:rPr>
        <w:footnoteRef/>
      </w:r>
      <w:r>
        <w:t xml:space="preserve"> </w:t>
      </w:r>
      <w:r>
        <w:t xml:space="preserve">圣奥古斯丁，</w:t>
      </w:r>
      <w:r>
        <w:rPr>
          <w:i/>
          <w:iCs/>
        </w:rPr>
        <w:t xml:space="preserve">In ep. Jo.</w:t>
      </w:r>
      <w:r>
        <w:t xml:space="preserve"> </w:t>
      </w:r>
      <w:r>
        <w:t xml:space="preserve">10, 4：PL 35,2057。</w:t>
      </w:r>
    </w:p>
  </w:footnote>
  <w:footnote w:id="2977">
    <w:p>
      <w:pPr>
        <w:pStyle w:val="FootnoteText"/>
      </w:pPr>
      <w:r>
        <w:rPr>
          <w:rStyle w:val="FootnoteReference"/>
        </w:rPr>
        <w:footnoteRef/>
      </w:r>
      <w:r>
        <w:t xml:space="preserve"> </w:t>
      </w:r>
      <w:r>
        <w:t xml:space="preserve">参 赛 11:1-2。</w:t>
      </w:r>
    </w:p>
  </w:footnote>
  <w:footnote w:id="2978">
    <w:p>
      <w:pPr>
        <w:pStyle w:val="FootnoteText"/>
      </w:pPr>
      <w:r>
        <w:rPr>
          <w:rStyle w:val="FootnoteReference"/>
        </w:rPr>
        <w:footnoteRef/>
      </w:r>
      <w:r>
        <w:t xml:space="preserve"> </w:t>
      </w:r>
      <w:r>
        <w:t xml:space="preserve">诗 143:10。</w:t>
      </w:r>
    </w:p>
  </w:footnote>
  <w:footnote w:id="2979">
    <w:p>
      <w:pPr>
        <w:pStyle w:val="FootnoteText"/>
      </w:pPr>
      <w:r>
        <w:rPr>
          <w:rStyle w:val="FootnoteReference"/>
        </w:rPr>
        <w:footnoteRef/>
      </w:r>
      <w:r>
        <w:t xml:space="preserve"> </w:t>
      </w:r>
      <w:r>
        <w:t xml:space="preserve">罗 8:14，17。</w:t>
      </w:r>
    </w:p>
  </w:footnote>
  <w:footnote w:id="2980">
    <w:p>
      <w:pPr>
        <w:pStyle w:val="FootnoteText"/>
      </w:pPr>
      <w:r>
        <w:rPr>
          <w:rStyle w:val="FootnoteReference"/>
        </w:rPr>
        <w:footnoteRef/>
      </w:r>
      <w:r>
        <w:t xml:space="preserve"> </w:t>
      </w:r>
      <w:r>
        <w:t xml:space="preserve">加 5:22-23（Vulg.）。</w:t>
      </w:r>
    </w:p>
  </w:footnote>
  <w:footnote w:id="2984">
    <w:p>
      <w:pPr>
        <w:pStyle w:val="FootnoteText"/>
      </w:pPr>
      <w:r>
        <w:rPr>
          <w:rStyle w:val="FootnoteReference"/>
        </w:rPr>
        <w:footnoteRef/>
      </w:r>
      <w:r>
        <w:t xml:space="preserve"> </w:t>
      </w:r>
      <w:r>
        <w:t xml:space="preserve">参 路 15。</w:t>
      </w:r>
    </w:p>
  </w:footnote>
  <w:footnote w:id="2985">
    <w:p>
      <w:pPr>
        <w:pStyle w:val="FootnoteText"/>
      </w:pPr>
      <w:r>
        <w:rPr>
          <w:rStyle w:val="FootnoteReference"/>
        </w:rPr>
        <w:footnoteRef/>
      </w:r>
      <w:r>
        <w:t xml:space="preserve"> </w:t>
      </w:r>
      <w:r>
        <w:t xml:space="preserve">太 1:21。</w:t>
      </w:r>
    </w:p>
  </w:footnote>
  <w:footnote w:id="2986">
    <w:p>
      <w:pPr>
        <w:pStyle w:val="FootnoteText"/>
      </w:pPr>
      <w:r>
        <w:rPr>
          <w:rStyle w:val="FootnoteReference"/>
        </w:rPr>
        <w:footnoteRef/>
      </w:r>
      <w:r>
        <w:t xml:space="preserve"> </w:t>
      </w:r>
      <w:r>
        <w:t xml:space="preserve">太 26:28。</w:t>
      </w:r>
    </w:p>
  </w:footnote>
  <w:footnote w:id="2987">
    <w:p>
      <w:pPr>
        <w:pStyle w:val="FootnoteText"/>
      </w:pPr>
      <w:r>
        <w:rPr>
          <w:rStyle w:val="FootnoteReference"/>
        </w:rPr>
        <w:footnoteRef/>
      </w:r>
      <w:r>
        <w:t xml:space="preserve"> </w:t>
      </w:r>
      <w:r>
        <w:t xml:space="preserve">圣奥古斯丁，</w:t>
      </w:r>
      <w:r>
        <w:rPr>
          <w:i/>
          <w:iCs/>
        </w:rPr>
        <w:t xml:space="preserve">Sermo</w:t>
      </w:r>
      <w:r>
        <w:t xml:space="preserve"> </w:t>
      </w:r>
      <w:r>
        <w:t xml:space="preserve">169, 11, 13：PL 38,923。</w:t>
      </w:r>
    </w:p>
  </w:footnote>
  <w:footnote w:id="2988">
    <w:p>
      <w:pPr>
        <w:pStyle w:val="FootnoteText"/>
      </w:pPr>
      <w:r>
        <w:rPr>
          <w:rStyle w:val="FootnoteReference"/>
        </w:rPr>
        <w:footnoteRef/>
      </w:r>
      <w:r>
        <w:t xml:space="preserve"> </w:t>
      </w:r>
      <w:r>
        <w:t xml:space="preserve">约壹 1:8-9。</w:t>
      </w:r>
    </w:p>
  </w:footnote>
  <w:footnote w:id="2989">
    <w:p>
      <w:pPr>
        <w:pStyle w:val="FootnoteText"/>
      </w:pPr>
      <w:r>
        <w:rPr>
          <w:rStyle w:val="FootnoteReference"/>
        </w:rPr>
        <w:footnoteRef/>
      </w:r>
      <w:r>
        <w:t xml:space="preserve"> </w:t>
      </w:r>
      <w:r>
        <w:t xml:space="preserve">罗 5:20。</w:t>
      </w:r>
    </w:p>
  </w:footnote>
  <w:footnote w:id="2990">
    <w:p>
      <w:pPr>
        <w:pStyle w:val="FootnoteText"/>
      </w:pPr>
      <w:r>
        <w:rPr>
          <w:rStyle w:val="FootnoteReference"/>
        </w:rPr>
        <w:footnoteRef/>
      </w:r>
      <w:r>
        <w:t xml:space="preserve"> </w:t>
      </w:r>
      <w:r>
        <w:t xml:space="preserve">罗 5:21。</w:t>
      </w:r>
    </w:p>
  </w:footnote>
  <w:footnote w:id="2991">
    <w:p>
      <w:pPr>
        <w:pStyle w:val="FootnoteText"/>
      </w:pPr>
      <w:r>
        <w:rPr>
          <w:rStyle w:val="FootnoteReference"/>
        </w:rPr>
        <w:footnoteRef/>
      </w:r>
      <w:r>
        <w:t xml:space="preserve"> </w:t>
      </w:r>
      <w:r>
        <w:t xml:space="preserve">若望保禄二世，</w:t>
      </w:r>
      <w:r>
        <w:rPr>
          <w:i/>
          <w:iCs/>
        </w:rPr>
        <w:t xml:space="preserve">Dominum et Vivificantem</w:t>
      </w:r>
      <w:r>
        <w:t xml:space="preserve"> </w:t>
      </w:r>
      <w:r>
        <w:t xml:space="preserve">31 § 2。</w:t>
      </w:r>
    </w:p>
  </w:footnote>
  <w:footnote w:id="2993">
    <w:p>
      <w:pPr>
        <w:pStyle w:val="FootnoteText"/>
      </w:pPr>
      <w:r>
        <w:rPr>
          <w:rStyle w:val="FootnoteReference"/>
        </w:rPr>
        <w:footnoteRef/>
      </w:r>
      <w:r>
        <w:t xml:space="preserve"> </w:t>
      </w:r>
      <w:r>
        <w:t xml:space="preserve">圣奥古斯丁，</w:t>
      </w:r>
      <w:r>
        <w:rPr>
          <w:i/>
          <w:iCs/>
        </w:rPr>
        <w:t xml:space="preserve">Contra Faustum</w:t>
      </w:r>
      <w:r>
        <w:t xml:space="preserve"> </w:t>
      </w:r>
      <w:r>
        <w:t xml:space="preserve">22：PL 42,418；圣托马斯·阿奎那，</w:t>
      </w:r>
      <w:r>
        <w:rPr>
          <w:i/>
          <w:iCs/>
        </w:rPr>
        <w:t xml:space="preserve">STh</w:t>
      </w:r>
      <w:r>
        <w:t xml:space="preserve"> </w:t>
      </w:r>
      <w:r>
        <w:t xml:space="preserve">I-II, 71, 6。</w:t>
      </w:r>
    </w:p>
  </w:footnote>
  <w:footnote w:id="2994">
    <w:p>
      <w:pPr>
        <w:pStyle w:val="FootnoteText"/>
      </w:pPr>
      <w:r>
        <w:rPr>
          <w:rStyle w:val="FootnoteReference"/>
        </w:rPr>
        <w:footnoteRef/>
      </w:r>
      <w:r>
        <w:t xml:space="preserve"> </w:t>
      </w:r>
      <w:r>
        <w:t xml:space="preserve">诗 51:4。</w:t>
      </w:r>
    </w:p>
  </w:footnote>
  <w:footnote w:id="2995">
    <w:p>
      <w:pPr>
        <w:pStyle w:val="FootnoteText"/>
      </w:pPr>
      <w:r>
        <w:rPr>
          <w:rStyle w:val="FootnoteReference"/>
        </w:rPr>
        <w:footnoteRef/>
      </w:r>
      <w:r>
        <w:t xml:space="preserve"> </w:t>
      </w:r>
      <w:r>
        <w:t xml:space="preserve">创 3:5。</w:t>
      </w:r>
    </w:p>
  </w:footnote>
  <w:footnote w:id="2996">
    <w:p>
      <w:pPr>
        <w:pStyle w:val="FootnoteText"/>
      </w:pPr>
      <w:r>
        <w:rPr>
          <w:rStyle w:val="FootnoteReference"/>
        </w:rPr>
        <w:footnoteRef/>
      </w:r>
      <w:r>
        <w:t xml:space="preserve"> </w:t>
      </w:r>
      <w:r>
        <w:t xml:space="preserve">圣奥古斯丁，</w:t>
      </w:r>
      <w:r>
        <w:rPr>
          <w:i/>
          <w:iCs/>
        </w:rPr>
        <w:t xml:space="preserve">De civ. Dei</w:t>
      </w:r>
      <w:r>
        <w:t xml:space="preserve"> </w:t>
      </w:r>
      <w:r>
        <w:t xml:space="preserve">14, 28：PL 41,436。</w:t>
      </w:r>
    </w:p>
  </w:footnote>
  <w:footnote w:id="2997">
    <w:p>
      <w:pPr>
        <w:pStyle w:val="FootnoteText"/>
      </w:pPr>
      <w:r>
        <w:rPr>
          <w:rStyle w:val="FootnoteReference"/>
        </w:rPr>
        <w:footnoteRef/>
      </w:r>
      <w:r>
        <w:t xml:space="preserve"> </w:t>
      </w:r>
      <w:r>
        <w:t xml:space="preserve">参 腓 2:6-9。</w:t>
      </w:r>
    </w:p>
  </w:footnote>
  <w:footnote w:id="2998">
    <w:p>
      <w:pPr>
        <w:pStyle w:val="FootnoteText"/>
      </w:pPr>
      <w:r>
        <w:rPr>
          <w:rStyle w:val="FootnoteReference"/>
        </w:rPr>
        <w:footnoteRef/>
      </w:r>
      <w:r>
        <w:t xml:space="preserve"> </w:t>
      </w:r>
      <w:r>
        <w:t xml:space="preserve">参 约 14:30。</w:t>
      </w:r>
    </w:p>
  </w:footnote>
  <w:footnote w:id="3000">
    <w:p>
      <w:pPr>
        <w:pStyle w:val="FootnoteText"/>
      </w:pPr>
      <w:r>
        <w:rPr>
          <w:rStyle w:val="FootnoteReference"/>
        </w:rPr>
        <w:footnoteRef/>
      </w:r>
      <w:r>
        <w:t xml:space="preserve"> </w:t>
      </w:r>
      <w:r>
        <w:t xml:space="preserve">加 5:19-21；参 罗 1:28-32；林前 6:9-10；弗 5:3-5；西 3:5-9；提前 1:9-10；提后 3:2-5。</w:t>
      </w:r>
    </w:p>
  </w:footnote>
  <w:footnote w:id="3001">
    <w:p>
      <w:pPr>
        <w:pStyle w:val="FootnoteText"/>
      </w:pPr>
      <w:r>
        <w:rPr>
          <w:rStyle w:val="FootnoteReference"/>
        </w:rPr>
        <w:footnoteRef/>
      </w:r>
      <w:r>
        <w:t xml:space="preserve"> </w:t>
      </w:r>
      <w:r>
        <w:t xml:space="preserve">太 15:19-20。</w:t>
      </w:r>
    </w:p>
  </w:footnote>
  <w:footnote w:id="3003">
    <w:p>
      <w:pPr>
        <w:pStyle w:val="FootnoteText"/>
      </w:pPr>
      <w:r>
        <w:rPr>
          <w:rStyle w:val="FootnoteReference"/>
        </w:rPr>
        <w:footnoteRef/>
      </w:r>
      <w:r>
        <w:t xml:space="preserve"> </w:t>
      </w:r>
      <w:r>
        <w:t xml:space="preserve">参 约壹 5:16-17。</w:t>
      </w:r>
    </w:p>
  </w:footnote>
  <w:footnote w:id="3004">
    <w:p>
      <w:pPr>
        <w:pStyle w:val="FootnoteText"/>
      </w:pPr>
      <w:r>
        <w:rPr>
          <w:rStyle w:val="FootnoteReference"/>
        </w:rPr>
        <w:footnoteRef/>
      </w:r>
      <w:r>
        <w:t xml:space="preserve"> </w:t>
      </w:r>
      <w:r>
        <w:t xml:space="preserve">圣托马斯·阿奎那，</w:t>
      </w:r>
      <w:r>
        <w:rPr>
          <w:i/>
          <w:iCs/>
        </w:rPr>
        <w:t xml:space="preserve">STh</w:t>
      </w:r>
      <w:r>
        <w:t xml:space="preserve"> </w:t>
      </w:r>
      <w:r>
        <w:t xml:space="preserve">I-II, 88, 2，</w:t>
      </w:r>
      <w:r>
        <w:rPr>
          <w:i/>
          <w:iCs/>
        </w:rPr>
        <w:t xml:space="preserve">corp. art.</w:t>
      </w:r>
    </w:p>
  </w:footnote>
  <w:footnote w:id="3005">
    <w:p>
      <w:pPr>
        <w:pStyle w:val="FootnoteText"/>
      </w:pPr>
      <w:r>
        <w:rPr>
          <w:rStyle w:val="FootnoteReference"/>
        </w:rPr>
        <w:footnoteRef/>
      </w:r>
      <w:r>
        <w:t xml:space="preserve"> </w:t>
      </w:r>
      <w:r>
        <w:t xml:space="preserve">若望保禄二世，</w:t>
      </w:r>
      <w:r>
        <w:rPr>
          <w:i/>
          <w:iCs/>
        </w:rPr>
        <w:t xml:space="preserve">Reconciliatio et Paenitentia</w:t>
      </w:r>
      <w:r>
        <w:t xml:space="preserve"> </w:t>
      </w:r>
      <w:r>
        <w:t xml:space="preserve">17 § 12。</w:t>
      </w:r>
    </w:p>
  </w:footnote>
  <w:footnote w:id="3006">
    <w:p>
      <w:pPr>
        <w:pStyle w:val="FootnoteText"/>
      </w:pPr>
      <w:r>
        <w:rPr>
          <w:rStyle w:val="FootnoteReference"/>
        </w:rPr>
        <w:footnoteRef/>
      </w:r>
      <w:r>
        <w:t xml:space="preserve"> </w:t>
      </w:r>
      <w:r>
        <w:t xml:space="preserve">可 10:19。</w:t>
      </w:r>
    </w:p>
  </w:footnote>
  <w:footnote w:id="3007">
    <w:p>
      <w:pPr>
        <w:pStyle w:val="FootnoteText"/>
      </w:pPr>
      <w:r>
        <w:rPr>
          <w:rStyle w:val="FootnoteReference"/>
        </w:rPr>
        <w:footnoteRef/>
      </w:r>
      <w:r>
        <w:t xml:space="preserve"> </w:t>
      </w:r>
      <w:r>
        <w:t xml:space="preserve">参 可 3:5-6；路 16:19-31。</w:t>
      </w:r>
    </w:p>
  </w:footnote>
  <w:footnote w:id="3008">
    <w:p>
      <w:pPr>
        <w:pStyle w:val="FootnoteText"/>
      </w:pPr>
      <w:r>
        <w:rPr>
          <w:rStyle w:val="FootnoteReference"/>
        </w:rPr>
        <w:footnoteRef/>
      </w:r>
      <w:r>
        <w:t xml:space="preserve"> </w:t>
      </w:r>
      <w:r>
        <w:t xml:space="preserve">若望保禄二世，</w:t>
      </w:r>
      <w:r>
        <w:rPr>
          <w:i/>
          <w:iCs/>
        </w:rPr>
        <w:t xml:space="preserve">Reconciliatio et Paenitentia</w:t>
      </w:r>
      <w:r>
        <w:t xml:space="preserve"> </w:t>
      </w:r>
      <w:r>
        <w:t xml:space="preserve">17 § 9。</w:t>
      </w:r>
    </w:p>
  </w:footnote>
  <w:footnote w:id="3009">
    <w:p>
      <w:pPr>
        <w:pStyle w:val="FootnoteText"/>
      </w:pPr>
      <w:r>
        <w:rPr>
          <w:rStyle w:val="FootnoteReference"/>
        </w:rPr>
        <w:footnoteRef/>
      </w:r>
      <w:r>
        <w:t xml:space="preserve"> </w:t>
      </w:r>
      <w:r>
        <w:t xml:space="preserve">圣奥古斯丁，</w:t>
      </w:r>
      <w:r>
        <w:rPr>
          <w:i/>
          <w:iCs/>
        </w:rPr>
        <w:t xml:space="preserve">In ep. Jo.</w:t>
      </w:r>
      <w:r>
        <w:t xml:space="preserve"> </w:t>
      </w:r>
      <w:r>
        <w:t xml:space="preserve">1, 6：PL 35,1982。</w:t>
      </w:r>
    </w:p>
  </w:footnote>
  <w:footnote w:id="3010">
    <w:p>
      <w:pPr>
        <w:pStyle w:val="FootnoteText"/>
      </w:pPr>
      <w:r>
        <w:rPr>
          <w:rStyle w:val="FootnoteReference"/>
        </w:rPr>
        <w:footnoteRef/>
      </w:r>
      <w:r>
        <w:t xml:space="preserve"> </w:t>
      </w:r>
      <w:r>
        <w:t xml:space="preserve">太 12:31；参 可 3:29；路 12:10。</w:t>
      </w:r>
    </w:p>
  </w:footnote>
  <w:footnote w:id="3011">
    <w:p>
      <w:pPr>
        <w:pStyle w:val="FootnoteText"/>
      </w:pPr>
      <w:r>
        <w:rPr>
          <w:rStyle w:val="FootnoteReference"/>
        </w:rPr>
        <w:footnoteRef/>
      </w:r>
      <w:r>
        <w:t xml:space="preserve"> </w:t>
      </w:r>
      <w:r>
        <w:t xml:space="preserve">参 若望保禄二世，</w:t>
      </w:r>
      <w:r>
        <w:rPr>
          <w:i/>
          <w:iCs/>
        </w:rPr>
        <w:t xml:space="preserve">Dominum et Vivificantem</w:t>
      </w:r>
      <w:r>
        <w:t xml:space="preserve"> </w:t>
      </w:r>
      <w:r>
        <w:t xml:space="preserve">46。</w:t>
      </w:r>
    </w:p>
  </w:footnote>
  <w:footnote w:id="3013">
    <w:p>
      <w:pPr>
        <w:pStyle w:val="FootnoteText"/>
      </w:pPr>
      <w:r>
        <w:rPr>
          <w:rStyle w:val="FootnoteReference"/>
        </w:rPr>
        <w:footnoteRef/>
      </w:r>
      <w:r>
        <w:t xml:space="preserve"> </w:t>
      </w:r>
      <w:r>
        <w:t xml:space="preserve">参 教宗圣额我略一世，</w:t>
      </w:r>
      <w:r>
        <w:rPr>
          <w:i/>
          <w:iCs/>
        </w:rPr>
        <w:t xml:space="preserve">Moralia in Job</w:t>
      </w:r>
      <w:r>
        <w:t xml:space="preserve">，31, 45：PL 76,621A。</w:t>
      </w:r>
    </w:p>
  </w:footnote>
  <w:footnote w:id="3014">
    <w:p>
      <w:pPr>
        <w:pStyle w:val="FootnoteText"/>
      </w:pPr>
      <w:r>
        <w:rPr>
          <w:rStyle w:val="FootnoteReference"/>
        </w:rPr>
        <w:footnoteRef/>
      </w:r>
      <w:r>
        <w:t xml:space="preserve"> </w:t>
      </w:r>
      <w:r>
        <w:t xml:space="preserve">参 创 4:10。</w:t>
      </w:r>
    </w:p>
  </w:footnote>
  <w:footnote w:id="3015">
    <w:p>
      <w:pPr>
        <w:pStyle w:val="FootnoteText"/>
      </w:pPr>
      <w:r>
        <w:rPr>
          <w:rStyle w:val="FootnoteReference"/>
        </w:rPr>
        <w:footnoteRef/>
      </w:r>
      <w:r>
        <w:t xml:space="preserve"> </w:t>
      </w:r>
      <w:r>
        <w:t xml:space="preserve">参 创 18:20；19:13。</w:t>
      </w:r>
    </w:p>
  </w:footnote>
  <w:footnote w:id="3016">
    <w:p>
      <w:pPr>
        <w:pStyle w:val="FootnoteText"/>
      </w:pPr>
      <w:r>
        <w:rPr>
          <w:rStyle w:val="FootnoteReference"/>
        </w:rPr>
        <w:footnoteRef/>
      </w:r>
      <w:r>
        <w:t xml:space="preserve"> </w:t>
      </w:r>
      <w:r>
        <w:t xml:space="preserve">参 出 3:7-10。</w:t>
      </w:r>
    </w:p>
  </w:footnote>
  <w:footnote w:id="3017">
    <w:p>
      <w:pPr>
        <w:pStyle w:val="FootnoteText"/>
      </w:pPr>
      <w:r>
        <w:rPr>
          <w:rStyle w:val="FootnoteReference"/>
        </w:rPr>
        <w:footnoteRef/>
      </w:r>
      <w:r>
        <w:t xml:space="preserve"> </w:t>
      </w:r>
      <w:r>
        <w:t xml:space="preserve">参 出 22:20-22。</w:t>
      </w:r>
    </w:p>
  </w:footnote>
  <w:footnote w:id="3018">
    <w:p>
      <w:pPr>
        <w:pStyle w:val="FootnoteText"/>
      </w:pPr>
      <w:r>
        <w:rPr>
          <w:rStyle w:val="FootnoteReference"/>
        </w:rPr>
        <w:footnoteRef/>
      </w:r>
      <w:r>
        <w:t xml:space="preserve"> </w:t>
      </w:r>
      <w:r>
        <w:t xml:space="preserve">参 申 24:14-15；雅 5:4。</w:t>
      </w:r>
    </w:p>
  </w:footnote>
  <w:footnote w:id="3019">
    <w:p>
      <w:pPr>
        <w:pStyle w:val="FootnoteText"/>
      </w:pPr>
      <w:r>
        <w:rPr>
          <w:rStyle w:val="FootnoteReference"/>
        </w:rPr>
        <w:footnoteRef/>
      </w:r>
      <w:r>
        <w:t xml:space="preserve"> </w:t>
      </w:r>
      <w:r>
        <w:t xml:space="preserve">若望保禄二世，</w:t>
      </w:r>
      <w:r>
        <w:rPr>
          <w:i/>
          <w:iCs/>
        </w:rPr>
        <w:t xml:space="preserve">Reconciliatio et Paenitentia</w:t>
      </w:r>
      <w:r>
        <w:t xml:space="preserve"> </w:t>
      </w:r>
      <w:r>
        <w:t xml:space="preserve">16。</w:t>
      </w:r>
    </w:p>
  </w:footnote>
  <w:footnote w:id="3024">
    <w:p>
      <w:pPr>
        <w:pStyle w:val="FootnoteText"/>
      </w:pPr>
      <w:r>
        <w:rPr>
          <w:rStyle w:val="FootnoteReference"/>
        </w:rPr>
        <w:footnoteRef/>
      </w:r>
      <w:r>
        <w:t xml:space="preserve"> </w:t>
      </w:r>
      <w:r>
        <w:t xml:space="preserve">参 GS 24 § 3。</w:t>
      </w:r>
    </w:p>
  </w:footnote>
  <w:footnote w:id="3025">
    <w:p>
      <w:pPr>
        <w:pStyle w:val="FootnoteText"/>
      </w:pPr>
      <w:r>
        <w:rPr>
          <w:rStyle w:val="FootnoteReference"/>
        </w:rPr>
        <w:footnoteRef/>
      </w:r>
      <w:r>
        <w:t xml:space="preserve"> </w:t>
      </w:r>
      <w:r>
        <w:t xml:space="preserve">参 GS 25 § 1。</w:t>
      </w:r>
    </w:p>
  </w:footnote>
  <w:footnote w:id="3026">
    <w:p>
      <w:pPr>
        <w:pStyle w:val="FootnoteText"/>
      </w:pPr>
      <w:r>
        <w:rPr>
          <w:rStyle w:val="FootnoteReference"/>
        </w:rPr>
        <w:footnoteRef/>
      </w:r>
      <w:r>
        <w:t xml:space="preserve"> </w:t>
      </w:r>
      <w:r>
        <w:t xml:space="preserve">参 路 19:13，15。</w:t>
      </w:r>
    </w:p>
  </w:footnote>
  <w:footnote w:id="3027">
    <w:p>
      <w:pPr>
        <w:pStyle w:val="FootnoteText"/>
      </w:pPr>
      <w:r>
        <w:rPr>
          <w:rStyle w:val="FootnoteReference"/>
        </w:rPr>
        <w:footnoteRef/>
      </w:r>
      <w:r>
        <w:t xml:space="preserve"> </w:t>
      </w:r>
      <w:r>
        <w:t xml:space="preserve">GS 25 § 1。</w:t>
      </w:r>
    </w:p>
  </w:footnote>
  <w:footnote w:id="3028">
    <w:p>
      <w:pPr>
        <w:pStyle w:val="FootnoteText"/>
      </w:pPr>
      <w:r>
        <w:rPr>
          <w:rStyle w:val="FootnoteReference"/>
        </w:rPr>
        <w:footnoteRef/>
      </w:r>
      <w:r>
        <w:t xml:space="preserve"> </w:t>
      </w:r>
      <w:r>
        <w:t xml:space="preserve">约翰二十三世，</w:t>
      </w:r>
      <w:r>
        <w:rPr>
          <w:i/>
          <w:iCs/>
        </w:rPr>
        <w:t xml:space="preserve">Mater et magistra</w:t>
      </w:r>
      <w:r>
        <w:t xml:space="preserve"> </w:t>
      </w:r>
      <w:r>
        <w:t xml:space="preserve">60。</w:t>
      </w:r>
    </w:p>
  </w:footnote>
  <w:footnote w:id="3029">
    <w:p>
      <w:pPr>
        <w:pStyle w:val="FootnoteText"/>
      </w:pPr>
      <w:r>
        <w:rPr>
          <w:rStyle w:val="FootnoteReference"/>
        </w:rPr>
        <w:footnoteRef/>
      </w:r>
      <w:r>
        <w:t xml:space="preserve"> </w:t>
      </w:r>
      <w:r>
        <w:t xml:space="preserve">参 GS 25 § 2；</w:t>
      </w:r>
      <w:r>
        <w:rPr>
          <w:i/>
          <w:iCs/>
        </w:rPr>
        <w:t xml:space="preserve">Centesimus annus</w:t>
      </w:r>
      <w:r>
        <w:t xml:space="preserve"> </w:t>
      </w:r>
      <w:r>
        <w:t xml:space="preserve">12。</w:t>
      </w:r>
    </w:p>
  </w:footnote>
  <w:footnote w:id="3030">
    <w:p>
      <w:pPr>
        <w:pStyle w:val="FootnoteText"/>
      </w:pPr>
      <w:r>
        <w:rPr>
          <w:rStyle w:val="FootnoteReference"/>
        </w:rPr>
        <w:footnoteRef/>
      </w:r>
      <w:r>
        <w:t xml:space="preserve"> </w:t>
      </w:r>
      <w:r>
        <w:rPr>
          <w:i/>
          <w:iCs/>
        </w:rPr>
        <w:t xml:space="preserve">Centesimus annus</w:t>
      </w:r>
      <w:r>
        <w:t xml:space="preserve"> </w:t>
      </w:r>
      <w:r>
        <w:t xml:space="preserve">48 § 4；参 庇护十一世，</w:t>
      </w:r>
      <w:r>
        <w:rPr>
          <w:i/>
          <w:iCs/>
        </w:rPr>
        <w:t xml:space="preserve">Quadragesimo anno</w:t>
      </w:r>
      <w:r>
        <w:t xml:space="preserve"> </w:t>
      </w:r>
      <w:r>
        <w:t xml:space="preserve">I, 184-186。</w:t>
      </w:r>
    </w:p>
  </w:footnote>
  <w:footnote w:id="3031">
    <w:p>
      <w:pPr>
        <w:pStyle w:val="FootnoteText"/>
      </w:pPr>
      <w:r>
        <w:rPr>
          <w:rStyle w:val="FootnoteReference"/>
        </w:rPr>
        <w:footnoteRef/>
      </w:r>
      <w:r>
        <w:t xml:space="preserve"> </w:t>
      </w:r>
      <w:r>
        <w:rPr>
          <w:i/>
          <w:iCs/>
        </w:rPr>
        <w:t xml:space="preserve">Centesimus annus</w:t>
      </w:r>
      <w:r>
        <w:t xml:space="preserve"> </w:t>
      </w:r>
      <w:r>
        <w:t xml:space="preserve">36 § 2。</w:t>
      </w:r>
    </w:p>
  </w:footnote>
  <w:footnote w:id="3032">
    <w:p>
      <w:pPr>
        <w:pStyle w:val="FootnoteText"/>
      </w:pPr>
      <w:r>
        <w:rPr>
          <w:rStyle w:val="FootnoteReference"/>
        </w:rPr>
        <w:footnoteRef/>
      </w:r>
      <w:r>
        <w:t xml:space="preserve"> </w:t>
      </w:r>
      <w:r>
        <w:t xml:space="preserve">约翰二十三世，</w:t>
      </w:r>
      <w:r>
        <w:rPr>
          <w:i/>
          <w:iCs/>
        </w:rPr>
        <w:t xml:space="preserve">Pacem in terris</w:t>
      </w:r>
      <w:r>
        <w:t xml:space="preserve"> </w:t>
      </w:r>
      <w:r>
        <w:t xml:space="preserve">36。</w:t>
      </w:r>
    </w:p>
  </w:footnote>
  <w:footnote w:id="3033">
    <w:p>
      <w:pPr>
        <w:pStyle w:val="FootnoteText"/>
      </w:pPr>
      <w:r>
        <w:rPr>
          <w:rStyle w:val="FootnoteReference"/>
        </w:rPr>
        <w:footnoteRef/>
      </w:r>
      <w:r>
        <w:t xml:space="preserve"> </w:t>
      </w:r>
      <w:r>
        <w:t xml:space="preserve">参</w:t>
      </w:r>
      <w:r>
        <w:t xml:space="preserve"> </w:t>
      </w:r>
      <w:r>
        <w:rPr>
          <w:i/>
          <w:iCs/>
        </w:rPr>
        <w:t xml:space="preserve">Centesimus annus</w:t>
      </w:r>
      <w:r>
        <w:t xml:space="preserve"> </w:t>
      </w:r>
      <w:r>
        <w:t xml:space="preserve">41。</w:t>
      </w:r>
    </w:p>
  </w:footnote>
  <w:footnote w:id="3034">
    <w:p>
      <w:pPr>
        <w:pStyle w:val="FootnoteText"/>
      </w:pPr>
      <w:r>
        <w:rPr>
          <w:rStyle w:val="FootnoteReference"/>
        </w:rPr>
        <w:footnoteRef/>
      </w:r>
      <w:r>
        <w:t xml:space="preserve"> </w:t>
      </w:r>
      <w:r>
        <w:t xml:space="preserve">庇护十二世，圣灵降临节讲话，1941年6月1日。</w:t>
      </w:r>
    </w:p>
  </w:footnote>
  <w:footnote w:id="3035">
    <w:p>
      <w:pPr>
        <w:pStyle w:val="FootnoteText"/>
      </w:pPr>
      <w:r>
        <w:rPr>
          <w:rStyle w:val="FootnoteReference"/>
        </w:rPr>
        <w:footnoteRef/>
      </w:r>
      <w:r>
        <w:t xml:space="preserve"> </w:t>
      </w:r>
      <w:r>
        <w:t xml:space="preserve">参</w:t>
      </w:r>
      <w:r>
        <w:t xml:space="preserve"> </w:t>
      </w:r>
      <w:r>
        <w:rPr>
          <w:i/>
          <w:iCs/>
        </w:rPr>
        <w:t xml:space="preserve">Lumen gentium</w:t>
      </w:r>
      <w:r>
        <w:t xml:space="preserve"> </w:t>
      </w:r>
      <w:r>
        <w:t xml:space="preserve">36。</w:t>
      </w:r>
    </w:p>
  </w:footnote>
  <w:footnote w:id="3036">
    <w:p>
      <w:pPr>
        <w:pStyle w:val="FootnoteText"/>
      </w:pPr>
      <w:r>
        <w:rPr>
          <w:rStyle w:val="FootnoteReference"/>
        </w:rPr>
        <w:footnoteRef/>
      </w:r>
      <w:r>
        <w:t xml:space="preserve"> </w:t>
      </w:r>
      <w:r>
        <w:rPr>
          <w:i/>
          <w:iCs/>
        </w:rPr>
        <w:t xml:space="preserve">Centesimus annus</w:t>
      </w:r>
      <w:r>
        <w:t xml:space="preserve"> </w:t>
      </w:r>
      <w:r>
        <w:t xml:space="preserve">25；路 17:33。</w:t>
      </w:r>
    </w:p>
  </w:footnote>
  <w:footnote w:id="3038">
    <w:p>
      <w:pPr>
        <w:pStyle w:val="FootnoteText"/>
      </w:pPr>
      <w:r>
        <w:rPr>
          <w:rStyle w:val="FootnoteReference"/>
        </w:rPr>
        <w:footnoteRef/>
      </w:r>
      <w:r>
        <w:t xml:space="preserve"> </w:t>
      </w:r>
      <w:r>
        <w:t xml:space="preserve">GS 25 § 1。</w:t>
      </w:r>
    </w:p>
  </w:footnote>
  <w:footnote w:id="3039">
    <w:p>
      <w:pPr>
        <w:pStyle w:val="FootnoteText"/>
      </w:pPr>
      <w:r>
        <w:rPr>
          <w:rStyle w:val="FootnoteReference"/>
        </w:rPr>
        <w:footnoteRef/>
      </w:r>
      <w:r>
        <w:t xml:space="preserve"> </w:t>
      </w:r>
      <w:r>
        <w:t xml:space="preserve">参</w:t>
      </w:r>
      <w:r>
        <w:t xml:space="preserve"> </w:t>
      </w:r>
      <w:r>
        <w:rPr>
          <w:i/>
          <w:iCs/>
        </w:rPr>
        <w:t xml:space="preserve">Centesimus annus</w:t>
      </w:r>
      <w:r>
        <w:t xml:space="preserve"> </w:t>
      </w:r>
      <w:r>
        <w:t xml:space="preserve">3；5。</w:t>
      </w:r>
    </w:p>
  </w:footnote>
  <w:footnote w:id="3042">
    <w:p>
      <w:pPr>
        <w:pStyle w:val="FootnoteText"/>
      </w:pPr>
      <w:r>
        <w:rPr>
          <w:rStyle w:val="FootnoteReference"/>
        </w:rPr>
        <w:footnoteRef/>
      </w:r>
      <w:r>
        <w:t xml:space="preserve"> </w:t>
      </w:r>
      <w:r>
        <w:t xml:space="preserve">约翰二十三世，</w:t>
      </w:r>
      <w:r>
        <w:rPr>
          <w:i/>
          <w:iCs/>
        </w:rPr>
        <w:t xml:space="preserve">Pacem in terris</w:t>
      </w:r>
      <w:r>
        <w:t xml:space="preserve"> </w:t>
      </w:r>
      <w:r>
        <w:t xml:space="preserve">46。</w:t>
      </w:r>
    </w:p>
  </w:footnote>
  <w:footnote w:id="3043">
    <w:p>
      <w:pPr>
        <w:pStyle w:val="FootnoteText"/>
      </w:pPr>
      <w:r>
        <w:rPr>
          <w:rStyle w:val="FootnoteReference"/>
        </w:rPr>
        <w:footnoteRef/>
      </w:r>
      <w:r>
        <w:t xml:space="preserve"> </w:t>
      </w:r>
      <w:r>
        <w:t xml:space="preserve">罗 13:1-2；参 彼前 2:13-17。</w:t>
      </w:r>
    </w:p>
  </w:footnote>
  <w:footnote w:id="3044">
    <w:p>
      <w:pPr>
        <w:pStyle w:val="FootnoteText"/>
      </w:pPr>
      <w:r>
        <w:rPr>
          <w:rStyle w:val="FootnoteReference"/>
        </w:rPr>
        <w:footnoteRef/>
      </w:r>
      <w:r>
        <w:t xml:space="preserve"> </w:t>
      </w:r>
      <w:r>
        <w:t xml:space="preserve">罗马的圣革利免，</w:t>
      </w:r>
      <w:r>
        <w:rPr>
          <w:i/>
          <w:iCs/>
        </w:rPr>
        <w:t xml:space="preserve">Ad Corinthios</w:t>
      </w:r>
      <w:r>
        <w:t xml:space="preserve"> </w:t>
      </w:r>
      <w:r>
        <w:t xml:space="preserve">61：SCh 167,198-200。</w:t>
      </w:r>
    </w:p>
  </w:footnote>
  <w:footnote w:id="3045">
    <w:p>
      <w:pPr>
        <w:pStyle w:val="FootnoteText"/>
      </w:pPr>
      <w:r>
        <w:rPr>
          <w:rStyle w:val="FootnoteReference"/>
        </w:rPr>
        <w:footnoteRef/>
      </w:r>
      <w:r>
        <w:t xml:space="preserve"> </w:t>
      </w:r>
      <w:r>
        <w:t xml:space="preserve">GS 74 § 3。</w:t>
      </w:r>
    </w:p>
  </w:footnote>
  <w:footnote w:id="3046">
    <w:p>
      <w:pPr>
        <w:pStyle w:val="FootnoteText"/>
      </w:pPr>
      <w:r>
        <w:rPr>
          <w:rStyle w:val="FootnoteReference"/>
        </w:rPr>
        <w:footnoteRef/>
      </w:r>
      <w:r>
        <w:t xml:space="preserve"> </w:t>
      </w:r>
      <w:r>
        <w:t xml:space="preserve">GS 74 § 2。</w:t>
      </w:r>
    </w:p>
  </w:footnote>
  <w:footnote w:id="3047">
    <w:p>
      <w:pPr>
        <w:pStyle w:val="FootnoteText"/>
      </w:pPr>
      <w:r>
        <w:rPr>
          <w:rStyle w:val="FootnoteReference"/>
        </w:rPr>
        <w:footnoteRef/>
      </w:r>
      <w:r>
        <w:t xml:space="preserve"> </w:t>
      </w:r>
      <w:r>
        <w:t xml:space="preserve">圣托马斯·阿奎那，</w:t>
      </w:r>
      <w:r>
        <w:rPr>
          <w:i/>
          <w:iCs/>
        </w:rPr>
        <w:t xml:space="preserve">Summa Theologiae</w:t>
      </w:r>
      <w:r>
        <w:t xml:space="preserve"> </w:t>
      </w:r>
      <w:r>
        <w:t xml:space="preserve">I-II, 93, 3, ad 2。</w:t>
      </w:r>
    </w:p>
  </w:footnote>
  <w:footnote w:id="3048">
    <w:p>
      <w:pPr>
        <w:pStyle w:val="FootnoteText"/>
      </w:pPr>
      <w:r>
        <w:rPr>
          <w:rStyle w:val="FootnoteReference"/>
        </w:rPr>
        <w:footnoteRef/>
      </w:r>
      <w:r>
        <w:t xml:space="preserve"> </w:t>
      </w:r>
      <w:r>
        <w:t xml:space="preserve">约翰二十三世，</w:t>
      </w:r>
      <w:r>
        <w:rPr>
          <w:i/>
          <w:iCs/>
        </w:rPr>
        <w:t xml:space="preserve">Pacem in terris</w:t>
      </w:r>
      <w:r>
        <w:t xml:space="preserve"> </w:t>
      </w:r>
      <w:r>
        <w:t xml:space="preserve">51。</w:t>
      </w:r>
    </w:p>
  </w:footnote>
  <w:footnote w:id="3049">
    <w:p>
      <w:pPr>
        <w:pStyle w:val="FootnoteText"/>
      </w:pPr>
      <w:r>
        <w:rPr>
          <w:rStyle w:val="FootnoteReference"/>
        </w:rPr>
        <w:footnoteRef/>
      </w:r>
      <w:r>
        <w:t xml:space="preserve"> </w:t>
      </w:r>
      <w:r>
        <w:t xml:space="preserve">若望保禄二世，</w:t>
      </w:r>
      <w:r>
        <w:rPr>
          <w:i/>
          <w:iCs/>
        </w:rPr>
        <w:t xml:space="preserve">Centesimus annus</w:t>
      </w:r>
      <w:r>
        <w:t xml:space="preserve"> </w:t>
      </w:r>
      <w:r>
        <w:t xml:space="preserve">44。</w:t>
      </w:r>
    </w:p>
  </w:footnote>
  <w:footnote w:id="3051">
    <w:p>
      <w:pPr>
        <w:pStyle w:val="FootnoteText"/>
      </w:pPr>
      <w:r>
        <w:rPr>
          <w:rStyle w:val="FootnoteReference"/>
        </w:rPr>
        <w:footnoteRef/>
      </w:r>
      <w:r>
        <w:t xml:space="preserve"> </w:t>
      </w:r>
      <w:r>
        <w:rPr>
          <w:i/>
          <w:iCs/>
        </w:rPr>
        <w:t xml:space="preserve">Epistula Barnabae</w:t>
      </w:r>
      <w:r>
        <w:t xml:space="preserve"> </w:t>
      </w:r>
      <w:r>
        <w:t xml:space="preserve">4, 10：PG 2,734。</w:t>
      </w:r>
    </w:p>
  </w:footnote>
  <w:footnote w:id="3052">
    <w:p>
      <w:pPr>
        <w:pStyle w:val="FootnoteText"/>
      </w:pPr>
      <w:r>
        <w:rPr>
          <w:rStyle w:val="FootnoteReference"/>
        </w:rPr>
        <w:footnoteRef/>
      </w:r>
      <w:r>
        <w:t xml:space="preserve"> </w:t>
      </w:r>
      <w:r>
        <w:t xml:space="preserve">GS 26 § 1；参 GS 74 § 1。</w:t>
      </w:r>
    </w:p>
  </w:footnote>
  <w:footnote w:id="3053">
    <w:p>
      <w:pPr>
        <w:pStyle w:val="FootnoteText"/>
      </w:pPr>
      <w:r>
        <w:rPr>
          <w:rStyle w:val="FootnoteReference"/>
        </w:rPr>
        <w:footnoteRef/>
      </w:r>
      <w:r>
        <w:t xml:space="preserve"> </w:t>
      </w:r>
      <w:r>
        <w:t xml:space="preserve">GS 26 § 2。</w:t>
      </w:r>
    </w:p>
  </w:footnote>
  <w:footnote w:id="3054">
    <w:p>
      <w:pPr>
        <w:pStyle w:val="FootnoteText"/>
      </w:pPr>
      <w:r>
        <w:rPr>
          <w:rStyle w:val="FootnoteReference"/>
        </w:rPr>
        <w:footnoteRef/>
      </w:r>
      <w:r>
        <w:t xml:space="preserve"> </w:t>
      </w:r>
      <w:r>
        <w:t xml:space="preserve">参 GS 26 § 2。</w:t>
      </w:r>
    </w:p>
  </w:footnote>
  <w:footnote w:id="3055">
    <w:p>
      <w:pPr>
        <w:pStyle w:val="FootnoteText"/>
      </w:pPr>
      <w:r>
        <w:rPr>
          <w:rStyle w:val="FootnoteReference"/>
        </w:rPr>
        <w:footnoteRef/>
      </w:r>
      <w:r>
        <w:t xml:space="preserve"> </w:t>
      </w:r>
      <w:r>
        <w:t xml:space="preserve">GS 84 § 2。</w:t>
      </w:r>
    </w:p>
  </w:footnote>
  <w:footnote w:id="3056">
    <w:p>
      <w:pPr>
        <w:pStyle w:val="FootnoteText"/>
      </w:pPr>
      <w:r>
        <w:rPr>
          <w:rStyle w:val="FootnoteReference"/>
        </w:rPr>
        <w:footnoteRef/>
      </w:r>
      <w:r>
        <w:t xml:space="preserve"> </w:t>
      </w:r>
      <w:r>
        <w:t xml:space="preserve">GS 26 § 3。</w:t>
      </w:r>
    </w:p>
  </w:footnote>
  <w:footnote w:id="3058">
    <w:p>
      <w:pPr>
        <w:pStyle w:val="FootnoteText"/>
      </w:pPr>
      <w:r>
        <w:rPr>
          <w:rStyle w:val="FootnoteReference"/>
        </w:rPr>
        <w:footnoteRef/>
      </w:r>
      <w:r>
        <w:t xml:space="preserve"> </w:t>
      </w:r>
      <w:r>
        <w:t xml:space="preserve">参</w:t>
      </w:r>
      <w:r>
        <w:t xml:space="preserve"> </w:t>
      </w:r>
      <w:r>
        <w:rPr>
          <w:i/>
          <w:iCs/>
        </w:rPr>
        <w:t xml:space="preserve">Centesimus annus</w:t>
      </w:r>
      <w:r>
        <w:t xml:space="preserve"> </w:t>
      </w:r>
      <w:r>
        <w:t xml:space="preserve">43。</w:t>
      </w:r>
    </w:p>
  </w:footnote>
  <w:footnote w:id="3059">
    <w:p>
      <w:pPr>
        <w:pStyle w:val="FootnoteText"/>
      </w:pPr>
      <w:r>
        <w:rPr>
          <w:rStyle w:val="FootnoteReference"/>
        </w:rPr>
        <w:footnoteRef/>
      </w:r>
      <w:r>
        <w:t xml:space="preserve"> </w:t>
      </w:r>
      <w:r>
        <w:t xml:space="preserve">参 GS 31 § 3。</w:t>
      </w:r>
    </w:p>
  </w:footnote>
  <w:footnote w:id="3060">
    <w:p>
      <w:pPr>
        <w:pStyle w:val="FootnoteText"/>
      </w:pPr>
      <w:r>
        <w:rPr>
          <w:rStyle w:val="FootnoteReference"/>
        </w:rPr>
        <w:footnoteRef/>
      </w:r>
      <w:r>
        <w:t xml:space="preserve"> </w:t>
      </w:r>
      <w:r>
        <w:t xml:space="preserve">GS 31 § 3。</w:t>
      </w:r>
    </w:p>
  </w:footnote>
  <w:footnote w:id="3061">
    <w:p>
      <w:pPr>
        <w:pStyle w:val="FootnoteText"/>
      </w:pPr>
      <w:r>
        <w:rPr>
          <w:rStyle w:val="FootnoteReference"/>
        </w:rPr>
        <w:footnoteRef/>
      </w:r>
      <w:r>
        <w:t xml:space="preserve"> </w:t>
      </w:r>
      <w:r>
        <w:t xml:space="preserve">参 GS 30 § 1。</w:t>
      </w:r>
    </w:p>
  </w:footnote>
  <w:footnote w:id="3062">
    <w:p>
      <w:pPr>
        <w:pStyle w:val="FootnoteText"/>
      </w:pPr>
      <w:r>
        <w:rPr>
          <w:rStyle w:val="FootnoteReference"/>
        </w:rPr>
        <w:footnoteRef/>
      </w:r>
      <w:r>
        <w:t xml:space="preserve"> </w:t>
      </w:r>
      <w:r>
        <w:t xml:space="preserve">GS 31 § 3。</w:t>
      </w:r>
    </w:p>
  </w:footnote>
  <w:footnote w:id="3064">
    <w:p>
      <w:pPr>
        <w:pStyle w:val="FootnoteText"/>
      </w:pPr>
      <w:r>
        <w:rPr>
          <w:rStyle w:val="FootnoteReference"/>
        </w:rPr>
        <w:footnoteRef/>
      </w:r>
      <w:r>
        <w:t xml:space="preserve"> </w:t>
      </w:r>
      <w:r>
        <w:t xml:space="preserve">罗 13:1。</w:t>
      </w:r>
    </w:p>
  </w:footnote>
  <w:footnote w:id="3065">
    <w:p>
      <w:pPr>
        <w:pStyle w:val="FootnoteText"/>
      </w:pPr>
      <w:r>
        <w:rPr>
          <w:rStyle w:val="FootnoteReference"/>
        </w:rPr>
        <w:footnoteRef/>
      </w:r>
      <w:r>
        <w:t xml:space="preserve"> </w:t>
      </w:r>
      <w:r>
        <w:t xml:space="preserve">GS 74 § 3。</w:t>
      </w:r>
    </w:p>
  </w:footnote>
  <w:footnote w:id="3066">
    <w:p>
      <w:pPr>
        <w:pStyle w:val="FootnoteText"/>
      </w:pPr>
      <w:r>
        <w:rPr>
          <w:rStyle w:val="FootnoteReference"/>
        </w:rPr>
        <w:footnoteRef/>
      </w:r>
      <w:r>
        <w:t xml:space="preserve"> </w:t>
      </w:r>
      <w:r>
        <w:t xml:space="preserve">GS 26 § 1。</w:t>
      </w:r>
    </w:p>
  </w:footnote>
  <w:footnote w:id="3069">
    <w:p>
      <w:pPr>
        <w:pStyle w:val="FootnoteText"/>
      </w:pPr>
      <w:r>
        <w:rPr>
          <w:rStyle w:val="FootnoteReference"/>
        </w:rPr>
        <w:footnoteRef/>
      </w:r>
      <w:r>
        <w:t xml:space="preserve"> </w:t>
      </w:r>
      <w:r>
        <w:t xml:space="preserve">若望保禄二世，</w:t>
      </w:r>
      <w:r>
        <w:rPr>
          <w:i/>
          <w:iCs/>
        </w:rPr>
        <w:t xml:space="preserve">Sollicitudo rei socialis</w:t>
      </w:r>
      <w:r>
        <w:t xml:space="preserve"> </w:t>
      </w:r>
      <w:r>
        <w:t xml:space="preserve">47。</w:t>
      </w:r>
    </w:p>
  </w:footnote>
  <w:footnote w:id="3070">
    <w:p>
      <w:pPr>
        <w:pStyle w:val="FootnoteText"/>
      </w:pPr>
      <w:r>
        <w:rPr>
          <w:rStyle w:val="FootnoteReference"/>
        </w:rPr>
        <w:footnoteRef/>
      </w:r>
      <w:r>
        <w:t xml:space="preserve"> </w:t>
      </w:r>
      <w:r>
        <w:t xml:space="preserve">参 约翰二十三世，</w:t>
      </w:r>
      <w:r>
        <w:rPr>
          <w:i/>
          <w:iCs/>
        </w:rPr>
        <w:t xml:space="preserve">Pacem in terris</w:t>
      </w:r>
      <w:r>
        <w:t xml:space="preserve"> </w:t>
      </w:r>
      <w:r>
        <w:t xml:space="preserve">65。</w:t>
      </w:r>
    </w:p>
  </w:footnote>
  <w:footnote w:id="3071">
    <w:p>
      <w:pPr>
        <w:pStyle w:val="FootnoteText"/>
      </w:pPr>
      <w:r>
        <w:rPr>
          <w:rStyle w:val="FootnoteReference"/>
        </w:rPr>
        <w:footnoteRef/>
      </w:r>
      <w:r>
        <w:t xml:space="preserve"> </w:t>
      </w:r>
      <w:r>
        <w:t xml:space="preserve">GS 27 § 1。</w:t>
      </w:r>
    </w:p>
  </w:footnote>
  <w:footnote w:id="3072">
    <w:p>
      <w:pPr>
        <w:pStyle w:val="FootnoteText"/>
      </w:pPr>
      <w:r>
        <w:rPr>
          <w:rStyle w:val="FootnoteReference"/>
        </w:rPr>
        <w:footnoteRef/>
      </w:r>
      <w:r>
        <w:t xml:space="preserve"> </w:t>
      </w:r>
      <w:r>
        <w:t xml:space="preserve">太 25:40。</w:t>
      </w:r>
    </w:p>
  </w:footnote>
  <w:footnote w:id="3073">
    <w:p>
      <w:pPr>
        <w:pStyle w:val="FootnoteText"/>
      </w:pPr>
      <w:r>
        <w:rPr>
          <w:rStyle w:val="FootnoteReference"/>
        </w:rPr>
        <w:footnoteRef/>
      </w:r>
      <w:r>
        <w:t xml:space="preserve"> </w:t>
      </w:r>
      <w:r>
        <w:t xml:space="preserve">参 太 5:43-44。</w:t>
      </w:r>
    </w:p>
  </w:footnote>
  <w:footnote w:id="3075">
    <w:p>
      <w:pPr>
        <w:pStyle w:val="FootnoteText"/>
      </w:pPr>
      <w:r>
        <w:rPr>
          <w:rStyle w:val="FootnoteReference"/>
        </w:rPr>
        <w:footnoteRef/>
      </w:r>
      <w:r>
        <w:t xml:space="preserve"> </w:t>
      </w:r>
      <w:r>
        <w:t xml:space="preserve">GS 29 § 2。</w:t>
      </w:r>
    </w:p>
  </w:footnote>
  <w:footnote w:id="3076">
    <w:p>
      <w:pPr>
        <w:pStyle w:val="FootnoteText"/>
      </w:pPr>
      <w:r>
        <w:rPr>
          <w:rStyle w:val="FootnoteReference"/>
        </w:rPr>
        <w:footnoteRef/>
      </w:r>
      <w:r>
        <w:t xml:space="preserve"> </w:t>
      </w:r>
      <w:r>
        <w:t xml:space="preserve">参 GS 29 § 2。</w:t>
      </w:r>
    </w:p>
  </w:footnote>
  <w:footnote w:id="3077">
    <w:p>
      <w:pPr>
        <w:pStyle w:val="FootnoteText"/>
      </w:pPr>
      <w:r>
        <w:rPr>
          <w:rStyle w:val="FootnoteReference"/>
        </w:rPr>
        <w:footnoteRef/>
      </w:r>
      <w:r>
        <w:t xml:space="preserve"> </w:t>
      </w:r>
      <w:r>
        <w:t xml:space="preserve">参 太 25:14-30；路 19:27。</w:t>
      </w:r>
    </w:p>
  </w:footnote>
  <w:footnote w:id="3078">
    <w:p>
      <w:pPr>
        <w:pStyle w:val="FootnoteText"/>
      </w:pPr>
      <w:r>
        <w:rPr>
          <w:rStyle w:val="FootnoteReference"/>
        </w:rPr>
        <w:footnoteRef/>
      </w:r>
      <w:r>
        <w:t xml:space="preserve"> </w:t>
      </w:r>
      <w:r>
        <w:t xml:space="preserve">锡耶纳的圣加大利纳，</w:t>
      </w:r>
      <w:r>
        <w:rPr>
          <w:i/>
          <w:iCs/>
        </w:rPr>
        <w:t xml:space="preserve">Dialogo</w:t>
      </w:r>
      <w:r>
        <w:t xml:space="preserve"> </w:t>
      </w:r>
      <w:r>
        <w:t xml:space="preserve">I, 7。</w:t>
      </w:r>
    </w:p>
  </w:footnote>
  <w:footnote w:id="3079">
    <w:p>
      <w:pPr>
        <w:pStyle w:val="FootnoteText"/>
      </w:pPr>
      <w:r>
        <w:rPr>
          <w:rStyle w:val="FootnoteReference"/>
        </w:rPr>
        <w:footnoteRef/>
      </w:r>
      <w:r>
        <w:t xml:space="preserve"> </w:t>
      </w:r>
      <w:r>
        <w:t xml:space="preserve">信理部，</w:t>
      </w:r>
      <w:r>
        <w:rPr>
          <w:i/>
          <w:iCs/>
        </w:rPr>
        <w:t xml:space="preserve">Libertatis conscientia</w:t>
      </w:r>
      <w:r>
        <w:t xml:space="preserve"> </w:t>
      </w:r>
      <w:r>
        <w:t xml:space="preserve">29 § 3。</w:t>
      </w:r>
    </w:p>
  </w:footnote>
  <w:footnote w:id="3081">
    <w:p>
      <w:pPr>
        <w:pStyle w:val="FootnoteText"/>
      </w:pPr>
      <w:r>
        <w:rPr>
          <w:rStyle w:val="FootnoteReference"/>
        </w:rPr>
        <w:footnoteRef/>
      </w:r>
      <w:r>
        <w:t xml:space="preserve"> </w:t>
      </w:r>
      <w:r>
        <w:t xml:space="preserve">参 若望保禄二世，</w:t>
      </w:r>
      <w:r>
        <w:rPr>
          <w:i/>
          <w:iCs/>
        </w:rPr>
        <w:t xml:space="preserve">Sollicitudo rei socialis</w:t>
      </w:r>
      <w:r>
        <w:t xml:space="preserve"> </w:t>
      </w:r>
      <w:r>
        <w:t xml:space="preserve">38-40；</w:t>
      </w:r>
      <w:r>
        <w:rPr>
          <w:i/>
          <w:iCs/>
        </w:rPr>
        <w:t xml:space="preserve">Centesimus annus</w:t>
      </w:r>
      <w:r>
        <w:t xml:space="preserve"> </w:t>
      </w:r>
      <w:r>
        <w:t xml:space="preserve">10。</w:t>
      </w:r>
    </w:p>
  </w:footnote>
  <w:footnote w:id="3082">
    <w:p>
      <w:pPr>
        <w:pStyle w:val="FootnoteText"/>
      </w:pPr>
      <w:r>
        <w:rPr>
          <w:rStyle w:val="FootnoteReference"/>
        </w:rPr>
        <w:footnoteRef/>
      </w:r>
      <w:r>
        <w:t xml:space="preserve"> </w:t>
      </w:r>
      <w:r>
        <w:t xml:space="preserve">庇护十二世，</w:t>
      </w:r>
      <w:r>
        <w:rPr>
          <w:i/>
          <w:iCs/>
        </w:rPr>
        <w:t xml:space="preserve">Summi pontificatus</w:t>
      </w:r>
      <w:r>
        <w:t xml:space="preserve">，1939年10月20日：AAS 31，1939年，423页及后。</w:t>
      </w:r>
    </w:p>
  </w:footnote>
  <w:footnote w:id="3083">
    <w:p>
      <w:pPr>
        <w:pStyle w:val="FootnoteText"/>
      </w:pPr>
      <w:r>
        <w:rPr>
          <w:rStyle w:val="FootnoteReference"/>
        </w:rPr>
        <w:footnoteRef/>
      </w:r>
      <w:r>
        <w:t xml:space="preserve"> </w:t>
      </w:r>
      <w:r>
        <w:t xml:space="preserve">太 6:33。</w:t>
      </w:r>
    </w:p>
  </w:footnote>
  <w:footnote w:id="3084">
    <w:p>
      <w:pPr>
        <w:pStyle w:val="FootnoteText"/>
      </w:pPr>
      <w:r>
        <w:rPr>
          <w:rStyle w:val="FootnoteReference"/>
        </w:rPr>
        <w:footnoteRef/>
      </w:r>
      <w:r>
        <w:t xml:space="preserve"> </w:t>
      </w:r>
      <w:r>
        <w:t xml:space="preserve">庇护十二世，讲话，1941年6月1日。</w:t>
      </w:r>
    </w:p>
  </w:footnote>
  <w:footnote w:id="3089">
    <w:p>
      <w:pPr>
        <w:pStyle w:val="FootnoteText"/>
      </w:pPr>
      <w:r>
        <w:rPr>
          <w:rStyle w:val="FootnoteReference"/>
        </w:rPr>
        <w:footnoteRef/>
      </w:r>
      <w:r>
        <w:t xml:space="preserve"> </w:t>
      </w:r>
      <w:r>
        <w:t xml:space="preserve">腓 2:12-13。</w:t>
      </w:r>
    </w:p>
  </w:footnote>
  <w:footnote w:id="3090">
    <w:p>
      <w:pPr>
        <w:pStyle w:val="FootnoteText"/>
      </w:pPr>
      <w:r>
        <w:rPr>
          <w:rStyle w:val="FootnoteReference"/>
        </w:rPr>
        <w:footnoteRef/>
      </w:r>
      <w:r>
        <w:t xml:space="preserve"> </w:t>
      </w:r>
      <w:r>
        <w:t xml:space="preserve">圣托马斯·阿奎那，</w:t>
      </w:r>
      <w:r>
        <w:rPr>
          <w:i/>
          <w:iCs/>
        </w:rPr>
        <w:t xml:space="preserve">Summa Theologiae</w:t>
      </w:r>
      <w:r>
        <w:t xml:space="preserve"> </w:t>
      </w:r>
      <w:r>
        <w:t xml:space="preserve">I-II, 93, 3。</w:t>
      </w:r>
    </w:p>
  </w:footnote>
  <w:footnote w:id="3091">
    <w:p>
      <w:pPr>
        <w:pStyle w:val="FootnoteText"/>
      </w:pPr>
      <w:r>
        <w:rPr>
          <w:rStyle w:val="FootnoteReference"/>
        </w:rPr>
        <w:footnoteRef/>
      </w:r>
      <w:r>
        <w:t xml:space="preserve"> </w:t>
      </w:r>
      <w:r>
        <w:t xml:space="preserve">圣爱任纽，</w:t>
      </w:r>
      <w:r>
        <w:rPr>
          <w:i/>
          <w:iCs/>
        </w:rPr>
        <w:t xml:space="preserve">Adv. haeres.</w:t>
      </w:r>
      <w:r>
        <w:t xml:space="preserve"> </w:t>
      </w:r>
      <w:r>
        <w:t xml:space="preserve">4, 15, 1：PG 7/1, 1012。</w:t>
      </w:r>
    </w:p>
  </w:footnote>
  <w:footnote w:id="3092">
    <w:p>
      <w:pPr>
        <w:pStyle w:val="FootnoteText"/>
      </w:pPr>
      <w:r>
        <w:rPr>
          <w:rStyle w:val="FootnoteReference"/>
        </w:rPr>
        <w:footnoteRef/>
      </w:r>
      <w:r>
        <w:t xml:space="preserve"> </w:t>
      </w:r>
      <w:r>
        <w:t xml:space="preserve">罗 10:4。</w:t>
      </w:r>
    </w:p>
  </w:footnote>
  <w:footnote w:id="3094">
    <w:p>
      <w:pPr>
        <w:pStyle w:val="FootnoteText"/>
      </w:pPr>
      <w:r>
        <w:rPr>
          <w:rStyle w:val="FootnoteReference"/>
        </w:rPr>
        <w:footnoteRef/>
      </w:r>
      <w:r>
        <w:t xml:space="preserve"> </w:t>
      </w:r>
      <w:r>
        <w:t xml:space="preserve">良十三世，</w:t>
      </w:r>
      <w:r>
        <w:rPr>
          <w:i/>
          <w:iCs/>
        </w:rPr>
        <w:t xml:space="preserve">Libertas præstantissimum</w:t>
      </w:r>
      <w:r>
        <w:t xml:space="preserve"> </w:t>
      </w:r>
      <w:r>
        <w:t xml:space="preserve">597。</w:t>
      </w:r>
    </w:p>
  </w:footnote>
  <w:footnote w:id="3095">
    <w:p>
      <w:pPr>
        <w:pStyle w:val="FootnoteText"/>
      </w:pPr>
      <w:r>
        <w:rPr>
          <w:rStyle w:val="FootnoteReference"/>
        </w:rPr>
        <w:footnoteRef/>
      </w:r>
      <w:r>
        <w:t xml:space="preserve"> </w:t>
      </w:r>
      <w:r>
        <w:t xml:space="preserve">圣奥古斯丁，</w:t>
      </w:r>
      <w:r>
        <w:rPr>
          <w:i/>
          <w:iCs/>
        </w:rPr>
        <w:t xml:space="preserve">De Trinitate</w:t>
      </w:r>
      <w:r>
        <w:t xml:space="preserve"> </w:t>
      </w:r>
      <w:r>
        <w:t xml:space="preserve">14, 15, 21：PL 42,1052；圣托马斯·阿奎那，</w:t>
      </w:r>
      <w:r>
        <w:rPr>
          <w:i/>
          <w:iCs/>
        </w:rPr>
        <w:t xml:space="preserve">Decem præcepta</w:t>
      </w:r>
      <w:r>
        <w:t xml:space="preserve"> </w:t>
      </w:r>
      <w:r>
        <w:t xml:space="preserve">1。</w:t>
      </w:r>
    </w:p>
  </w:footnote>
  <w:footnote w:id="3096">
    <w:p>
      <w:pPr>
        <w:pStyle w:val="FootnoteText"/>
      </w:pPr>
      <w:r>
        <w:rPr>
          <w:rStyle w:val="FootnoteReference"/>
        </w:rPr>
        <w:footnoteRef/>
      </w:r>
      <w:r>
        <w:t xml:space="preserve"> </w:t>
      </w:r>
      <w:r>
        <w:t xml:space="preserve">西塞罗，</w:t>
      </w:r>
      <w:r>
        <w:rPr>
          <w:i/>
          <w:iCs/>
        </w:rPr>
        <w:t xml:space="preserve">De republica</w:t>
      </w:r>
      <w:r>
        <w:t xml:space="preserve"> </w:t>
      </w:r>
      <w:r>
        <w:t xml:space="preserve">III, 22, 33。</w:t>
      </w:r>
    </w:p>
  </w:footnote>
  <w:footnote w:id="3097">
    <w:p>
      <w:pPr>
        <w:pStyle w:val="FootnoteText"/>
      </w:pPr>
      <w:r>
        <w:rPr>
          <w:rStyle w:val="FootnoteReference"/>
        </w:rPr>
        <w:footnoteRef/>
      </w:r>
      <w:r>
        <w:t xml:space="preserve"> </w:t>
      </w:r>
      <w:r>
        <w:t xml:space="preserve">圣奥古斯丁，</w:t>
      </w:r>
      <w:r>
        <w:rPr>
          <w:i/>
          <w:iCs/>
        </w:rPr>
        <w:t xml:space="preserve">Confessiones</w:t>
      </w:r>
      <w:r>
        <w:t xml:space="preserve"> </w:t>
      </w:r>
      <w:r>
        <w:t xml:space="preserve">2, 4, 9：PL 32,678。</w:t>
      </w:r>
    </w:p>
  </w:footnote>
  <w:footnote w:id="3098">
    <w:p>
      <w:pPr>
        <w:pStyle w:val="FootnoteText"/>
      </w:pPr>
      <w:r>
        <w:rPr>
          <w:rStyle w:val="FootnoteReference"/>
        </w:rPr>
        <w:footnoteRef/>
      </w:r>
      <w:r>
        <w:t xml:space="preserve"> </w:t>
      </w:r>
      <w:r>
        <w:t xml:space="preserve">梵一：DS 3005；参 特利腾会议(1547)：DS 1525。</w:t>
      </w:r>
    </w:p>
  </w:footnote>
  <w:footnote w:id="3100">
    <w:p>
      <w:pPr>
        <w:pStyle w:val="FootnoteText"/>
      </w:pPr>
      <w:r>
        <w:rPr>
          <w:rStyle w:val="FootnoteReference"/>
        </w:rPr>
        <w:footnoteRef/>
      </w:r>
      <w:r>
        <w:t xml:space="preserve"> </w:t>
      </w:r>
      <w:r>
        <w:t xml:space="preserve">圣奥古斯丁，</w:t>
      </w:r>
      <w:r>
        <w:rPr>
          <w:i/>
          <w:iCs/>
        </w:rPr>
        <w:t xml:space="preserve">Enarrationes in Psalmos</w:t>
      </w:r>
      <w:r>
        <w:t xml:space="preserve"> </w:t>
      </w:r>
      <w:r>
        <w:t xml:space="preserve">57, 1：PL 36,673。</w:t>
      </w:r>
    </w:p>
  </w:footnote>
  <w:footnote w:id="3101">
    <w:p>
      <w:pPr>
        <w:pStyle w:val="FootnoteText"/>
      </w:pPr>
      <w:r>
        <w:rPr>
          <w:rStyle w:val="FootnoteReference"/>
        </w:rPr>
        <w:footnoteRef/>
      </w:r>
      <w:r>
        <w:t xml:space="preserve"> </w:t>
      </w:r>
      <w:r>
        <w:t xml:space="preserve">参 罗 7:12，16。</w:t>
      </w:r>
    </w:p>
  </w:footnote>
  <w:footnote w:id="3102">
    <w:p>
      <w:pPr>
        <w:pStyle w:val="FootnoteText"/>
      </w:pPr>
      <w:r>
        <w:rPr>
          <w:rStyle w:val="FootnoteReference"/>
        </w:rPr>
        <w:footnoteRef/>
      </w:r>
      <w:r>
        <w:t xml:space="preserve"> </w:t>
      </w:r>
      <w:r>
        <w:t xml:space="preserve">参 罗 7。</w:t>
      </w:r>
    </w:p>
  </w:footnote>
  <w:footnote w:id="3103">
    <w:p>
      <w:pPr>
        <w:pStyle w:val="FootnoteText"/>
      </w:pPr>
      <w:r>
        <w:rPr>
          <w:rStyle w:val="FootnoteReference"/>
        </w:rPr>
        <w:footnoteRef/>
      </w:r>
      <w:r>
        <w:t xml:space="preserve"> </w:t>
      </w:r>
      <w:r>
        <w:t xml:space="preserve">圣爱任纽，</w:t>
      </w:r>
      <w:r>
        <w:rPr>
          <w:i/>
          <w:iCs/>
        </w:rPr>
        <w:t xml:space="preserve">Adv. haeres.</w:t>
      </w:r>
      <w:r>
        <w:t xml:space="preserve"> </w:t>
      </w:r>
      <w:r>
        <w:t xml:space="preserve">4, 15, 1：PG 7/1, 1012。</w:t>
      </w:r>
    </w:p>
  </w:footnote>
  <w:footnote w:id="3104">
    <w:p>
      <w:pPr>
        <w:pStyle w:val="FootnoteText"/>
      </w:pPr>
      <w:r>
        <w:rPr>
          <w:rStyle w:val="FootnoteReference"/>
        </w:rPr>
        <w:footnoteRef/>
      </w:r>
      <w:r>
        <w:t xml:space="preserve"> </w:t>
      </w:r>
      <w:r>
        <w:t xml:space="preserve">圣托马斯·阿奎那，</w:t>
      </w:r>
      <w:r>
        <w:rPr>
          <w:i/>
          <w:iCs/>
        </w:rPr>
        <w:t xml:space="preserve">Summa Theologiae</w:t>
      </w:r>
      <w:r>
        <w:t xml:space="preserve"> </w:t>
      </w:r>
      <w:r>
        <w:t xml:space="preserve">I-II, 107, 1 ad 2；参 罗 5:5。</w:t>
      </w:r>
    </w:p>
  </w:footnote>
  <w:footnote w:id="3106">
    <w:p>
      <w:pPr>
        <w:pStyle w:val="FootnoteText"/>
      </w:pPr>
      <w:r>
        <w:rPr>
          <w:rStyle w:val="FootnoteReference"/>
        </w:rPr>
        <w:footnoteRef/>
      </w:r>
      <w:r>
        <w:t xml:space="preserve"> </w:t>
      </w:r>
      <w:r>
        <w:t xml:space="preserve">来 8:8，10；参 耶 31:31-34。</w:t>
      </w:r>
    </w:p>
  </w:footnote>
  <w:footnote w:id="3107">
    <w:p>
      <w:pPr>
        <w:pStyle w:val="FootnoteText"/>
      </w:pPr>
      <w:r>
        <w:rPr>
          <w:rStyle w:val="FootnoteReference"/>
        </w:rPr>
        <w:footnoteRef/>
      </w:r>
      <w:r>
        <w:t xml:space="preserve"> </w:t>
      </w:r>
      <w:r>
        <w:t xml:space="preserve">圣奥古斯丁，</w:t>
      </w:r>
      <w:r>
        <w:rPr>
          <w:i/>
          <w:iCs/>
        </w:rPr>
        <w:t xml:space="preserve">De sermone Domini in monte</w:t>
      </w:r>
      <w:r>
        <w:t xml:space="preserve"> </w:t>
      </w:r>
      <w:r>
        <w:t xml:space="preserve">1, 1：PL 34,1229-1230。</w:t>
      </w:r>
    </w:p>
  </w:footnote>
  <w:footnote w:id="3108">
    <w:p>
      <w:pPr>
        <w:pStyle w:val="FootnoteText"/>
      </w:pPr>
      <w:r>
        <w:rPr>
          <w:rStyle w:val="FootnoteReference"/>
        </w:rPr>
        <w:footnoteRef/>
      </w:r>
      <w:r>
        <w:t xml:space="preserve"> </w:t>
      </w:r>
      <w:r>
        <w:t xml:space="preserve">参 太 5:17-19。</w:t>
      </w:r>
    </w:p>
  </w:footnote>
  <w:footnote w:id="3109">
    <w:p>
      <w:pPr>
        <w:pStyle w:val="FootnoteText"/>
      </w:pPr>
      <w:r>
        <w:rPr>
          <w:rStyle w:val="FootnoteReference"/>
        </w:rPr>
        <w:footnoteRef/>
      </w:r>
      <w:r>
        <w:t xml:space="preserve"> </w:t>
      </w:r>
      <w:r>
        <w:t xml:space="preserve">参 太 15:18-19。</w:t>
      </w:r>
    </w:p>
  </w:footnote>
  <w:footnote w:id="3110">
    <w:p>
      <w:pPr>
        <w:pStyle w:val="FootnoteText"/>
      </w:pPr>
      <w:r>
        <w:rPr>
          <w:rStyle w:val="FootnoteReference"/>
        </w:rPr>
        <w:footnoteRef/>
      </w:r>
      <w:r>
        <w:t xml:space="preserve"> </w:t>
      </w:r>
      <w:r>
        <w:t xml:space="preserve">参 太 5:44，48。</w:t>
      </w:r>
    </w:p>
  </w:footnote>
  <w:footnote w:id="3111">
    <w:p>
      <w:pPr>
        <w:pStyle w:val="FootnoteText"/>
      </w:pPr>
      <w:r>
        <w:rPr>
          <w:rStyle w:val="FootnoteReference"/>
        </w:rPr>
        <w:footnoteRef/>
      </w:r>
      <w:r>
        <w:t xml:space="preserve"> </w:t>
      </w:r>
      <w:r>
        <w:t xml:space="preserve">参 太 6:1-6，16-18。</w:t>
      </w:r>
    </w:p>
  </w:footnote>
  <w:footnote w:id="3112">
    <w:p>
      <w:pPr>
        <w:pStyle w:val="FootnoteText"/>
      </w:pPr>
      <w:r>
        <w:rPr>
          <w:rStyle w:val="FootnoteReference"/>
        </w:rPr>
        <w:footnoteRef/>
      </w:r>
      <w:r>
        <w:t xml:space="preserve"> </w:t>
      </w:r>
      <w:r>
        <w:t xml:space="preserve">参 太 6:9-13；路 11:2-4。</w:t>
      </w:r>
    </w:p>
  </w:footnote>
  <w:footnote w:id="3113">
    <w:p>
      <w:pPr>
        <w:pStyle w:val="FootnoteText"/>
      </w:pPr>
      <w:r>
        <w:rPr>
          <w:rStyle w:val="FootnoteReference"/>
        </w:rPr>
        <w:footnoteRef/>
      </w:r>
      <w:r>
        <w:t xml:space="preserve"> </w:t>
      </w:r>
      <w:r>
        <w:t xml:space="preserve">参 太 7:13-14，21-27。</w:t>
      </w:r>
    </w:p>
  </w:footnote>
  <w:footnote w:id="3114">
    <w:p>
      <w:pPr>
        <w:pStyle w:val="FootnoteText"/>
      </w:pPr>
      <w:r>
        <w:rPr>
          <w:rStyle w:val="FootnoteReference"/>
        </w:rPr>
        <w:footnoteRef/>
      </w:r>
      <w:r>
        <w:t xml:space="preserve"> </w:t>
      </w:r>
      <w:r>
        <w:t xml:space="preserve">太 7:12；参 路 6:31。</w:t>
      </w:r>
    </w:p>
  </w:footnote>
  <w:footnote w:id="3115">
    <w:p>
      <w:pPr>
        <w:pStyle w:val="FootnoteText"/>
      </w:pPr>
      <w:r>
        <w:rPr>
          <w:rStyle w:val="FootnoteReference"/>
        </w:rPr>
        <w:footnoteRef/>
      </w:r>
      <w:r>
        <w:t xml:space="preserve"> </w:t>
      </w:r>
      <w:r>
        <w:t xml:space="preserve">参 约 15:12；13:34。</w:t>
      </w:r>
    </w:p>
  </w:footnote>
  <w:footnote w:id="3116">
    <w:p>
      <w:pPr>
        <w:pStyle w:val="FootnoteText"/>
      </w:pPr>
      <w:r>
        <w:rPr>
          <w:rStyle w:val="FootnoteReference"/>
        </w:rPr>
        <w:footnoteRef/>
      </w:r>
      <w:r>
        <w:t xml:space="preserve"> </w:t>
      </w:r>
      <w:r>
        <w:t xml:space="preserve">罗 12:9-13。</w:t>
      </w:r>
    </w:p>
  </w:footnote>
  <w:footnote w:id="3117">
    <w:p>
      <w:pPr>
        <w:pStyle w:val="FootnoteText"/>
      </w:pPr>
      <w:r>
        <w:rPr>
          <w:rStyle w:val="FootnoteReference"/>
        </w:rPr>
        <w:footnoteRef/>
      </w:r>
      <w:r>
        <w:t xml:space="preserve"> </w:t>
      </w:r>
      <w:r>
        <w:t xml:space="preserve">参 罗 14；林前 5—10章。</w:t>
      </w:r>
    </w:p>
  </w:footnote>
  <w:footnote w:id="3118">
    <w:p>
      <w:pPr>
        <w:pStyle w:val="FootnoteText"/>
      </w:pPr>
      <w:r>
        <w:rPr>
          <w:rStyle w:val="FootnoteReference"/>
        </w:rPr>
        <w:footnoteRef/>
      </w:r>
      <w:r>
        <w:t xml:space="preserve"> </w:t>
      </w:r>
      <w:r>
        <w:t xml:space="preserve">约 15:15；参 雅 1:25；2:12；加 4:1-7，21-31；罗 8:15。</w:t>
      </w:r>
    </w:p>
  </w:footnote>
  <w:footnote w:id="3119">
    <w:p>
      <w:pPr>
        <w:pStyle w:val="FootnoteText"/>
      </w:pPr>
      <w:r>
        <w:rPr>
          <w:rStyle w:val="FootnoteReference"/>
        </w:rPr>
        <w:footnoteRef/>
      </w:r>
      <w:r>
        <w:t xml:space="preserve"> </w:t>
      </w:r>
      <w:r>
        <w:t xml:space="preserve">参 圣托马斯·阿奎那，</w:t>
      </w:r>
      <w:r>
        <w:rPr>
          <w:i/>
          <w:iCs/>
        </w:rPr>
        <w:t xml:space="preserve">Summa Theologiae</w:t>
      </w:r>
      <w:r>
        <w:t xml:space="preserve"> </w:t>
      </w:r>
      <w:r>
        <w:t xml:space="preserve">II-II, 184, 3。</w:t>
      </w:r>
    </w:p>
  </w:footnote>
  <w:footnote w:id="3120">
    <w:p>
      <w:pPr>
        <w:pStyle w:val="FootnoteText"/>
      </w:pPr>
      <w:r>
        <w:rPr>
          <w:rStyle w:val="FootnoteReference"/>
        </w:rPr>
        <w:footnoteRef/>
      </w:r>
      <w:r>
        <w:t xml:space="preserve"> </w:t>
      </w:r>
      <w:r>
        <w:t xml:space="preserve">圣方济各·沙雷，</w:t>
      </w:r>
      <w:r>
        <w:rPr>
          <w:i/>
          <w:iCs/>
        </w:rPr>
        <w:t xml:space="preserve">Traité de l’amour de Dieu</w:t>
      </w:r>
      <w:r>
        <w:t xml:space="preserve"> </w:t>
      </w:r>
      <w:r>
        <w:t xml:space="preserve">8, 6。</w:t>
      </w:r>
    </w:p>
  </w:footnote>
  <w:footnote w:id="3122">
    <w:p>
      <w:pPr>
        <w:pStyle w:val="FootnoteText"/>
      </w:pPr>
      <w:r>
        <w:rPr>
          <w:rStyle w:val="FootnoteReference"/>
        </w:rPr>
        <w:footnoteRef/>
      </w:r>
      <w:r>
        <w:t xml:space="preserve"> </w:t>
      </w:r>
      <w:r>
        <w:t xml:space="preserve">圣托马斯·阿奎那，</w:t>
      </w:r>
      <w:r>
        <w:rPr>
          <w:i/>
          <w:iCs/>
        </w:rPr>
        <w:t xml:space="preserve">Summa Theologiae</w:t>
      </w:r>
      <w:r>
        <w:t xml:space="preserve"> </w:t>
      </w:r>
      <w:r>
        <w:t xml:space="preserve">I-II, 90, 4。</w:t>
      </w:r>
    </w:p>
  </w:footnote>
  <w:footnote w:id="3123">
    <w:p>
      <w:pPr>
        <w:pStyle w:val="FootnoteText"/>
      </w:pPr>
      <w:r>
        <w:rPr>
          <w:rStyle w:val="FootnoteReference"/>
        </w:rPr>
        <w:footnoteRef/>
      </w:r>
      <w:r>
        <w:t xml:space="preserve"> </w:t>
      </w:r>
      <w:r>
        <w:t xml:space="preserve">参 罗 10:4。</w:t>
      </w:r>
    </w:p>
  </w:footnote>
  <w:footnote w:id="3124">
    <w:p>
      <w:pPr>
        <w:pStyle w:val="FootnoteText"/>
      </w:pPr>
      <w:r>
        <w:rPr>
          <w:rStyle w:val="FootnoteReference"/>
        </w:rPr>
        <w:footnoteRef/>
      </w:r>
      <w:r>
        <w:t xml:space="preserve"> </w:t>
      </w:r>
      <w:r>
        <w:t xml:space="preserve">LG 42 § 2。</w:t>
      </w:r>
    </w:p>
  </w:footnote>
  <w:footnote w:id="3127">
    <w:p>
      <w:pPr>
        <w:pStyle w:val="FootnoteText"/>
      </w:pPr>
      <w:r>
        <w:rPr>
          <w:rStyle w:val="FootnoteReference"/>
        </w:rPr>
        <w:footnoteRef/>
      </w:r>
      <w:r>
        <w:t xml:space="preserve"> </w:t>
      </w:r>
      <w:r>
        <w:t xml:space="preserve">罗 3:22；参 罗 6:3-4。</w:t>
      </w:r>
    </w:p>
  </w:footnote>
  <w:footnote w:id="3128">
    <w:p>
      <w:pPr>
        <w:pStyle w:val="FootnoteText"/>
      </w:pPr>
      <w:r>
        <w:rPr>
          <w:rStyle w:val="FootnoteReference"/>
        </w:rPr>
        <w:footnoteRef/>
      </w:r>
      <w:r>
        <w:t xml:space="preserve"> </w:t>
      </w:r>
      <w:r>
        <w:t xml:space="preserve">罗 6:8-11。</w:t>
      </w:r>
    </w:p>
  </w:footnote>
  <w:footnote w:id="3129">
    <w:p>
      <w:pPr>
        <w:pStyle w:val="FootnoteText"/>
      </w:pPr>
      <w:r>
        <w:rPr>
          <w:rStyle w:val="FootnoteReference"/>
        </w:rPr>
        <w:footnoteRef/>
      </w:r>
      <w:r>
        <w:t xml:space="preserve"> </w:t>
      </w:r>
      <w:r>
        <w:t xml:space="preserve">参 林前 12；约 15:1-4。</w:t>
      </w:r>
    </w:p>
  </w:footnote>
  <w:footnote w:id="3130">
    <w:p>
      <w:pPr>
        <w:pStyle w:val="FootnoteText"/>
      </w:pPr>
      <w:r>
        <w:rPr>
          <w:rStyle w:val="FootnoteReference"/>
        </w:rPr>
        <w:footnoteRef/>
      </w:r>
      <w:r>
        <w:t xml:space="preserve"> </w:t>
      </w:r>
      <w:r>
        <w:t xml:space="preserve">圣亚他拿修，</w:t>
      </w:r>
      <w:r>
        <w:rPr>
          <w:i/>
          <w:iCs/>
        </w:rPr>
        <w:t xml:space="preserve">Epistula ad Serapionem</w:t>
      </w:r>
      <w:r>
        <w:t xml:space="preserve"> </w:t>
      </w:r>
      <w:r>
        <w:t xml:space="preserve">1, 24。</w:t>
      </w:r>
    </w:p>
  </w:footnote>
  <w:footnote w:id="3131">
    <w:p>
      <w:pPr>
        <w:pStyle w:val="FootnoteText"/>
      </w:pPr>
      <w:r>
        <w:rPr>
          <w:rStyle w:val="FootnoteReference"/>
        </w:rPr>
        <w:footnoteRef/>
      </w:r>
      <w:r>
        <w:t xml:space="preserve"> </w:t>
      </w:r>
      <w:r>
        <w:t xml:space="preserve">太 4:17。</w:t>
      </w:r>
    </w:p>
  </w:footnote>
  <w:footnote w:id="3132">
    <w:p>
      <w:pPr>
        <w:pStyle w:val="FootnoteText"/>
      </w:pPr>
      <w:r>
        <w:rPr>
          <w:rStyle w:val="FootnoteReference"/>
        </w:rPr>
        <w:footnoteRef/>
      </w:r>
      <w:r>
        <w:t xml:space="preserve"> </w:t>
      </w:r>
      <w:r>
        <w:t xml:space="preserve">特利腾会议(1547)：DS 1528。</w:t>
      </w:r>
    </w:p>
  </w:footnote>
  <w:footnote w:id="3133">
    <w:p>
      <w:pPr>
        <w:pStyle w:val="FootnoteText"/>
      </w:pPr>
      <w:r>
        <w:rPr>
          <w:rStyle w:val="FootnoteReference"/>
        </w:rPr>
        <w:footnoteRef/>
      </w:r>
      <w:r>
        <w:t xml:space="preserve"> </w:t>
      </w:r>
      <w:r>
        <w:t xml:space="preserve">参 罗 6:19-23。</w:t>
      </w:r>
    </w:p>
  </w:footnote>
  <w:footnote w:id="3134">
    <w:p>
      <w:pPr>
        <w:pStyle w:val="FootnoteText"/>
      </w:pPr>
      <w:r>
        <w:rPr>
          <w:rStyle w:val="FootnoteReference"/>
        </w:rPr>
        <w:footnoteRef/>
      </w:r>
      <w:r>
        <w:t xml:space="preserve"> </w:t>
      </w:r>
      <w:r>
        <w:t xml:space="preserve">罗 3:21-26。</w:t>
      </w:r>
    </w:p>
  </w:footnote>
  <w:footnote w:id="3135">
    <w:p>
      <w:pPr>
        <w:pStyle w:val="FootnoteText"/>
      </w:pPr>
      <w:r>
        <w:rPr>
          <w:rStyle w:val="FootnoteReference"/>
        </w:rPr>
        <w:footnoteRef/>
      </w:r>
      <w:r>
        <w:t xml:space="preserve"> </w:t>
      </w:r>
      <w:r>
        <w:t xml:space="preserve">特利腾会议(1547)：DS 1525。</w:t>
      </w:r>
    </w:p>
  </w:footnote>
  <w:footnote w:id="3136">
    <w:p>
      <w:pPr>
        <w:pStyle w:val="FootnoteText"/>
      </w:pPr>
      <w:r>
        <w:rPr>
          <w:rStyle w:val="FootnoteReference"/>
        </w:rPr>
        <w:footnoteRef/>
      </w:r>
      <w:r>
        <w:t xml:space="preserve"> </w:t>
      </w:r>
      <w:r>
        <w:t xml:space="preserve">圣奥古斯丁，</w:t>
      </w:r>
      <w:r>
        <w:rPr>
          <w:i/>
          <w:iCs/>
        </w:rPr>
        <w:t xml:space="preserve">In Ioannis Evangelium tractatus</w:t>
      </w:r>
      <w:r>
        <w:t xml:space="preserve"> </w:t>
      </w:r>
      <w:r>
        <w:t xml:space="preserve">72, 3。</w:t>
      </w:r>
    </w:p>
  </w:footnote>
  <w:footnote w:id="3138">
    <w:p>
      <w:pPr>
        <w:pStyle w:val="FootnoteText"/>
      </w:pPr>
      <w:r>
        <w:rPr>
          <w:rStyle w:val="FootnoteReference"/>
        </w:rPr>
        <w:footnoteRef/>
      </w:r>
      <w:r>
        <w:t xml:space="preserve"> </w:t>
      </w:r>
      <w:r>
        <w:t xml:space="preserve">彼后 1:4。</w:t>
      </w:r>
    </w:p>
  </w:footnote>
  <w:footnote w:id="3139">
    <w:p>
      <w:pPr>
        <w:pStyle w:val="FootnoteText"/>
      </w:pPr>
      <w:r>
        <w:rPr>
          <w:rStyle w:val="FootnoteReference"/>
        </w:rPr>
        <w:footnoteRef/>
      </w:r>
      <w:r>
        <w:t xml:space="preserve"> </w:t>
      </w:r>
      <w:r>
        <w:t xml:space="preserve">林后 5:17-18。</w:t>
      </w:r>
    </w:p>
  </w:footnote>
  <w:footnote w:id="3140">
    <w:p>
      <w:pPr>
        <w:pStyle w:val="FootnoteText"/>
      </w:pPr>
      <w:r>
        <w:rPr>
          <w:rStyle w:val="FootnoteReference"/>
        </w:rPr>
        <w:footnoteRef/>
      </w:r>
      <w:r>
        <w:t xml:space="preserve"> </w:t>
      </w:r>
      <w:r>
        <w:t xml:space="preserve">圣奥古斯丁，</w:t>
      </w:r>
      <w:r>
        <w:rPr>
          <w:i/>
          <w:iCs/>
        </w:rPr>
        <w:t xml:space="preserve">De natura et gratia</w:t>
      </w:r>
      <w:r>
        <w:t xml:space="preserve"> </w:t>
      </w:r>
      <w:r>
        <w:t xml:space="preserve">31, 35。</w:t>
      </w:r>
    </w:p>
  </w:footnote>
  <w:footnote w:id="3141">
    <w:p>
      <w:pPr>
        <w:pStyle w:val="FootnoteText"/>
      </w:pPr>
      <w:r>
        <w:rPr>
          <w:rStyle w:val="FootnoteReference"/>
        </w:rPr>
        <w:footnoteRef/>
      </w:r>
      <w:r>
        <w:t xml:space="preserve"> </w:t>
      </w:r>
      <w:r>
        <w:t xml:space="preserve">圣奥古斯丁，</w:t>
      </w:r>
      <w:r>
        <w:rPr>
          <w:i/>
          <w:iCs/>
        </w:rPr>
        <w:t xml:space="preserve">Confessiones</w:t>
      </w:r>
      <w:r>
        <w:t xml:space="preserve"> </w:t>
      </w:r>
      <w:r>
        <w:t xml:space="preserve">13, 36。</w:t>
      </w:r>
    </w:p>
  </w:footnote>
  <w:footnote w:id="3142">
    <w:p>
      <w:pPr>
        <w:pStyle w:val="FootnoteText"/>
      </w:pPr>
      <w:r>
        <w:rPr>
          <w:rStyle w:val="FootnoteReference"/>
        </w:rPr>
        <w:footnoteRef/>
      </w:r>
      <w:r>
        <w:t xml:space="preserve"> </w:t>
      </w:r>
      <w:r>
        <w:t xml:space="preserve">参 林前 12。</w:t>
      </w:r>
    </w:p>
  </w:footnote>
  <w:footnote w:id="3143">
    <w:p>
      <w:pPr>
        <w:pStyle w:val="FootnoteText"/>
      </w:pPr>
      <w:r>
        <w:rPr>
          <w:rStyle w:val="FootnoteReference"/>
        </w:rPr>
        <w:footnoteRef/>
      </w:r>
      <w:r>
        <w:t xml:space="preserve"> </w:t>
      </w:r>
      <w:r>
        <w:t xml:space="preserve">罗 12:6-8。</w:t>
      </w:r>
    </w:p>
  </w:footnote>
  <w:footnote w:id="3144">
    <w:p>
      <w:pPr>
        <w:pStyle w:val="FootnoteText"/>
      </w:pPr>
      <w:r>
        <w:rPr>
          <w:rStyle w:val="FootnoteReference"/>
        </w:rPr>
        <w:footnoteRef/>
      </w:r>
      <w:r>
        <w:t xml:space="preserve"> </w:t>
      </w:r>
      <w:r>
        <w:t xml:space="preserve">参 特利腾会议(1547)：DS 1532。</w:t>
      </w:r>
    </w:p>
  </w:footnote>
  <w:footnote w:id="3145">
    <w:p>
      <w:pPr>
        <w:pStyle w:val="FootnoteText"/>
      </w:pPr>
      <w:r>
        <w:rPr>
          <w:rStyle w:val="FootnoteReference"/>
        </w:rPr>
        <w:footnoteRef/>
      </w:r>
      <w:r>
        <w:t xml:space="preserve"> </w:t>
      </w:r>
      <w:r>
        <w:t xml:space="preserve">太 7:20。</w:t>
      </w:r>
    </w:p>
  </w:footnote>
  <w:footnote w:id="3146">
    <w:p>
      <w:pPr>
        <w:pStyle w:val="FootnoteText"/>
      </w:pPr>
      <w:r>
        <w:rPr>
          <w:rStyle w:val="FootnoteReference"/>
        </w:rPr>
        <w:footnoteRef/>
      </w:r>
      <w:r>
        <w:t xml:space="preserve"> </w:t>
      </w:r>
      <w:r>
        <w:t xml:space="preserve">圣女贞德，</w:t>
      </w:r>
      <w:r>
        <w:rPr>
          <w:i/>
          <w:iCs/>
        </w:rPr>
        <w:t xml:space="preserve">Procès de condamnation</w:t>
      </w:r>
      <w:r>
        <w:t xml:space="preserve"> </w:t>
      </w:r>
      <w:r>
        <w:t xml:space="preserve">1, 2。</w:t>
      </w:r>
    </w:p>
  </w:footnote>
  <w:footnote w:id="3148">
    <w:p>
      <w:pPr>
        <w:pStyle w:val="FootnoteText"/>
      </w:pPr>
      <w:r>
        <w:rPr>
          <w:rStyle w:val="FootnoteReference"/>
        </w:rPr>
        <w:footnoteRef/>
      </w:r>
      <w:r>
        <w:t xml:space="preserve"> </w:t>
      </w:r>
      <w:r>
        <w:t xml:space="preserve">《罗马弥撒经书》，诸圣颂谢词一。</w:t>
      </w:r>
    </w:p>
  </w:footnote>
  <w:footnote w:id="3149">
    <w:p>
      <w:pPr>
        <w:pStyle w:val="FootnoteText"/>
      </w:pPr>
      <w:r>
        <w:rPr>
          <w:rStyle w:val="FootnoteReference"/>
        </w:rPr>
        <w:footnoteRef/>
      </w:r>
      <w:r>
        <w:t xml:space="preserve"> </w:t>
      </w:r>
      <w:r>
        <w:t xml:space="preserve">特利腾会议(1547)：DS 1546。</w:t>
      </w:r>
    </w:p>
  </w:footnote>
  <w:footnote w:id="3150">
    <w:p>
      <w:pPr>
        <w:pStyle w:val="FootnoteText"/>
      </w:pPr>
      <w:r>
        <w:rPr>
          <w:rStyle w:val="FootnoteReference"/>
        </w:rPr>
        <w:footnoteRef/>
      </w:r>
      <w:r>
        <w:t xml:space="preserve"> </w:t>
      </w:r>
      <w:r>
        <w:t xml:space="preserve">参 特利腾会议(1547)：DS 1548。</w:t>
      </w:r>
    </w:p>
  </w:footnote>
  <w:footnote w:id="3151">
    <w:p>
      <w:pPr>
        <w:pStyle w:val="FootnoteText"/>
      </w:pPr>
      <w:r>
        <w:rPr>
          <w:rStyle w:val="FootnoteReference"/>
        </w:rPr>
        <w:footnoteRef/>
      </w:r>
      <w:r>
        <w:t xml:space="preserve"> </w:t>
      </w:r>
      <w:r>
        <w:t xml:space="preserve">圣奥古斯丁，</w:t>
      </w:r>
      <w:r>
        <w:rPr>
          <w:i/>
          <w:iCs/>
        </w:rPr>
        <w:t xml:space="preserve">Sermo</w:t>
      </w:r>
      <w:r>
        <w:t xml:space="preserve"> </w:t>
      </w:r>
      <w:r>
        <w:t xml:space="preserve">298, 4-5：PL 38,1367。</w:t>
      </w:r>
    </w:p>
  </w:footnote>
  <w:footnote w:id="3152">
    <w:p>
      <w:pPr>
        <w:pStyle w:val="FootnoteText"/>
      </w:pPr>
      <w:r>
        <w:rPr>
          <w:rStyle w:val="FootnoteReference"/>
        </w:rPr>
        <w:footnoteRef/>
      </w:r>
      <w:r>
        <w:t xml:space="preserve"> </w:t>
      </w:r>
      <w:r>
        <w:t xml:space="preserve">里修的圣女小德兰，「奉献行为」，载于</w:t>
      </w:r>
      <w:r>
        <w:t xml:space="preserve"> </w:t>
      </w:r>
      <w:r>
        <w:rPr>
          <w:i/>
          <w:iCs/>
        </w:rPr>
        <w:t xml:space="preserve">Histoire d’une âme</w:t>
      </w:r>
      <w:r>
        <w:t xml:space="preserve">，36。</w:t>
      </w:r>
    </w:p>
  </w:footnote>
  <w:footnote w:id="3154">
    <w:p>
      <w:pPr>
        <w:pStyle w:val="FootnoteText"/>
      </w:pPr>
      <w:r>
        <w:rPr>
          <w:rStyle w:val="FootnoteReference"/>
        </w:rPr>
        <w:footnoteRef/>
      </w:r>
      <w:r>
        <w:t xml:space="preserve"> </w:t>
      </w:r>
      <w:r>
        <w:t xml:space="preserve">罗 8:28-30。</w:t>
      </w:r>
    </w:p>
  </w:footnote>
  <w:footnote w:id="3155">
    <w:p>
      <w:pPr>
        <w:pStyle w:val="FootnoteText"/>
      </w:pPr>
      <w:r>
        <w:rPr>
          <w:rStyle w:val="FootnoteReference"/>
        </w:rPr>
        <w:footnoteRef/>
      </w:r>
      <w:r>
        <w:t xml:space="preserve"> </w:t>
      </w:r>
      <w:r>
        <w:t xml:space="preserve">LG 40 § 2。</w:t>
      </w:r>
    </w:p>
  </w:footnote>
  <w:footnote w:id="3156">
    <w:p>
      <w:pPr>
        <w:pStyle w:val="FootnoteText"/>
      </w:pPr>
      <w:r>
        <w:rPr>
          <w:rStyle w:val="FootnoteReference"/>
        </w:rPr>
        <w:footnoteRef/>
      </w:r>
      <w:r>
        <w:t xml:space="preserve"> </w:t>
      </w:r>
      <w:r>
        <w:t xml:space="preserve">太 5:48。</w:t>
      </w:r>
    </w:p>
  </w:footnote>
  <w:footnote w:id="3157">
    <w:p>
      <w:pPr>
        <w:pStyle w:val="FootnoteText"/>
      </w:pPr>
      <w:r>
        <w:rPr>
          <w:rStyle w:val="FootnoteReference"/>
        </w:rPr>
        <w:footnoteRef/>
      </w:r>
      <w:r>
        <w:t xml:space="preserve"> </w:t>
      </w:r>
      <w:r>
        <w:t xml:space="preserve">LG 40 § 2。</w:t>
      </w:r>
    </w:p>
  </w:footnote>
  <w:footnote w:id="3158">
    <w:p>
      <w:pPr>
        <w:pStyle w:val="FootnoteText"/>
      </w:pPr>
      <w:r>
        <w:rPr>
          <w:rStyle w:val="FootnoteReference"/>
        </w:rPr>
        <w:footnoteRef/>
      </w:r>
      <w:r>
        <w:t xml:space="preserve"> </w:t>
      </w:r>
      <w:r>
        <w:t xml:space="preserve">参 提后 4。</w:t>
      </w:r>
    </w:p>
  </w:footnote>
  <w:footnote w:id="3159">
    <w:p>
      <w:pPr>
        <w:pStyle w:val="FootnoteText"/>
      </w:pPr>
      <w:r>
        <w:rPr>
          <w:rStyle w:val="FootnoteReference"/>
        </w:rPr>
        <w:footnoteRef/>
      </w:r>
      <w:r>
        <w:t xml:space="preserve"> </w:t>
      </w:r>
      <w:r>
        <w:t xml:space="preserve">尼撒的圣贵格利，</w:t>
      </w:r>
      <w:r>
        <w:rPr>
          <w:i/>
          <w:iCs/>
        </w:rPr>
        <w:t xml:space="preserve">Homilia in Canticum canticorum</w:t>
      </w:r>
      <w:r>
        <w:t xml:space="preserve"> </w:t>
      </w:r>
      <w:r>
        <w:t xml:space="preserve">8。</w:t>
      </w:r>
    </w:p>
  </w:footnote>
  <w:footnote w:id="3160">
    <w:p>
      <w:pPr>
        <w:pStyle w:val="FootnoteText"/>
      </w:pPr>
      <w:r>
        <w:rPr>
          <w:rStyle w:val="FootnoteReference"/>
        </w:rPr>
        <w:footnoteRef/>
      </w:r>
      <w:r>
        <w:t xml:space="preserve"> </w:t>
      </w:r>
      <w:r>
        <w:t xml:space="preserve">参 特利腾会议(1547)：DS 1576。</w:t>
      </w:r>
    </w:p>
  </w:footnote>
  <w:footnote w:id="3161">
    <w:p>
      <w:pPr>
        <w:pStyle w:val="FootnoteText"/>
      </w:pPr>
      <w:r>
        <w:rPr>
          <w:rStyle w:val="FootnoteReference"/>
        </w:rPr>
        <w:footnoteRef/>
      </w:r>
      <w:r>
        <w:t xml:space="preserve"> </w:t>
      </w:r>
      <w:r>
        <w:t xml:space="preserve">启 21:2。</w:t>
      </w:r>
    </w:p>
  </w:footnote>
  <w:footnote w:id="3163">
    <w:p>
      <w:pPr>
        <w:pStyle w:val="FootnoteText"/>
      </w:pPr>
      <w:r>
        <w:rPr>
          <w:rStyle w:val="FootnoteReference"/>
        </w:rPr>
        <w:footnoteRef/>
      </w:r>
      <w:r>
        <w:t xml:space="preserve"> </w:t>
      </w:r>
      <w:r>
        <w:t xml:space="preserve">太 16:24。</w:t>
      </w:r>
    </w:p>
  </w:footnote>
  <w:footnote w:id="3166">
    <w:p>
      <w:pPr>
        <w:pStyle w:val="FootnoteText"/>
      </w:pPr>
      <w:r>
        <w:rPr>
          <w:rStyle w:val="FootnoteReference"/>
        </w:rPr>
        <w:footnoteRef/>
      </w:r>
      <w:r>
        <w:t xml:space="preserve"> </w:t>
      </w:r>
      <w:r>
        <w:t xml:space="preserve">加 6:2。</w:t>
      </w:r>
    </w:p>
  </w:footnote>
  <w:footnote w:id="3167">
    <w:p>
      <w:pPr>
        <w:pStyle w:val="FootnoteText"/>
      </w:pPr>
      <w:r>
        <w:rPr>
          <w:rStyle w:val="FootnoteReference"/>
        </w:rPr>
        <w:footnoteRef/>
      </w:r>
      <w:r>
        <w:t xml:space="preserve"> </w:t>
      </w:r>
      <w:r>
        <w:t xml:space="preserve">罗 12:1。</w:t>
      </w:r>
    </w:p>
  </w:footnote>
  <w:footnote w:id="3168">
    <w:p>
      <w:pPr>
        <w:pStyle w:val="FootnoteText"/>
      </w:pPr>
      <w:r>
        <w:rPr>
          <w:rStyle w:val="FootnoteReference"/>
        </w:rPr>
        <w:footnoteRef/>
      </w:r>
      <w:r>
        <w:t xml:space="preserve"> </w:t>
      </w:r>
      <w:r>
        <w:t xml:space="preserve">提前 3:15；</w:t>
      </w:r>
      <w:r>
        <w:rPr>
          <w:i/>
          <w:iCs/>
        </w:rPr>
        <w:t xml:space="preserve">Lumen gentium</w:t>
      </w:r>
      <w:r>
        <w:t xml:space="preserve"> </w:t>
      </w:r>
      <w:r>
        <w:t xml:space="preserve">17。</w:t>
      </w:r>
    </w:p>
  </w:footnote>
  <w:footnote w:id="3169">
    <w:p>
      <w:pPr>
        <w:pStyle w:val="FootnoteText"/>
      </w:pPr>
      <w:r>
        <w:rPr>
          <w:rStyle w:val="FootnoteReference"/>
        </w:rPr>
        <w:footnoteRef/>
      </w:r>
      <w:r>
        <w:t xml:space="preserve"> </w:t>
      </w:r>
      <w:r>
        <w:t xml:space="preserve">CIC, can. 747 § 2。</w:t>
      </w:r>
    </w:p>
  </w:footnote>
  <w:footnote w:id="3170">
    <w:p>
      <w:pPr>
        <w:pStyle w:val="FootnoteText"/>
      </w:pPr>
      <w:r>
        <w:rPr>
          <w:rStyle w:val="FootnoteReference"/>
        </w:rPr>
        <w:footnoteRef/>
      </w:r>
      <w:r>
        <w:t xml:space="preserve"> </w:t>
      </w:r>
      <w:r>
        <w:t xml:space="preserve">LG 25。</w:t>
      </w:r>
    </w:p>
  </w:footnote>
  <w:footnote w:id="3171">
    <w:p>
      <w:pPr>
        <w:pStyle w:val="FootnoteText"/>
      </w:pPr>
      <w:r>
        <w:rPr>
          <w:rStyle w:val="FootnoteReference"/>
        </w:rPr>
        <w:footnoteRef/>
      </w:r>
      <w:r>
        <w:t xml:space="preserve"> </w:t>
      </w:r>
      <w:r>
        <w:t xml:space="preserve">参 LG 25；信理部，声明</w:t>
      </w:r>
      <w:r>
        <w:t xml:space="preserve"> </w:t>
      </w:r>
      <w:r>
        <w:rPr>
          <w:i/>
          <w:iCs/>
        </w:rPr>
        <w:t xml:space="preserve">Mysterium Ecclesiae</w:t>
      </w:r>
      <w:r>
        <w:t xml:space="preserve"> </w:t>
      </w:r>
      <w:r>
        <w:t xml:space="preserve">3。</w:t>
      </w:r>
    </w:p>
  </w:footnote>
  <w:footnote w:id="3172">
    <w:p>
      <w:pPr>
        <w:pStyle w:val="FootnoteText"/>
      </w:pPr>
      <w:r>
        <w:rPr>
          <w:rStyle w:val="FootnoteReference"/>
        </w:rPr>
        <w:footnoteRef/>
      </w:r>
      <w:r>
        <w:t xml:space="preserve"> </w:t>
      </w:r>
      <w:r>
        <w:t xml:space="preserve">参</w:t>
      </w:r>
      <w:r>
        <w:t xml:space="preserve"> </w:t>
      </w:r>
      <w:r>
        <w:rPr>
          <w:i/>
          <w:iCs/>
        </w:rPr>
        <w:t xml:space="preserve">Dignitatis humanae</w:t>
      </w:r>
      <w:r>
        <w:t xml:space="preserve"> </w:t>
      </w:r>
      <w:r>
        <w:t xml:space="preserve">14。</w:t>
      </w:r>
    </w:p>
  </w:footnote>
  <w:footnote w:id="3173">
    <w:p>
      <w:pPr>
        <w:pStyle w:val="FootnoteText"/>
      </w:pPr>
      <w:r>
        <w:rPr>
          <w:rStyle w:val="FootnoteReference"/>
        </w:rPr>
        <w:footnoteRef/>
      </w:r>
      <w:r>
        <w:t xml:space="preserve"> </w:t>
      </w:r>
      <w:r>
        <w:t xml:space="preserve">参 CIC, can. 213。</w:t>
      </w:r>
    </w:p>
  </w:footnote>
  <w:footnote w:id="3174">
    <w:p>
      <w:pPr>
        <w:pStyle w:val="FootnoteText"/>
      </w:pPr>
      <w:r>
        <w:rPr>
          <w:rStyle w:val="FootnoteReference"/>
        </w:rPr>
        <w:footnoteRef/>
      </w:r>
      <w:r>
        <w:t xml:space="preserve"> </w:t>
      </w:r>
      <w:r>
        <w:t xml:space="preserve">参 林前 2:10-15。</w:t>
      </w:r>
    </w:p>
  </w:footnote>
  <w:footnote w:id="3175">
    <w:p>
      <w:pPr>
        <w:pStyle w:val="FootnoteText"/>
      </w:pPr>
      <w:r>
        <w:rPr>
          <w:rStyle w:val="FootnoteReference"/>
        </w:rPr>
        <w:footnoteRef/>
      </w:r>
      <w:r>
        <w:t xml:space="preserve"> </w:t>
      </w:r>
      <w:r>
        <w:t xml:space="preserve">参 罗 12:8，11。</w:t>
      </w:r>
    </w:p>
  </w:footnote>
  <w:footnote w:id="3177">
    <w:p>
      <w:pPr>
        <w:pStyle w:val="FootnoteText"/>
      </w:pPr>
      <w:r>
        <w:rPr>
          <w:rStyle w:val="FootnoteReference"/>
        </w:rPr>
        <w:footnoteRef/>
      </w:r>
      <w:r>
        <w:t xml:space="preserve"> </w:t>
      </w:r>
      <w:r>
        <w:t xml:space="preserve">参 CIC, cann. 1246-1248；CCEO, cann. 881 § 1, § 2, § 4。</w:t>
      </w:r>
    </w:p>
  </w:footnote>
  <w:footnote w:id="3178">
    <w:p>
      <w:pPr>
        <w:pStyle w:val="FootnoteText"/>
      </w:pPr>
      <w:r>
        <w:rPr>
          <w:rStyle w:val="FootnoteReference"/>
        </w:rPr>
        <w:footnoteRef/>
      </w:r>
      <w:r>
        <w:t xml:space="preserve"> </w:t>
      </w:r>
      <w:r>
        <w:t xml:space="preserve">参 CIC, can. 989；CCEO, can. 719。</w:t>
      </w:r>
    </w:p>
  </w:footnote>
  <w:footnote w:id="3179">
    <w:p>
      <w:pPr>
        <w:pStyle w:val="FootnoteText"/>
      </w:pPr>
      <w:r>
        <w:rPr>
          <w:rStyle w:val="FootnoteReference"/>
        </w:rPr>
        <w:footnoteRef/>
      </w:r>
      <w:r>
        <w:t xml:space="preserve"> </w:t>
      </w:r>
      <w:r>
        <w:t xml:space="preserve">参 CIC, can. 920；CCEO, cann. 708；881 § 3。</w:t>
      </w:r>
    </w:p>
  </w:footnote>
  <w:footnote w:id="3180">
    <w:p>
      <w:pPr>
        <w:pStyle w:val="FootnoteText"/>
      </w:pPr>
      <w:r>
        <w:rPr>
          <w:rStyle w:val="FootnoteReference"/>
        </w:rPr>
        <w:footnoteRef/>
      </w:r>
      <w:r>
        <w:t xml:space="preserve"> </w:t>
      </w:r>
      <w:r>
        <w:t xml:space="preserve">参 CIC, cann. 1249-1251；CCEO, can. 882。</w:t>
      </w:r>
    </w:p>
  </w:footnote>
  <w:footnote w:id="3181">
    <w:p>
      <w:pPr>
        <w:pStyle w:val="FootnoteText"/>
      </w:pPr>
      <w:r>
        <w:rPr>
          <w:rStyle w:val="FootnoteReference"/>
        </w:rPr>
        <w:footnoteRef/>
      </w:r>
      <w:r>
        <w:t xml:space="preserve"> </w:t>
      </w:r>
      <w:r>
        <w:t xml:space="preserve">参 CIC, can. 222；CCEO, can. 25。</w:t>
      </w:r>
    </w:p>
  </w:footnote>
  <w:footnote w:id="3183">
    <w:p>
      <w:pPr>
        <w:pStyle w:val="FootnoteText"/>
      </w:pPr>
      <w:r>
        <w:rPr>
          <w:rStyle w:val="FootnoteReference"/>
        </w:rPr>
        <w:footnoteRef/>
      </w:r>
      <w:r>
        <w:t xml:space="preserve"> </w:t>
      </w:r>
      <w:r>
        <w:rPr>
          <w:i/>
          <w:iCs/>
        </w:rPr>
        <w:t xml:space="preserve">Apostolicam actuositatem</w:t>
      </w:r>
      <w:r>
        <w:t xml:space="preserve"> </w:t>
      </w:r>
      <w:r>
        <w:t xml:space="preserve">6 § 2。</w:t>
      </w:r>
    </w:p>
  </w:footnote>
  <w:footnote w:id="3184">
    <w:p>
      <w:pPr>
        <w:pStyle w:val="FootnoteText"/>
      </w:pPr>
      <w:r>
        <w:rPr>
          <w:rStyle w:val="FootnoteReference"/>
        </w:rPr>
        <w:footnoteRef/>
      </w:r>
      <w:r>
        <w:t xml:space="preserve"> </w:t>
      </w:r>
      <w:r>
        <w:t xml:space="preserve">参 弗 1:22。</w:t>
      </w:r>
    </w:p>
  </w:footnote>
  <w:footnote w:id="3185">
    <w:p>
      <w:pPr>
        <w:pStyle w:val="FootnoteText"/>
      </w:pPr>
      <w:r>
        <w:rPr>
          <w:rStyle w:val="FootnoteReference"/>
        </w:rPr>
        <w:footnoteRef/>
      </w:r>
      <w:r>
        <w:t xml:space="preserve"> </w:t>
      </w:r>
      <w:r>
        <w:t xml:space="preserve">弗 4:13；参 LG 39。</w:t>
      </w:r>
    </w:p>
  </w:footnote>
  <w:footnote w:id="3186">
    <w:p>
      <w:pPr>
        <w:pStyle w:val="FootnoteText"/>
      </w:pPr>
      <w:r>
        <w:rPr>
          <w:rStyle w:val="FootnoteReference"/>
        </w:rPr>
        <w:footnoteRef/>
      </w:r>
      <w:r>
        <w:t xml:space="preserve"> </w:t>
      </w:r>
      <w:r>
        <w:t xml:space="preserve">《罗马弥撒经书》，基督君王颂谢词。</w:t>
      </w:r>
    </w:p>
  </w:footnote>
  <w:footnote w:id="3192">
    <w:p>
      <w:pPr>
        <w:pStyle w:val="FootnoteText"/>
      </w:pPr>
      <w:r>
        <w:rPr>
          <w:rStyle w:val="FootnoteReference"/>
        </w:rPr>
        <w:footnoteRef/>
      </w:r>
      <w:r>
        <w:t xml:space="preserve"> </w:t>
      </w:r>
      <w:r>
        <w:t xml:space="preserve">太 19:16-19。</w:t>
      </w:r>
    </w:p>
  </w:footnote>
  <w:footnote w:id="3193">
    <w:p>
      <w:pPr>
        <w:pStyle w:val="FootnoteText"/>
      </w:pPr>
      <w:r>
        <w:rPr>
          <w:rStyle w:val="FootnoteReference"/>
        </w:rPr>
        <w:footnoteRef/>
      </w:r>
      <w:r>
        <w:t xml:space="preserve"> </w:t>
      </w:r>
      <w:r>
        <w:t xml:space="preserve">太 19:21。</w:t>
      </w:r>
    </w:p>
  </w:footnote>
  <w:footnote w:id="3194">
    <w:p>
      <w:pPr>
        <w:pStyle w:val="FootnoteText"/>
      </w:pPr>
      <w:r>
        <w:rPr>
          <w:rStyle w:val="FootnoteReference"/>
        </w:rPr>
        <w:footnoteRef/>
      </w:r>
      <w:r>
        <w:t xml:space="preserve"> </w:t>
      </w:r>
      <w:r>
        <w:t xml:space="preserve">参 太 5:17。</w:t>
      </w:r>
    </w:p>
  </w:footnote>
  <w:footnote w:id="3195">
    <w:p>
      <w:pPr>
        <w:pStyle w:val="FootnoteText"/>
      </w:pPr>
      <w:r>
        <w:rPr>
          <w:rStyle w:val="FootnoteReference"/>
        </w:rPr>
        <w:footnoteRef/>
      </w:r>
      <w:r>
        <w:t xml:space="preserve"> </w:t>
      </w:r>
      <w:r>
        <w:t xml:space="preserve">参 太 19:6-12，21，23-29。</w:t>
      </w:r>
    </w:p>
  </w:footnote>
  <w:footnote w:id="3196">
    <w:p>
      <w:pPr>
        <w:pStyle w:val="FootnoteText"/>
      </w:pPr>
      <w:r>
        <w:rPr>
          <w:rStyle w:val="FootnoteReference"/>
        </w:rPr>
        <w:footnoteRef/>
      </w:r>
      <w:r>
        <w:t xml:space="preserve"> </w:t>
      </w:r>
      <w:r>
        <w:t xml:space="preserve">太 5:20。</w:t>
      </w:r>
    </w:p>
  </w:footnote>
  <w:footnote w:id="3197">
    <w:p>
      <w:pPr>
        <w:pStyle w:val="FootnoteText"/>
      </w:pPr>
      <w:r>
        <w:rPr>
          <w:rStyle w:val="FootnoteReference"/>
        </w:rPr>
        <w:footnoteRef/>
      </w:r>
      <w:r>
        <w:t xml:space="preserve"> </w:t>
      </w:r>
      <w:r>
        <w:t xml:space="preserve">参 太 5:46-47。</w:t>
      </w:r>
    </w:p>
  </w:footnote>
  <w:footnote w:id="3198">
    <w:p>
      <w:pPr>
        <w:pStyle w:val="FootnoteText"/>
      </w:pPr>
      <w:r>
        <w:rPr>
          <w:rStyle w:val="FootnoteReference"/>
        </w:rPr>
        <w:footnoteRef/>
      </w:r>
      <w:r>
        <w:t xml:space="preserve"> </w:t>
      </w:r>
      <w:r>
        <w:t xml:space="preserve">太 5:21-22。</w:t>
      </w:r>
    </w:p>
  </w:footnote>
  <w:footnote w:id="3199">
    <w:p>
      <w:pPr>
        <w:pStyle w:val="FootnoteText"/>
      </w:pPr>
      <w:r>
        <w:rPr>
          <w:rStyle w:val="FootnoteReference"/>
        </w:rPr>
        <w:footnoteRef/>
      </w:r>
      <w:r>
        <w:t xml:space="preserve"> </w:t>
      </w:r>
      <w:r>
        <w:t xml:space="preserve">太 22:36。</w:t>
      </w:r>
    </w:p>
  </w:footnote>
  <w:footnote w:id="3200">
    <w:p>
      <w:pPr>
        <w:pStyle w:val="FootnoteText"/>
      </w:pPr>
      <w:r>
        <w:rPr>
          <w:rStyle w:val="FootnoteReference"/>
        </w:rPr>
        <w:footnoteRef/>
      </w:r>
      <w:r>
        <w:t xml:space="preserve"> </w:t>
      </w:r>
      <w:r>
        <w:t xml:space="preserve">太 22:37-40；参 申 6:5；利 19:18。</w:t>
      </w:r>
    </w:p>
  </w:footnote>
  <w:footnote w:id="3201">
    <w:p>
      <w:pPr>
        <w:pStyle w:val="FootnoteText"/>
      </w:pPr>
      <w:r>
        <w:rPr>
          <w:rStyle w:val="FootnoteReference"/>
        </w:rPr>
        <w:footnoteRef/>
      </w:r>
      <w:r>
        <w:t xml:space="preserve"> </w:t>
      </w:r>
      <w:r>
        <w:t xml:space="preserve">罗 13:9-10。</w:t>
      </w:r>
    </w:p>
  </w:footnote>
  <w:footnote w:id="3202">
    <w:p>
      <w:pPr>
        <w:pStyle w:val="FootnoteText"/>
      </w:pPr>
      <w:r>
        <w:rPr>
          <w:rStyle w:val="FootnoteReference"/>
        </w:rPr>
        <w:footnoteRef/>
      </w:r>
      <w:r>
        <w:t xml:space="preserve"> </w:t>
      </w:r>
      <w:r>
        <w:t xml:space="preserve">出 34:28；申 4:13；10:4。</w:t>
      </w:r>
    </w:p>
  </w:footnote>
  <w:footnote w:id="3203">
    <w:p>
      <w:pPr>
        <w:pStyle w:val="FootnoteText"/>
      </w:pPr>
      <w:r>
        <w:rPr>
          <w:rStyle w:val="FootnoteReference"/>
        </w:rPr>
        <w:footnoteRef/>
      </w:r>
      <w:r>
        <w:t xml:space="preserve"> </w:t>
      </w:r>
      <w:r>
        <w:t xml:space="preserve">出 31:18；申 5:22。</w:t>
      </w:r>
    </w:p>
  </w:footnote>
  <w:footnote w:id="3204">
    <w:p>
      <w:pPr>
        <w:pStyle w:val="FootnoteText"/>
      </w:pPr>
      <w:r>
        <w:rPr>
          <w:rStyle w:val="FootnoteReference"/>
        </w:rPr>
        <w:footnoteRef/>
      </w:r>
      <w:r>
        <w:t xml:space="preserve"> </w:t>
      </w:r>
      <w:r>
        <w:t xml:space="preserve">参 申 31:9-24。</w:t>
      </w:r>
    </w:p>
  </w:footnote>
  <w:footnote w:id="3205">
    <w:p>
      <w:pPr>
        <w:pStyle w:val="FootnoteText"/>
      </w:pPr>
      <w:r>
        <w:rPr>
          <w:rStyle w:val="FootnoteReference"/>
        </w:rPr>
        <w:footnoteRef/>
      </w:r>
      <w:r>
        <w:t xml:space="preserve"> </w:t>
      </w:r>
      <w:r>
        <w:t xml:space="preserve">参 出 20:1-17。</w:t>
      </w:r>
    </w:p>
  </w:footnote>
  <w:footnote w:id="3206">
    <w:p>
      <w:pPr>
        <w:pStyle w:val="FootnoteText"/>
      </w:pPr>
      <w:r>
        <w:rPr>
          <w:rStyle w:val="FootnoteReference"/>
        </w:rPr>
        <w:footnoteRef/>
      </w:r>
      <w:r>
        <w:t xml:space="preserve"> </w:t>
      </w:r>
      <w:r>
        <w:t xml:space="preserve">参 申 5:6-22。</w:t>
      </w:r>
    </w:p>
  </w:footnote>
  <w:footnote w:id="3207">
    <w:p>
      <w:pPr>
        <w:pStyle w:val="FootnoteText"/>
      </w:pPr>
      <w:r>
        <w:rPr>
          <w:rStyle w:val="FootnoteReference"/>
        </w:rPr>
        <w:footnoteRef/>
      </w:r>
      <w:r>
        <w:t xml:space="preserve"> </w:t>
      </w:r>
      <w:r>
        <w:t xml:space="preserve">参 何 4:2；耶 7:9；结 18:5-9 等。</w:t>
      </w:r>
    </w:p>
  </w:footnote>
  <w:footnote w:id="3208">
    <w:p>
      <w:pPr>
        <w:pStyle w:val="FootnoteText"/>
      </w:pPr>
      <w:r>
        <w:rPr>
          <w:rStyle w:val="FootnoteReference"/>
        </w:rPr>
        <w:footnoteRef/>
      </w:r>
      <w:r>
        <w:t xml:space="preserve"> </w:t>
      </w:r>
      <w:r>
        <w:t xml:space="preserve">申 30:16。</w:t>
      </w:r>
    </w:p>
  </w:footnote>
  <w:footnote w:id="3209">
    <w:p>
      <w:pPr>
        <w:pStyle w:val="FootnoteText"/>
      </w:pPr>
      <w:r>
        <w:rPr>
          <w:rStyle w:val="FootnoteReference"/>
        </w:rPr>
        <w:footnoteRef/>
      </w:r>
      <w:r>
        <w:t xml:space="preserve"> </w:t>
      </w:r>
      <w:r>
        <w:t xml:space="preserve">申 5:15。</w:t>
      </w:r>
    </w:p>
  </w:footnote>
  <w:footnote w:id="3210">
    <w:p>
      <w:pPr>
        <w:pStyle w:val="FootnoteText"/>
      </w:pPr>
      <w:r>
        <w:rPr>
          <w:rStyle w:val="FootnoteReference"/>
        </w:rPr>
        <w:footnoteRef/>
      </w:r>
      <w:r>
        <w:t xml:space="preserve"> </w:t>
      </w:r>
      <w:r>
        <w:t xml:space="preserve">申 5:22。</w:t>
      </w:r>
    </w:p>
  </w:footnote>
  <w:footnote w:id="3211">
    <w:p>
      <w:pPr>
        <w:pStyle w:val="FootnoteText"/>
      </w:pPr>
      <w:r>
        <w:rPr>
          <w:rStyle w:val="FootnoteReference"/>
        </w:rPr>
        <w:footnoteRef/>
      </w:r>
      <w:r>
        <w:t xml:space="preserve"> </w:t>
      </w:r>
      <w:r>
        <w:t xml:space="preserve">出 25:16；31:18；32:15；34:29；40:1-2。</w:t>
      </w:r>
    </w:p>
  </w:footnote>
  <w:footnote w:id="3212">
    <w:p>
      <w:pPr>
        <w:pStyle w:val="FootnoteText"/>
      </w:pPr>
      <w:r>
        <w:rPr>
          <w:rStyle w:val="FootnoteReference"/>
        </w:rPr>
        <w:footnoteRef/>
      </w:r>
      <w:r>
        <w:t xml:space="preserve"> </w:t>
      </w:r>
      <w:r>
        <w:t xml:space="preserve">申 5:4。</w:t>
      </w:r>
    </w:p>
  </w:footnote>
  <w:footnote w:id="3213">
    <w:p>
      <w:pPr>
        <w:pStyle w:val="FootnoteText"/>
      </w:pPr>
      <w:r>
        <w:rPr>
          <w:rStyle w:val="FootnoteReference"/>
        </w:rPr>
        <w:footnoteRef/>
      </w:r>
      <w:r>
        <w:t xml:space="preserve"> </w:t>
      </w:r>
      <w:r>
        <w:t xml:space="preserve">参 出 19。</w:t>
      </w:r>
    </w:p>
  </w:footnote>
  <w:footnote w:id="3214">
    <w:p>
      <w:pPr>
        <w:pStyle w:val="FootnoteText"/>
      </w:pPr>
      <w:r>
        <w:rPr>
          <w:rStyle w:val="FootnoteReference"/>
        </w:rPr>
        <w:footnoteRef/>
      </w:r>
      <w:r>
        <w:t xml:space="preserve"> </w:t>
      </w:r>
      <w:r>
        <w:t xml:space="preserve">参 出 24:7。</w:t>
      </w:r>
    </w:p>
  </w:footnote>
  <w:footnote w:id="3215">
    <w:p>
      <w:pPr>
        <w:pStyle w:val="FootnoteText"/>
      </w:pPr>
      <w:r>
        <w:rPr>
          <w:rStyle w:val="FootnoteReference"/>
        </w:rPr>
        <w:footnoteRef/>
      </w:r>
      <w:r>
        <w:t xml:space="preserve"> </w:t>
      </w:r>
      <w:r>
        <w:t xml:space="preserve">申 5:2。</w:t>
      </w:r>
    </w:p>
  </w:footnote>
  <w:footnote w:id="3216">
    <w:p>
      <w:pPr>
        <w:pStyle w:val="FootnoteText"/>
      </w:pPr>
      <w:r>
        <w:rPr>
          <w:rStyle w:val="FootnoteReference"/>
        </w:rPr>
        <w:footnoteRef/>
      </w:r>
      <w:r>
        <w:t xml:space="preserve"> </w:t>
      </w:r>
      <w:r>
        <w:t xml:space="preserve">俄利根，</w:t>
      </w:r>
      <w:r>
        <w:rPr>
          <w:i/>
          <w:iCs/>
        </w:rPr>
        <w:t xml:space="preserve">Hom. in Ex.</w:t>
      </w:r>
      <w:r>
        <w:t xml:space="preserve"> </w:t>
      </w:r>
      <w:r>
        <w:t xml:space="preserve">8,1：PG 12,350；参 出 20:2；申 5:6。</w:t>
      </w:r>
    </w:p>
  </w:footnote>
  <w:footnote w:id="3217">
    <w:p>
      <w:pPr>
        <w:pStyle w:val="FootnoteText"/>
      </w:pPr>
      <w:r>
        <w:rPr>
          <w:rStyle w:val="FootnoteReference"/>
        </w:rPr>
        <w:footnoteRef/>
      </w:r>
      <w:r>
        <w:t xml:space="preserve"> </w:t>
      </w:r>
      <w:r>
        <w:t xml:space="preserve">圣爱任纽，</w:t>
      </w:r>
      <w:r>
        <w:rPr>
          <w:i/>
          <w:iCs/>
        </w:rPr>
        <w:t xml:space="preserve">Adv. haeres.</w:t>
      </w:r>
      <w:r>
        <w:t xml:space="preserve"> </w:t>
      </w:r>
      <w:r>
        <w:t xml:space="preserve">4,16,3-4：PG 7/1,1017-1018。</w:t>
      </w:r>
    </w:p>
  </w:footnote>
  <w:footnote w:id="3219">
    <w:p>
      <w:pPr>
        <w:pStyle w:val="FootnoteText"/>
      </w:pPr>
      <w:r>
        <w:rPr>
          <w:rStyle w:val="FootnoteReference"/>
        </w:rPr>
        <w:footnoteRef/>
      </w:r>
      <w:r>
        <w:t xml:space="preserve"> </w:t>
      </w:r>
      <w:r>
        <w:t xml:space="preserve">圣奥古斯丁，</w:t>
      </w:r>
      <w:r>
        <w:rPr>
          <w:i/>
          <w:iCs/>
        </w:rPr>
        <w:t xml:space="preserve">Sermo</w:t>
      </w:r>
      <w:r>
        <w:t xml:space="preserve"> </w:t>
      </w:r>
      <w:r>
        <w:t xml:space="preserve">33,2,2：PL 38,208。</w:t>
      </w:r>
    </w:p>
  </w:footnote>
  <w:footnote w:id="3220">
    <w:p>
      <w:pPr>
        <w:pStyle w:val="FootnoteText"/>
      </w:pPr>
      <w:r>
        <w:rPr>
          <w:rStyle w:val="FootnoteReference"/>
        </w:rPr>
        <w:footnoteRef/>
      </w:r>
      <w:r>
        <w:t xml:space="preserve"> </w:t>
      </w:r>
      <w:r>
        <w:t xml:space="preserve">参 DS 1569-1570。</w:t>
      </w:r>
    </w:p>
  </w:footnote>
  <w:footnote w:id="3221">
    <w:p>
      <w:pPr>
        <w:pStyle w:val="FootnoteText"/>
      </w:pPr>
      <w:r>
        <w:rPr>
          <w:rStyle w:val="FootnoteReference"/>
        </w:rPr>
        <w:footnoteRef/>
      </w:r>
      <w:r>
        <w:t xml:space="preserve"> </w:t>
      </w:r>
      <w:r>
        <w:t xml:space="preserve">LG 24。</w:t>
      </w:r>
    </w:p>
  </w:footnote>
  <w:footnote w:id="3223">
    <w:p>
      <w:pPr>
        <w:pStyle w:val="FootnoteText"/>
      </w:pPr>
      <w:r>
        <w:rPr>
          <w:rStyle w:val="FootnoteReference"/>
        </w:rPr>
        <w:footnoteRef/>
      </w:r>
      <w:r>
        <w:t xml:space="preserve"> </w:t>
      </w:r>
      <w:r>
        <w:t xml:space="preserve">参 雅 2:10-11。</w:t>
      </w:r>
    </w:p>
  </w:footnote>
  <w:footnote w:id="3225">
    <w:p>
      <w:pPr>
        <w:pStyle w:val="FootnoteText"/>
      </w:pPr>
      <w:r>
        <w:rPr>
          <w:rStyle w:val="FootnoteReference"/>
        </w:rPr>
        <w:footnoteRef/>
      </w:r>
      <w:r>
        <w:t xml:space="preserve"> </w:t>
      </w:r>
      <w:r>
        <w:t xml:space="preserve">圣爱任纽，</w:t>
      </w:r>
      <w:r>
        <w:rPr>
          <w:i/>
          <w:iCs/>
        </w:rPr>
        <w:t xml:space="preserve">Adv. haeres.</w:t>
      </w:r>
      <w:r>
        <w:t xml:space="preserve"> </w:t>
      </w:r>
      <w:r>
        <w:t xml:space="preserve">4,15,1：PG 7/1,1012。</w:t>
      </w:r>
    </w:p>
  </w:footnote>
  <w:footnote w:id="3226">
    <w:p>
      <w:pPr>
        <w:pStyle w:val="FootnoteText"/>
      </w:pPr>
      <w:r>
        <w:rPr>
          <w:rStyle w:val="FootnoteReference"/>
        </w:rPr>
        <w:footnoteRef/>
      </w:r>
      <w:r>
        <w:t xml:space="preserve"> </w:t>
      </w:r>
      <w:r>
        <w:t xml:space="preserve">圣文德，</w:t>
      </w:r>
      <w:r>
        <w:rPr>
          <w:i/>
          <w:iCs/>
        </w:rPr>
        <w:t xml:space="preserve">Comm. sent.</w:t>
      </w:r>
      <w:r>
        <w:t xml:space="preserve"> </w:t>
      </w:r>
      <w:r>
        <w:t xml:space="preserve">4,37,1,3。</w:t>
      </w:r>
    </w:p>
  </w:footnote>
  <w:footnote w:id="3229">
    <w:p>
      <w:pPr>
        <w:pStyle w:val="FootnoteText"/>
      </w:pPr>
      <w:r>
        <w:rPr>
          <w:rStyle w:val="FootnoteReference"/>
        </w:rPr>
        <w:footnoteRef/>
      </w:r>
      <w:r>
        <w:t xml:space="preserve"> </w:t>
      </w:r>
      <w:r>
        <w:t xml:space="preserve">约15:5。</w:t>
      </w:r>
    </w:p>
  </w:footnote>
  <w:footnote w:id="3230">
    <w:p>
      <w:pPr>
        <w:pStyle w:val="FootnoteText"/>
      </w:pPr>
      <w:r>
        <w:rPr>
          <w:rStyle w:val="FootnoteReference"/>
        </w:rPr>
        <w:footnoteRef/>
      </w:r>
      <w:r>
        <w:t xml:space="preserve"> </w:t>
      </w:r>
      <w:r>
        <w:t xml:space="preserve">约15:12。</w:t>
      </w:r>
    </w:p>
  </w:footnote>
  <w:footnote w:id="3233">
    <w:p>
      <w:pPr>
        <w:pStyle w:val="FootnoteText"/>
      </w:pPr>
      <w:r>
        <w:rPr>
          <w:rStyle w:val="FootnoteReference"/>
        </w:rPr>
        <w:footnoteRef/>
      </w:r>
      <w:r>
        <w:t xml:space="preserve"> </w:t>
      </w:r>
      <w:r>
        <w:t xml:space="preserve">太22:37；参路10:27：「尽力。」</w:t>
      </w:r>
    </w:p>
  </w:footnote>
  <w:footnote w:id="3234">
    <w:p>
      <w:pPr>
        <w:pStyle w:val="FootnoteText"/>
      </w:pPr>
      <w:r>
        <w:rPr>
          <w:rStyle w:val="FootnoteReference"/>
        </w:rPr>
        <w:footnoteRef/>
      </w:r>
      <w:r>
        <w:t xml:space="preserve"> </w:t>
      </w:r>
      <w:r>
        <w:t xml:space="preserve">申6:4。</w:t>
      </w:r>
    </w:p>
  </w:footnote>
  <w:footnote w:id="3235">
    <w:p>
      <w:pPr>
        <w:pStyle w:val="FootnoteText"/>
      </w:pPr>
      <w:r>
        <w:rPr>
          <w:rStyle w:val="FootnoteReference"/>
        </w:rPr>
        <w:footnoteRef/>
      </w:r>
      <w:r>
        <w:t xml:space="preserve"> </w:t>
      </w:r>
      <w:r>
        <w:t xml:space="preserve">出20:2-5；参申5:6-9。</w:t>
      </w:r>
    </w:p>
  </w:footnote>
  <w:footnote w:id="3236">
    <w:p>
      <w:pPr>
        <w:pStyle w:val="FootnoteText"/>
      </w:pPr>
      <w:r>
        <w:rPr>
          <w:rStyle w:val="FootnoteReference"/>
        </w:rPr>
        <w:footnoteRef/>
      </w:r>
      <w:r>
        <w:t xml:space="preserve"> </w:t>
      </w:r>
      <w:r>
        <w:t xml:space="preserve">太4:10。</w:t>
      </w:r>
    </w:p>
  </w:footnote>
  <w:footnote w:id="3237">
    <w:p>
      <w:pPr>
        <w:pStyle w:val="FootnoteText"/>
      </w:pPr>
      <w:r>
        <w:rPr>
          <w:rStyle w:val="FootnoteReference"/>
        </w:rPr>
        <w:footnoteRef/>
      </w:r>
      <w:r>
        <w:t xml:space="preserve"> </w:t>
      </w:r>
      <w:r>
        <w:t xml:space="preserve">申6:13-14。</w:t>
      </w:r>
    </w:p>
  </w:footnote>
  <w:footnote w:id="3238">
    <w:p>
      <w:pPr>
        <w:pStyle w:val="FootnoteText"/>
      </w:pPr>
      <w:r>
        <w:rPr>
          <w:rStyle w:val="FootnoteReference"/>
        </w:rPr>
        <w:footnoteRef/>
      </w:r>
      <w:r>
        <w:t xml:space="preserve"> </w:t>
      </w:r>
      <w:r>
        <w:t xml:space="preserve">参出19:16-25；24:15-18。</w:t>
      </w:r>
    </w:p>
  </w:footnote>
  <w:footnote w:id="3239">
    <w:p>
      <w:pPr>
        <w:pStyle w:val="FootnoteText"/>
      </w:pPr>
      <w:r>
        <w:rPr>
          <w:rStyle w:val="FootnoteReference"/>
        </w:rPr>
        <w:footnoteRef/>
      </w:r>
      <w:r>
        <w:t xml:space="preserve"> </w:t>
      </w:r>
      <w:r>
        <w:t xml:space="preserve">圣游斯丁，</w:t>
      </w:r>
      <w:r>
        <w:rPr>
          <w:i/>
          <w:iCs/>
        </w:rPr>
        <w:t xml:space="preserve">Dial. cum Tryphone Judaeo</w:t>
      </w:r>
      <w:r>
        <w:t xml:space="preserve"> </w:t>
      </w:r>
      <w:r>
        <w:t xml:space="preserve">11,1：PG 6,497。</w:t>
      </w:r>
    </w:p>
  </w:footnote>
  <w:footnote w:id="3240">
    <w:p>
      <w:pPr>
        <w:pStyle w:val="FootnoteText"/>
      </w:pPr>
      <w:r>
        <w:rPr>
          <w:rStyle w:val="FootnoteReference"/>
        </w:rPr>
        <w:footnoteRef/>
      </w:r>
      <w:r>
        <w:t xml:space="preserve"> </w:t>
      </w:r>
      <w:r>
        <w:t xml:space="preserve">《罗马教理》3,2,4。</w:t>
      </w:r>
    </w:p>
  </w:footnote>
  <w:footnote w:id="3241">
    <w:p>
      <w:pPr>
        <w:pStyle w:val="FootnoteText"/>
      </w:pPr>
      <w:r>
        <w:rPr>
          <w:rStyle w:val="FootnoteReference"/>
        </w:rPr>
        <w:footnoteRef/>
      </w:r>
      <w:r>
        <w:t xml:space="preserve"> </w:t>
      </w:r>
      <w:r>
        <w:t xml:space="preserve">罗1:5；16:26。</w:t>
      </w:r>
    </w:p>
  </w:footnote>
  <w:footnote w:id="3242">
    <w:p>
      <w:pPr>
        <w:pStyle w:val="FootnoteText"/>
      </w:pPr>
      <w:r>
        <w:rPr>
          <w:rStyle w:val="FootnoteReference"/>
        </w:rPr>
        <w:footnoteRef/>
      </w:r>
      <w:r>
        <w:t xml:space="preserve"> </w:t>
      </w:r>
      <w:r>
        <w:t xml:space="preserve">参罗1:18-32。</w:t>
      </w:r>
    </w:p>
  </w:footnote>
  <w:footnote w:id="3243">
    <w:p>
      <w:pPr>
        <w:pStyle w:val="FootnoteText"/>
      </w:pPr>
      <w:r>
        <w:rPr>
          <w:rStyle w:val="FootnoteReference"/>
        </w:rPr>
        <w:footnoteRef/>
      </w:r>
      <w:r>
        <w:t xml:space="preserve"> </w:t>
      </w:r>
      <w:r>
        <w:t xml:space="preserve">CIC，第751条；原文强调。</w:t>
      </w:r>
    </w:p>
  </w:footnote>
  <w:footnote w:id="3244">
    <w:p>
      <w:pPr>
        <w:pStyle w:val="FootnoteText"/>
      </w:pPr>
      <w:r>
        <w:rPr>
          <w:rStyle w:val="FootnoteReference"/>
        </w:rPr>
        <w:footnoteRef/>
      </w:r>
      <w:r>
        <w:t xml:space="preserve"> </w:t>
      </w:r>
      <w:r>
        <w:t xml:space="preserve">参申6:4-5。</w:t>
      </w:r>
    </w:p>
  </w:footnote>
  <w:footnote w:id="3246">
    <w:p>
      <w:pPr>
        <w:pStyle w:val="FootnoteText"/>
      </w:pPr>
      <w:r>
        <w:rPr>
          <w:rStyle w:val="FootnoteReference"/>
        </w:rPr>
        <w:footnoteRef/>
      </w:r>
      <w:r>
        <w:t xml:space="preserve"> </w:t>
      </w:r>
      <w:r>
        <w:t xml:space="preserve">路4:8；参申6:13。</w:t>
      </w:r>
    </w:p>
  </w:footnote>
  <w:footnote w:id="3247">
    <w:p>
      <w:pPr>
        <w:pStyle w:val="FootnoteText"/>
      </w:pPr>
      <w:r>
        <w:rPr>
          <w:rStyle w:val="FootnoteReference"/>
        </w:rPr>
        <w:footnoteRef/>
      </w:r>
      <w:r>
        <w:t xml:space="preserve"> </w:t>
      </w:r>
      <w:r>
        <w:t xml:space="preserve">参路1:46-49。</w:t>
      </w:r>
    </w:p>
  </w:footnote>
  <w:footnote w:id="3248">
    <w:p>
      <w:pPr>
        <w:pStyle w:val="FootnoteText"/>
      </w:pPr>
      <w:r>
        <w:rPr>
          <w:rStyle w:val="FootnoteReference"/>
        </w:rPr>
        <w:footnoteRef/>
      </w:r>
      <w:r>
        <w:t xml:space="preserve"> </w:t>
      </w:r>
      <w:r>
        <w:t xml:space="preserve">路18:1。</w:t>
      </w:r>
    </w:p>
  </w:footnote>
  <w:footnote w:id="3249">
    <w:p>
      <w:pPr>
        <w:pStyle w:val="FootnoteText"/>
      </w:pPr>
      <w:r>
        <w:rPr>
          <w:rStyle w:val="FootnoteReference"/>
        </w:rPr>
        <w:footnoteRef/>
      </w:r>
      <w:r>
        <w:t xml:space="preserve"> </w:t>
      </w:r>
      <w:r>
        <w:t xml:space="preserve">圣奥古斯丁，</w:t>
      </w:r>
      <w:r>
        <w:rPr>
          <w:i/>
          <w:iCs/>
        </w:rPr>
        <w:t xml:space="preserve">De civ. Dei</w:t>
      </w:r>
      <w:r>
        <w:t xml:space="preserve"> </w:t>
      </w:r>
      <w:r>
        <w:t xml:space="preserve">10,6：PL 41,283。</w:t>
      </w:r>
    </w:p>
  </w:footnote>
  <w:footnote w:id="3250">
    <w:p>
      <w:pPr>
        <w:pStyle w:val="FootnoteText"/>
      </w:pPr>
      <w:r>
        <w:rPr>
          <w:rStyle w:val="FootnoteReference"/>
        </w:rPr>
        <w:footnoteRef/>
      </w:r>
      <w:r>
        <w:t xml:space="preserve"> </w:t>
      </w:r>
      <w:r>
        <w:t xml:space="preserve">诗51:17。</w:t>
      </w:r>
    </w:p>
  </w:footnote>
  <w:footnote w:id="3251">
    <w:p>
      <w:pPr>
        <w:pStyle w:val="FootnoteText"/>
      </w:pPr>
      <w:r>
        <w:rPr>
          <w:rStyle w:val="FootnoteReference"/>
        </w:rPr>
        <w:footnoteRef/>
      </w:r>
      <w:r>
        <w:t xml:space="preserve"> </w:t>
      </w:r>
      <w:r>
        <w:t xml:space="preserve">参摩5:21-25；赛1:10-20。</w:t>
      </w:r>
    </w:p>
  </w:footnote>
  <w:footnote w:id="3252">
    <w:p>
      <w:pPr>
        <w:pStyle w:val="FootnoteText"/>
      </w:pPr>
      <w:r>
        <w:rPr>
          <w:rStyle w:val="FootnoteReference"/>
        </w:rPr>
        <w:footnoteRef/>
      </w:r>
      <w:r>
        <w:t xml:space="preserve"> </w:t>
      </w:r>
      <w:r>
        <w:t xml:space="preserve">太9:13；12:7；参何6:6。</w:t>
      </w:r>
    </w:p>
  </w:footnote>
  <w:footnote w:id="3253">
    <w:p>
      <w:pPr>
        <w:pStyle w:val="FootnoteText"/>
      </w:pPr>
      <w:r>
        <w:rPr>
          <w:rStyle w:val="FootnoteReference"/>
        </w:rPr>
        <w:footnoteRef/>
      </w:r>
      <w:r>
        <w:t xml:space="preserve"> </w:t>
      </w:r>
      <w:r>
        <w:t xml:space="preserve">参来9:13-14。</w:t>
      </w:r>
    </w:p>
  </w:footnote>
  <w:footnote w:id="3254">
    <w:p>
      <w:pPr>
        <w:pStyle w:val="FootnoteText"/>
      </w:pPr>
      <w:r>
        <w:rPr>
          <w:rStyle w:val="FootnoteReference"/>
        </w:rPr>
        <w:footnoteRef/>
      </w:r>
      <w:r>
        <w:t xml:space="preserve"> </w:t>
      </w:r>
      <w:r>
        <w:t xml:space="preserve">CIC，第1191条1项。</w:t>
      </w:r>
    </w:p>
  </w:footnote>
  <w:footnote w:id="3255">
    <w:p>
      <w:pPr>
        <w:pStyle w:val="FootnoteText"/>
      </w:pPr>
      <w:r>
        <w:rPr>
          <w:rStyle w:val="FootnoteReference"/>
        </w:rPr>
        <w:footnoteRef/>
      </w:r>
      <w:r>
        <w:t xml:space="preserve"> </w:t>
      </w:r>
      <w:r>
        <w:t xml:space="preserve">参徒18:18；21:23-24。</w:t>
      </w:r>
    </w:p>
  </w:footnote>
  <w:footnote w:id="3256">
    <w:p>
      <w:pPr>
        <w:pStyle w:val="FootnoteText"/>
      </w:pPr>
      <w:r>
        <w:rPr>
          <w:rStyle w:val="FootnoteReference"/>
        </w:rPr>
        <w:footnoteRef/>
      </w:r>
      <w:r>
        <w:t xml:space="preserve"> </w:t>
      </w:r>
      <w:r>
        <w:t xml:space="preserve">参CIC，第654条。</w:t>
      </w:r>
    </w:p>
  </w:footnote>
  <w:footnote w:id="3257">
    <w:p>
      <w:pPr>
        <w:pStyle w:val="FootnoteText"/>
      </w:pPr>
      <w:r>
        <w:rPr>
          <w:rStyle w:val="FootnoteReference"/>
        </w:rPr>
        <w:footnoteRef/>
      </w:r>
      <w:r>
        <w:t xml:space="preserve"> </w:t>
      </w:r>
      <w:r>
        <w:t xml:space="preserve">LG 42 § 2。</w:t>
      </w:r>
    </w:p>
  </w:footnote>
  <w:footnote w:id="3258">
    <w:p>
      <w:pPr>
        <w:pStyle w:val="FootnoteText"/>
      </w:pPr>
      <w:r>
        <w:rPr>
          <w:rStyle w:val="FootnoteReference"/>
        </w:rPr>
        <w:footnoteRef/>
      </w:r>
      <w:r>
        <w:t xml:space="preserve"> </w:t>
      </w:r>
      <w:r>
        <w:t xml:space="preserve">参CIC，692条；1196-1197条。</w:t>
      </w:r>
    </w:p>
  </w:footnote>
  <w:footnote w:id="3259">
    <w:p>
      <w:pPr>
        <w:pStyle w:val="FootnoteText"/>
      </w:pPr>
      <w:r>
        <w:rPr>
          <w:rStyle w:val="FootnoteReference"/>
        </w:rPr>
        <w:footnoteRef/>
      </w:r>
      <w:r>
        <w:t xml:space="preserve"> </w:t>
      </w:r>
      <w:r>
        <w:t xml:space="preserve">DH 1 § 2。</w:t>
      </w:r>
    </w:p>
  </w:footnote>
  <w:footnote w:id="3260">
    <w:p>
      <w:pPr>
        <w:pStyle w:val="FootnoteText"/>
      </w:pPr>
      <w:r>
        <w:rPr>
          <w:rStyle w:val="FootnoteReference"/>
        </w:rPr>
        <w:footnoteRef/>
      </w:r>
      <w:r>
        <w:t xml:space="preserve"> </w:t>
      </w:r>
      <w:r>
        <w:t xml:space="preserve">DH 2 § 1。</w:t>
      </w:r>
    </w:p>
  </w:footnote>
  <w:footnote w:id="3261">
    <w:p>
      <w:pPr>
        <w:pStyle w:val="FootnoteText"/>
      </w:pPr>
      <w:r>
        <w:rPr>
          <w:rStyle w:val="FootnoteReference"/>
        </w:rPr>
        <w:footnoteRef/>
      </w:r>
      <w:r>
        <w:t xml:space="preserve"> </w:t>
      </w:r>
      <w:r>
        <w:t xml:space="preserve">NA 2 § 2。</w:t>
      </w:r>
    </w:p>
  </w:footnote>
  <w:footnote w:id="3262">
    <w:p>
      <w:pPr>
        <w:pStyle w:val="FootnoteText"/>
      </w:pPr>
      <w:r>
        <w:rPr>
          <w:rStyle w:val="FootnoteReference"/>
        </w:rPr>
        <w:footnoteRef/>
      </w:r>
      <w:r>
        <w:t xml:space="preserve"> </w:t>
      </w:r>
      <w:r>
        <w:t xml:space="preserve">DH 14 § 4。</w:t>
      </w:r>
    </w:p>
  </w:footnote>
  <w:footnote w:id="3263">
    <w:p>
      <w:pPr>
        <w:pStyle w:val="FootnoteText"/>
      </w:pPr>
      <w:r>
        <w:rPr>
          <w:rStyle w:val="FootnoteReference"/>
        </w:rPr>
        <w:footnoteRef/>
      </w:r>
      <w:r>
        <w:t xml:space="preserve"> </w:t>
      </w:r>
      <w:r>
        <w:t xml:space="preserve">DH 1 § 3。</w:t>
      </w:r>
    </w:p>
  </w:footnote>
  <w:footnote w:id="3264">
    <w:p>
      <w:pPr>
        <w:pStyle w:val="FootnoteText"/>
      </w:pPr>
      <w:r>
        <w:rPr>
          <w:rStyle w:val="FootnoteReference"/>
        </w:rPr>
        <w:footnoteRef/>
      </w:r>
      <w:r>
        <w:t xml:space="preserve"> </w:t>
      </w:r>
      <w:r>
        <w:t xml:space="preserve">AA 13 § 1。</w:t>
      </w:r>
    </w:p>
  </w:footnote>
  <w:footnote w:id="3265">
    <w:p>
      <w:pPr>
        <w:pStyle w:val="FootnoteText"/>
      </w:pPr>
      <w:r>
        <w:rPr>
          <w:rStyle w:val="FootnoteReference"/>
        </w:rPr>
        <w:footnoteRef/>
      </w:r>
      <w:r>
        <w:t xml:space="preserve"> </w:t>
      </w:r>
      <w:r>
        <w:t xml:space="preserve">参DH 1。</w:t>
      </w:r>
    </w:p>
  </w:footnote>
  <w:footnote w:id="3266">
    <w:p>
      <w:pPr>
        <w:pStyle w:val="FootnoteText"/>
      </w:pPr>
      <w:r>
        <w:rPr>
          <w:rStyle w:val="FootnoteReference"/>
        </w:rPr>
        <w:footnoteRef/>
      </w:r>
      <w:r>
        <w:t xml:space="preserve"> </w:t>
      </w:r>
      <w:r>
        <w:t xml:space="preserve">参AA 13；良十三世，</w:t>
      </w:r>
      <w:r>
        <w:rPr>
          <w:i/>
          <w:iCs/>
        </w:rPr>
        <w:t xml:space="preserve">Immortale Dei</w:t>
      </w:r>
      <w:r>
        <w:t xml:space="preserve"> </w:t>
      </w:r>
      <w:r>
        <w:t xml:space="preserve">3,17；庇护十一世，</w:t>
      </w:r>
      <w:r>
        <w:rPr>
          <w:i/>
          <w:iCs/>
        </w:rPr>
        <w:t xml:space="preserve">Quas primas</w:t>
      </w:r>
      <w:r>
        <w:t xml:space="preserve"> </w:t>
      </w:r>
      <w:r>
        <w:t xml:space="preserve">8,20。</w:t>
      </w:r>
    </w:p>
  </w:footnote>
  <w:footnote w:id="3267">
    <w:p>
      <w:pPr>
        <w:pStyle w:val="FootnoteText"/>
      </w:pPr>
      <w:r>
        <w:rPr>
          <w:rStyle w:val="FootnoteReference"/>
        </w:rPr>
        <w:footnoteRef/>
      </w:r>
      <w:r>
        <w:t xml:space="preserve"> </w:t>
      </w:r>
      <w:r>
        <w:t xml:space="preserve">DH 2 § 1。</w:t>
      </w:r>
    </w:p>
  </w:footnote>
  <w:footnote w:id="3268">
    <w:p>
      <w:pPr>
        <w:pStyle w:val="FootnoteText"/>
      </w:pPr>
      <w:r>
        <w:rPr>
          <w:rStyle w:val="FootnoteReference"/>
        </w:rPr>
        <w:footnoteRef/>
      </w:r>
      <w:r>
        <w:t xml:space="preserve"> </w:t>
      </w:r>
      <w:r>
        <w:t xml:space="preserve">DH 2 § 2。</w:t>
      </w:r>
    </w:p>
  </w:footnote>
  <w:footnote w:id="3269">
    <w:p>
      <w:pPr>
        <w:pStyle w:val="FootnoteText"/>
      </w:pPr>
      <w:r>
        <w:rPr>
          <w:rStyle w:val="FootnoteReference"/>
        </w:rPr>
        <w:footnoteRef/>
      </w:r>
      <w:r>
        <w:t xml:space="preserve"> </w:t>
      </w:r>
      <w:r>
        <w:t xml:space="preserve">DH 6 § 3。</w:t>
      </w:r>
    </w:p>
  </w:footnote>
  <w:footnote w:id="3270">
    <w:p>
      <w:pPr>
        <w:pStyle w:val="FootnoteText"/>
      </w:pPr>
      <w:r>
        <w:rPr>
          <w:rStyle w:val="FootnoteReference"/>
        </w:rPr>
        <w:footnoteRef/>
      </w:r>
      <w:r>
        <w:t xml:space="preserve"> </w:t>
      </w:r>
      <w:r>
        <w:t xml:space="preserve">参良十三世，</w:t>
      </w:r>
      <w:r>
        <w:rPr>
          <w:i/>
          <w:iCs/>
        </w:rPr>
        <w:t xml:space="preserve">Libertas praestantissimum</w:t>
      </w:r>
      <w:r>
        <w:t xml:space="preserve"> </w:t>
      </w:r>
      <w:r>
        <w:t xml:space="preserve">18；庇护十二世，AAS 1953，799。</w:t>
      </w:r>
    </w:p>
  </w:footnote>
  <w:footnote w:id="3271">
    <w:p>
      <w:pPr>
        <w:pStyle w:val="FootnoteText"/>
      </w:pPr>
      <w:r>
        <w:rPr>
          <w:rStyle w:val="FootnoteReference"/>
        </w:rPr>
        <w:footnoteRef/>
      </w:r>
      <w:r>
        <w:t xml:space="preserve"> </w:t>
      </w:r>
      <w:r>
        <w:t xml:space="preserve">参DH 2。</w:t>
      </w:r>
    </w:p>
  </w:footnote>
  <w:footnote w:id="3272">
    <w:p>
      <w:pPr>
        <w:pStyle w:val="FootnoteText"/>
      </w:pPr>
      <w:r>
        <w:rPr>
          <w:rStyle w:val="FootnoteReference"/>
        </w:rPr>
        <w:footnoteRef/>
      </w:r>
      <w:r>
        <w:t xml:space="preserve"> </w:t>
      </w:r>
      <w:r>
        <w:t xml:space="preserve">参庇护六世，</w:t>
      </w:r>
      <w:r>
        <w:rPr>
          <w:i/>
          <w:iCs/>
        </w:rPr>
        <w:t xml:space="preserve">Quod aliquantum</w:t>
      </w:r>
      <w:r>
        <w:t xml:space="preserve">（1791）10；庇护九世，</w:t>
      </w:r>
      <w:r>
        <w:rPr>
          <w:i/>
          <w:iCs/>
        </w:rPr>
        <w:t xml:space="preserve">Quanta cura</w:t>
      </w:r>
      <w:r>
        <w:t xml:space="preserve"> </w:t>
      </w:r>
      <w:r>
        <w:t xml:space="preserve">3。</w:t>
      </w:r>
    </w:p>
  </w:footnote>
  <w:footnote w:id="3273">
    <w:p>
      <w:pPr>
        <w:pStyle w:val="FootnoteText"/>
      </w:pPr>
      <w:r>
        <w:rPr>
          <w:rStyle w:val="FootnoteReference"/>
        </w:rPr>
        <w:footnoteRef/>
      </w:r>
      <w:r>
        <w:t xml:space="preserve"> </w:t>
      </w:r>
      <w:r>
        <w:t xml:space="preserve">DH 7 § 3。</w:t>
      </w:r>
    </w:p>
  </w:footnote>
  <w:footnote w:id="3275">
    <w:p>
      <w:pPr>
        <w:pStyle w:val="FootnoteText"/>
      </w:pPr>
      <w:r>
        <w:rPr>
          <w:rStyle w:val="FootnoteReference"/>
        </w:rPr>
        <w:footnoteRef/>
      </w:r>
      <w:r>
        <w:t xml:space="preserve"> </w:t>
      </w:r>
      <w:r>
        <w:t xml:space="preserve">参太23:16-22。</w:t>
      </w:r>
    </w:p>
  </w:footnote>
  <w:footnote w:id="3276">
    <w:p>
      <w:pPr>
        <w:pStyle w:val="FootnoteText"/>
      </w:pPr>
      <w:r>
        <w:rPr>
          <w:rStyle w:val="FootnoteReference"/>
        </w:rPr>
        <w:footnoteRef/>
      </w:r>
      <w:r>
        <w:t xml:space="preserve"> </w:t>
      </w:r>
      <w:r>
        <w:t xml:space="preserve">诗115:4-5,8；参赛44:9-20；耶10:1-16；但14:1-30；巴6；智13:1-15:19。</w:t>
      </w:r>
    </w:p>
  </w:footnote>
  <w:footnote w:id="3277">
    <w:p>
      <w:pPr>
        <w:pStyle w:val="FootnoteText"/>
      </w:pPr>
      <w:r>
        <w:rPr>
          <w:rStyle w:val="FootnoteReference"/>
        </w:rPr>
        <w:footnoteRef/>
      </w:r>
      <w:r>
        <w:t xml:space="preserve"> </w:t>
      </w:r>
      <w:r>
        <w:t xml:space="preserve">书3:10；诗42:2等。</w:t>
      </w:r>
    </w:p>
  </w:footnote>
  <w:footnote w:id="3278">
    <w:p>
      <w:pPr>
        <w:pStyle w:val="FootnoteText"/>
      </w:pPr>
      <w:r>
        <w:rPr>
          <w:rStyle w:val="FootnoteReference"/>
        </w:rPr>
        <w:footnoteRef/>
      </w:r>
      <w:r>
        <w:t xml:space="preserve"> </w:t>
      </w:r>
      <w:r>
        <w:t xml:space="preserve">太6:24。</w:t>
      </w:r>
    </w:p>
  </w:footnote>
  <w:footnote w:id="3279">
    <w:p>
      <w:pPr>
        <w:pStyle w:val="FootnoteText"/>
      </w:pPr>
      <w:r>
        <w:rPr>
          <w:rStyle w:val="FootnoteReference"/>
        </w:rPr>
        <w:footnoteRef/>
      </w:r>
      <w:r>
        <w:t xml:space="preserve"> </w:t>
      </w:r>
      <w:r>
        <w:t xml:space="preserve">参启13—14章。</w:t>
      </w:r>
    </w:p>
  </w:footnote>
  <w:footnote w:id="3280">
    <w:p>
      <w:pPr>
        <w:pStyle w:val="FootnoteText"/>
      </w:pPr>
      <w:r>
        <w:rPr>
          <w:rStyle w:val="FootnoteReference"/>
        </w:rPr>
        <w:footnoteRef/>
      </w:r>
      <w:r>
        <w:t xml:space="preserve"> </w:t>
      </w:r>
      <w:r>
        <w:t xml:space="preserve">参加5:20；弗5:5。</w:t>
      </w:r>
    </w:p>
  </w:footnote>
  <w:footnote w:id="3281">
    <w:p>
      <w:pPr>
        <w:pStyle w:val="FootnoteText"/>
      </w:pPr>
      <w:r>
        <w:rPr>
          <w:rStyle w:val="FootnoteReference"/>
        </w:rPr>
        <w:footnoteRef/>
      </w:r>
      <w:r>
        <w:t xml:space="preserve"> </w:t>
      </w:r>
      <w:r>
        <w:t xml:space="preserve">俄利根，</w:t>
      </w:r>
      <w:r>
        <w:rPr>
          <w:i/>
          <w:iCs/>
        </w:rPr>
        <w:t xml:space="preserve">Contra Celsum</w:t>
      </w:r>
      <w:r>
        <w:t xml:space="preserve"> </w:t>
      </w:r>
      <w:r>
        <w:t xml:space="preserve">2,40：PG 11,861。</w:t>
      </w:r>
    </w:p>
  </w:footnote>
  <w:footnote w:id="3282">
    <w:p>
      <w:pPr>
        <w:pStyle w:val="FootnoteText"/>
      </w:pPr>
      <w:r>
        <w:rPr>
          <w:rStyle w:val="FootnoteReference"/>
        </w:rPr>
        <w:footnoteRef/>
      </w:r>
      <w:r>
        <w:t xml:space="preserve"> </w:t>
      </w:r>
      <w:r>
        <w:t xml:space="preserve">参申18:10；耶29:8。</w:t>
      </w:r>
    </w:p>
  </w:footnote>
  <w:footnote w:id="3283">
    <w:p>
      <w:pPr>
        <w:pStyle w:val="FootnoteText"/>
      </w:pPr>
      <w:r>
        <w:rPr>
          <w:rStyle w:val="FootnoteReference"/>
        </w:rPr>
        <w:footnoteRef/>
      </w:r>
      <w:r>
        <w:t xml:space="preserve"> </w:t>
      </w:r>
      <w:r>
        <w:t xml:space="preserve">参路4:9。</w:t>
      </w:r>
    </w:p>
  </w:footnote>
  <w:footnote w:id="3284">
    <w:p>
      <w:pPr>
        <w:pStyle w:val="FootnoteText"/>
      </w:pPr>
      <w:r>
        <w:rPr>
          <w:rStyle w:val="FootnoteReference"/>
        </w:rPr>
        <w:footnoteRef/>
      </w:r>
      <w:r>
        <w:t xml:space="preserve"> </w:t>
      </w:r>
      <w:r>
        <w:t xml:space="preserve">申6:16。</w:t>
      </w:r>
    </w:p>
  </w:footnote>
  <w:footnote w:id="3285">
    <w:p>
      <w:pPr>
        <w:pStyle w:val="FootnoteText"/>
      </w:pPr>
      <w:r>
        <w:rPr>
          <w:rStyle w:val="FootnoteReference"/>
        </w:rPr>
        <w:footnoteRef/>
      </w:r>
      <w:r>
        <w:t xml:space="preserve"> </w:t>
      </w:r>
      <w:r>
        <w:t xml:space="preserve">参林前10:9；出17:2-7；诗95:9。</w:t>
      </w:r>
    </w:p>
  </w:footnote>
  <w:footnote w:id="3286">
    <w:p>
      <w:pPr>
        <w:pStyle w:val="FootnoteText"/>
      </w:pPr>
      <w:r>
        <w:rPr>
          <w:rStyle w:val="FootnoteReference"/>
        </w:rPr>
        <w:footnoteRef/>
      </w:r>
      <w:r>
        <w:t xml:space="preserve"> </w:t>
      </w:r>
      <w:r>
        <w:t xml:space="preserve">参CIC，1367条；1376条。</w:t>
      </w:r>
    </w:p>
  </w:footnote>
  <w:footnote w:id="3287">
    <w:p>
      <w:pPr>
        <w:pStyle w:val="FootnoteText"/>
      </w:pPr>
      <w:r>
        <w:rPr>
          <w:rStyle w:val="FootnoteReference"/>
        </w:rPr>
        <w:footnoteRef/>
      </w:r>
      <w:r>
        <w:t xml:space="preserve"> </w:t>
      </w:r>
      <w:r>
        <w:t xml:space="preserve">参徒8:9-24。</w:t>
      </w:r>
    </w:p>
  </w:footnote>
  <w:footnote w:id="3288">
    <w:p>
      <w:pPr>
        <w:pStyle w:val="FootnoteText"/>
      </w:pPr>
      <w:r>
        <w:rPr>
          <w:rStyle w:val="FootnoteReference"/>
        </w:rPr>
        <w:footnoteRef/>
      </w:r>
      <w:r>
        <w:t xml:space="preserve"> </w:t>
      </w:r>
      <w:r>
        <w:t xml:space="preserve">徒8:20。</w:t>
      </w:r>
    </w:p>
  </w:footnote>
  <w:footnote w:id="3289">
    <w:p>
      <w:pPr>
        <w:pStyle w:val="FootnoteText"/>
      </w:pPr>
      <w:r>
        <w:rPr>
          <w:rStyle w:val="FootnoteReference"/>
        </w:rPr>
        <w:footnoteRef/>
      </w:r>
      <w:r>
        <w:t xml:space="preserve"> </w:t>
      </w:r>
      <w:r>
        <w:t xml:space="preserve">太10:8；参赛55:1。</w:t>
      </w:r>
    </w:p>
  </w:footnote>
  <w:footnote w:id="3290">
    <w:p>
      <w:pPr>
        <w:pStyle w:val="FootnoteText"/>
      </w:pPr>
      <w:r>
        <w:rPr>
          <w:rStyle w:val="FootnoteReference"/>
        </w:rPr>
        <w:footnoteRef/>
      </w:r>
      <w:r>
        <w:t xml:space="preserve"> </w:t>
      </w:r>
      <w:r>
        <w:t xml:space="preserve">CIC，第848条。</w:t>
      </w:r>
    </w:p>
  </w:footnote>
  <w:footnote w:id="3291">
    <w:p>
      <w:pPr>
        <w:pStyle w:val="FootnoteText"/>
      </w:pPr>
      <w:r>
        <w:rPr>
          <w:rStyle w:val="FootnoteReference"/>
        </w:rPr>
        <w:footnoteRef/>
      </w:r>
      <w:r>
        <w:t xml:space="preserve"> </w:t>
      </w:r>
      <w:r>
        <w:t xml:space="preserve">太10:10；参路10:7；林后9:5-18；提前5:17-18。</w:t>
      </w:r>
    </w:p>
  </w:footnote>
  <w:footnote w:id="3292">
    <w:p>
      <w:pPr>
        <w:pStyle w:val="FootnoteText"/>
      </w:pPr>
      <w:r>
        <w:rPr>
          <w:rStyle w:val="FootnoteReference"/>
        </w:rPr>
        <w:footnoteRef/>
      </w:r>
      <w:r>
        <w:t xml:space="preserve"> </w:t>
      </w:r>
      <w:r>
        <w:t xml:space="preserve">GS 19 § 1。</w:t>
      </w:r>
    </w:p>
  </w:footnote>
  <w:footnote w:id="3293">
    <w:p>
      <w:pPr>
        <w:pStyle w:val="FootnoteText"/>
      </w:pPr>
      <w:r>
        <w:rPr>
          <w:rStyle w:val="FootnoteReference"/>
        </w:rPr>
        <w:footnoteRef/>
      </w:r>
      <w:r>
        <w:t xml:space="preserve"> </w:t>
      </w:r>
      <w:r>
        <w:t xml:space="preserve">GS 20 § 2。</w:t>
      </w:r>
    </w:p>
  </w:footnote>
  <w:footnote w:id="3294">
    <w:p>
      <w:pPr>
        <w:pStyle w:val="FootnoteText"/>
      </w:pPr>
      <w:r>
        <w:rPr>
          <w:rStyle w:val="FootnoteReference"/>
        </w:rPr>
        <w:footnoteRef/>
      </w:r>
      <w:r>
        <w:t xml:space="preserve"> </w:t>
      </w:r>
      <w:r>
        <w:t xml:space="preserve">GS 20 § 2。</w:t>
      </w:r>
    </w:p>
  </w:footnote>
  <w:footnote w:id="3295">
    <w:p>
      <w:pPr>
        <w:pStyle w:val="FootnoteText"/>
      </w:pPr>
      <w:r>
        <w:rPr>
          <w:rStyle w:val="FootnoteReference"/>
        </w:rPr>
        <w:footnoteRef/>
      </w:r>
      <w:r>
        <w:t xml:space="preserve"> </w:t>
      </w:r>
      <w:r>
        <w:t xml:space="preserve">参罗1:18。</w:t>
      </w:r>
    </w:p>
  </w:footnote>
  <w:footnote w:id="3296">
    <w:p>
      <w:pPr>
        <w:pStyle w:val="FootnoteText"/>
      </w:pPr>
      <w:r>
        <w:rPr>
          <w:rStyle w:val="FootnoteReference"/>
        </w:rPr>
        <w:footnoteRef/>
      </w:r>
      <w:r>
        <w:t xml:space="preserve"> </w:t>
      </w:r>
      <w:r>
        <w:t xml:space="preserve">GS 19 § 3。</w:t>
      </w:r>
    </w:p>
  </w:footnote>
  <w:footnote w:id="3297">
    <w:p>
      <w:pPr>
        <w:pStyle w:val="FootnoteText"/>
      </w:pPr>
      <w:r>
        <w:rPr>
          <w:rStyle w:val="FootnoteReference"/>
        </w:rPr>
        <w:footnoteRef/>
      </w:r>
      <w:r>
        <w:t xml:space="preserve"> </w:t>
      </w:r>
      <w:r>
        <w:t xml:space="preserve">参GS 20 § 1。</w:t>
      </w:r>
    </w:p>
  </w:footnote>
  <w:footnote w:id="3298">
    <w:p>
      <w:pPr>
        <w:pStyle w:val="FootnoteText"/>
      </w:pPr>
      <w:r>
        <w:rPr>
          <w:rStyle w:val="FootnoteReference"/>
        </w:rPr>
        <w:footnoteRef/>
      </w:r>
      <w:r>
        <w:t xml:space="preserve"> </w:t>
      </w:r>
      <w:r>
        <w:t xml:space="preserve">GS 21 § 3。</w:t>
      </w:r>
    </w:p>
  </w:footnote>
  <w:footnote w:id="3299">
    <w:p>
      <w:pPr>
        <w:pStyle w:val="FootnoteText"/>
      </w:pPr>
      <w:r>
        <w:rPr>
          <w:rStyle w:val="FootnoteReference"/>
        </w:rPr>
        <w:footnoteRef/>
      </w:r>
      <w:r>
        <w:t xml:space="preserve"> </w:t>
      </w:r>
      <w:r>
        <w:t xml:space="preserve">GS 21 § 7。</w:t>
      </w:r>
    </w:p>
  </w:footnote>
  <w:footnote w:id="3300">
    <w:p>
      <w:pPr>
        <w:pStyle w:val="FootnoteText"/>
      </w:pPr>
      <w:r>
        <w:rPr>
          <w:rStyle w:val="FootnoteReference"/>
        </w:rPr>
        <w:footnoteRef/>
      </w:r>
      <w:r>
        <w:t xml:space="preserve"> </w:t>
      </w:r>
      <w:r>
        <w:t xml:space="preserve">申4:15-16。</w:t>
      </w:r>
    </w:p>
  </w:footnote>
  <w:footnote w:id="3301">
    <w:p>
      <w:pPr>
        <w:pStyle w:val="FootnoteText"/>
      </w:pPr>
      <w:r>
        <w:rPr>
          <w:rStyle w:val="FootnoteReference"/>
        </w:rPr>
        <w:footnoteRef/>
      </w:r>
      <w:r>
        <w:t xml:space="preserve"> </w:t>
      </w:r>
      <w:r>
        <w:t xml:space="preserve">德43:27-28。</w:t>
      </w:r>
    </w:p>
  </w:footnote>
  <w:footnote w:id="3302">
    <w:p>
      <w:pPr>
        <w:pStyle w:val="FootnoteText"/>
      </w:pPr>
      <w:r>
        <w:rPr>
          <w:rStyle w:val="FootnoteReference"/>
        </w:rPr>
        <w:footnoteRef/>
      </w:r>
      <w:r>
        <w:t xml:space="preserve"> </w:t>
      </w:r>
      <w:r>
        <w:t xml:space="preserve">智13:3。</w:t>
      </w:r>
    </w:p>
  </w:footnote>
  <w:footnote w:id="3303">
    <w:p>
      <w:pPr>
        <w:pStyle w:val="FootnoteText"/>
      </w:pPr>
      <w:r>
        <w:rPr>
          <w:rStyle w:val="FootnoteReference"/>
        </w:rPr>
        <w:footnoteRef/>
      </w:r>
      <w:r>
        <w:t xml:space="preserve"> </w:t>
      </w:r>
      <w:r>
        <w:t xml:space="preserve">参民21:4-9；智16:5-14；约3:14-15；出25:10-22；王上6:23-28；7:23-26。</w:t>
      </w:r>
    </w:p>
  </w:footnote>
  <w:footnote w:id="3304">
    <w:p>
      <w:pPr>
        <w:pStyle w:val="FootnoteText"/>
      </w:pPr>
      <w:r>
        <w:rPr>
          <w:rStyle w:val="FootnoteReference"/>
        </w:rPr>
        <w:footnoteRef/>
      </w:r>
      <w:r>
        <w:t xml:space="preserve"> </w:t>
      </w:r>
      <w:r>
        <w:t xml:space="preserve">圣巴西略，</w:t>
      </w:r>
      <w:r>
        <w:rPr>
          <w:i/>
          <w:iCs/>
        </w:rPr>
        <w:t xml:space="preserve">De Spiritu Sancto</w:t>
      </w:r>
      <w:r>
        <w:t xml:space="preserve"> </w:t>
      </w:r>
      <w:r>
        <w:t xml:space="preserve">18,45：PG 32,149C；尼西亚第二次会议：DS 601；参特利腾会议：DS 1821-1825；梵二：SC 126；LG 67。</w:t>
      </w:r>
    </w:p>
  </w:footnote>
  <w:footnote w:id="3305">
    <w:p>
      <w:pPr>
        <w:pStyle w:val="FootnoteText"/>
      </w:pPr>
      <w:r>
        <w:rPr>
          <w:rStyle w:val="FootnoteReference"/>
        </w:rPr>
        <w:footnoteRef/>
      </w:r>
      <w:r>
        <w:t xml:space="preserve"> </w:t>
      </w:r>
      <w:r>
        <w:t xml:space="preserve">圣托马斯·阿奎那，STh II-II,81,3 ad 3。</w:t>
      </w:r>
    </w:p>
  </w:footnote>
  <w:footnote w:id="3309">
    <w:p>
      <w:pPr>
        <w:pStyle w:val="FootnoteText"/>
      </w:pPr>
      <w:r>
        <w:rPr>
          <w:rStyle w:val="FootnoteReference"/>
        </w:rPr>
        <w:footnoteRef/>
      </w:r>
      <w:r>
        <w:t xml:space="preserve"> </w:t>
      </w:r>
      <w:r>
        <w:t xml:space="preserve">出20:7；申5:11。</w:t>
      </w:r>
    </w:p>
  </w:footnote>
  <w:footnote w:id="3310">
    <w:p>
      <w:pPr>
        <w:pStyle w:val="FootnoteText"/>
      </w:pPr>
      <w:r>
        <w:rPr>
          <w:rStyle w:val="FootnoteReference"/>
        </w:rPr>
        <w:footnoteRef/>
      </w:r>
      <w:r>
        <w:t xml:space="preserve"> </w:t>
      </w:r>
      <w:r>
        <w:t xml:space="preserve">太5:33-34。</w:t>
      </w:r>
    </w:p>
  </w:footnote>
  <w:footnote w:id="3311">
    <w:p>
      <w:pPr>
        <w:pStyle w:val="FootnoteText"/>
      </w:pPr>
      <w:r>
        <w:rPr>
          <w:rStyle w:val="FootnoteReference"/>
        </w:rPr>
        <w:footnoteRef/>
      </w:r>
      <w:r>
        <w:t xml:space="preserve"> </w:t>
      </w:r>
      <w:r>
        <w:t xml:space="preserve">参亚2:13；诗29:2；96:2；113:1-2。</w:t>
      </w:r>
    </w:p>
  </w:footnote>
  <w:footnote w:id="3312">
    <w:p>
      <w:pPr>
        <w:pStyle w:val="FootnoteText"/>
      </w:pPr>
      <w:r>
        <w:rPr>
          <w:rStyle w:val="FootnoteReference"/>
        </w:rPr>
        <w:footnoteRef/>
      </w:r>
      <w:r>
        <w:t xml:space="preserve"> </w:t>
      </w:r>
      <w:r>
        <w:t xml:space="preserve">约翰·亨利·纽曼枢机，</w:t>
      </w:r>
      <w:r>
        <w:rPr>
          <w:i/>
          <w:iCs/>
        </w:rPr>
        <w:t xml:space="preserve">《教区与浅白讲章》</w:t>
      </w:r>
      <w:r>
        <w:t xml:space="preserve"> </w:t>
      </w:r>
      <w:r>
        <w:t xml:space="preserve">V,2（伦敦：朗文斯·格林公司，1907年），21-22。</w:t>
      </w:r>
    </w:p>
  </w:footnote>
  <w:footnote w:id="3313">
    <w:p>
      <w:pPr>
        <w:pStyle w:val="FootnoteText"/>
      </w:pPr>
      <w:r>
        <w:rPr>
          <w:rStyle w:val="FootnoteReference"/>
        </w:rPr>
        <w:footnoteRef/>
      </w:r>
      <w:r>
        <w:t xml:space="preserve"> </w:t>
      </w:r>
      <w:r>
        <w:t xml:space="preserve">参太10:32；提前6:12。</w:t>
      </w:r>
    </w:p>
  </w:footnote>
  <w:footnote w:id="3314">
    <w:p>
      <w:pPr>
        <w:pStyle w:val="FootnoteText"/>
      </w:pPr>
      <w:r>
        <w:rPr>
          <w:rStyle w:val="FootnoteReference"/>
        </w:rPr>
        <w:footnoteRef/>
      </w:r>
      <w:r>
        <w:t xml:space="preserve"> </w:t>
      </w:r>
      <w:r>
        <w:t xml:space="preserve">参约壹1:10。</w:t>
      </w:r>
    </w:p>
  </w:footnote>
  <w:footnote w:id="3315">
    <w:p>
      <w:pPr>
        <w:pStyle w:val="FootnoteText"/>
      </w:pPr>
      <w:r>
        <w:rPr>
          <w:rStyle w:val="FootnoteReference"/>
        </w:rPr>
        <w:footnoteRef/>
      </w:r>
      <w:r>
        <w:t xml:space="preserve"> </w:t>
      </w:r>
      <w:r>
        <w:t xml:space="preserve">雅2:7。</w:t>
      </w:r>
    </w:p>
  </w:footnote>
  <w:footnote w:id="3316">
    <w:p>
      <w:pPr>
        <w:pStyle w:val="FootnoteText"/>
      </w:pPr>
      <w:r>
        <w:rPr>
          <w:rStyle w:val="FootnoteReference"/>
        </w:rPr>
        <w:footnoteRef/>
      </w:r>
      <w:r>
        <w:t xml:space="preserve"> </w:t>
      </w:r>
      <w:r>
        <w:t xml:space="preserve">参CIC，第1369条。</w:t>
      </w:r>
    </w:p>
  </w:footnote>
  <w:footnote w:id="3317">
    <w:p>
      <w:pPr>
        <w:pStyle w:val="FootnoteText"/>
      </w:pPr>
      <w:r>
        <w:rPr>
          <w:rStyle w:val="FootnoteReference"/>
        </w:rPr>
        <w:footnoteRef/>
      </w:r>
      <w:r>
        <w:t xml:space="preserve"> </w:t>
      </w:r>
      <w:r>
        <w:t xml:space="preserve">圣奥古斯丁，</w:t>
      </w:r>
      <w:r>
        <w:rPr>
          <w:i/>
          <w:iCs/>
        </w:rPr>
        <w:t xml:space="preserve">De serm. Dom. in monte</w:t>
      </w:r>
      <w:r>
        <w:t xml:space="preserve"> </w:t>
      </w:r>
      <w:r>
        <w:t xml:space="preserve">2,5,19：PL 34,1278。</w:t>
      </w:r>
    </w:p>
  </w:footnote>
  <w:footnote w:id="3319">
    <w:p>
      <w:pPr>
        <w:pStyle w:val="FootnoteText"/>
      </w:pPr>
      <w:r>
        <w:rPr>
          <w:rStyle w:val="FootnoteReference"/>
        </w:rPr>
        <w:footnoteRef/>
      </w:r>
      <w:r>
        <w:t xml:space="preserve"> </w:t>
      </w:r>
      <w:r>
        <w:t xml:space="preserve">申6:13。</w:t>
      </w:r>
    </w:p>
  </w:footnote>
  <w:footnote w:id="3320">
    <w:p>
      <w:pPr>
        <w:pStyle w:val="FootnoteText"/>
      </w:pPr>
      <w:r>
        <w:rPr>
          <w:rStyle w:val="FootnoteReference"/>
        </w:rPr>
        <w:footnoteRef/>
      </w:r>
      <w:r>
        <w:t xml:space="preserve"> </w:t>
      </w:r>
      <w:r>
        <w:t xml:space="preserve">太5:33-34,37；参雅5:12。</w:t>
      </w:r>
    </w:p>
  </w:footnote>
  <w:footnote w:id="3321">
    <w:p>
      <w:pPr>
        <w:pStyle w:val="FootnoteText"/>
      </w:pPr>
      <w:r>
        <w:rPr>
          <w:rStyle w:val="FootnoteReference"/>
        </w:rPr>
        <w:footnoteRef/>
      </w:r>
      <w:r>
        <w:t xml:space="preserve"> </w:t>
      </w:r>
      <w:r>
        <w:t xml:space="preserve">参林后1:23；加1:20。</w:t>
      </w:r>
    </w:p>
  </w:footnote>
  <w:footnote w:id="3322">
    <w:p>
      <w:pPr>
        <w:pStyle w:val="FootnoteText"/>
      </w:pPr>
      <w:r>
        <w:rPr>
          <w:rStyle w:val="FootnoteReference"/>
        </w:rPr>
        <w:footnoteRef/>
      </w:r>
      <w:r>
        <w:t xml:space="preserve"> </w:t>
      </w:r>
      <w:r>
        <w:t xml:space="preserve">CIC，第1199条1项。</w:t>
      </w:r>
    </w:p>
  </w:footnote>
  <w:footnote w:id="3324">
    <w:p>
      <w:pPr>
        <w:pStyle w:val="FootnoteText"/>
      </w:pPr>
      <w:r>
        <w:rPr>
          <w:rStyle w:val="FootnoteReference"/>
        </w:rPr>
        <w:footnoteRef/>
      </w:r>
      <w:r>
        <w:t xml:space="preserve"> </w:t>
      </w:r>
      <w:r>
        <w:t xml:space="preserve">太28:19。</w:t>
      </w:r>
    </w:p>
  </w:footnote>
  <w:footnote w:id="3325">
    <w:p>
      <w:pPr>
        <w:pStyle w:val="FootnoteText"/>
      </w:pPr>
      <w:r>
        <w:rPr>
          <w:rStyle w:val="FootnoteReference"/>
        </w:rPr>
        <w:footnoteRef/>
      </w:r>
      <w:r>
        <w:t xml:space="preserve"> </w:t>
      </w:r>
      <w:r>
        <w:t xml:space="preserve">CIC，第855条。</w:t>
      </w:r>
    </w:p>
  </w:footnote>
  <w:footnote w:id="3326">
    <w:p>
      <w:pPr>
        <w:pStyle w:val="FootnoteText"/>
      </w:pPr>
      <w:r>
        <w:rPr>
          <w:rStyle w:val="FootnoteReference"/>
        </w:rPr>
        <w:footnoteRef/>
      </w:r>
      <w:r>
        <w:t xml:space="preserve"> </w:t>
      </w:r>
      <w:r>
        <w:t xml:space="preserve">参赛43:1；约10:3。</w:t>
      </w:r>
    </w:p>
  </w:footnote>
  <w:footnote w:id="3327">
    <w:p>
      <w:pPr>
        <w:pStyle w:val="FootnoteText"/>
      </w:pPr>
      <w:r>
        <w:rPr>
          <w:rStyle w:val="FootnoteReference"/>
        </w:rPr>
        <w:footnoteRef/>
      </w:r>
      <w:r>
        <w:t xml:space="preserve"> </w:t>
      </w:r>
      <w:r>
        <w:t xml:space="preserve">启2:17。</w:t>
      </w:r>
    </w:p>
  </w:footnote>
  <w:footnote w:id="3328">
    <w:p>
      <w:pPr>
        <w:pStyle w:val="FootnoteText"/>
      </w:pPr>
      <w:r>
        <w:rPr>
          <w:rStyle w:val="FootnoteReference"/>
        </w:rPr>
        <w:footnoteRef/>
      </w:r>
      <w:r>
        <w:t xml:space="preserve"> </w:t>
      </w:r>
      <w:r>
        <w:t xml:space="preserve">启14:1。</w:t>
      </w:r>
    </w:p>
  </w:footnote>
  <w:footnote w:id="3332">
    <w:p>
      <w:pPr>
        <w:pStyle w:val="FootnoteText"/>
      </w:pPr>
      <w:r>
        <w:rPr>
          <w:rStyle w:val="FootnoteReference"/>
        </w:rPr>
        <w:footnoteRef/>
      </w:r>
      <w:r>
        <w:t xml:space="preserve"> </w:t>
      </w:r>
      <w:r>
        <w:t xml:space="preserve">出20:8-10。</w:t>
      </w:r>
    </w:p>
  </w:footnote>
  <w:footnote w:id="3333">
    <w:p>
      <w:pPr>
        <w:pStyle w:val="FootnoteText"/>
      </w:pPr>
      <w:r>
        <w:rPr>
          <w:rStyle w:val="FootnoteReference"/>
        </w:rPr>
        <w:footnoteRef/>
      </w:r>
      <w:r>
        <w:t xml:space="preserve"> </w:t>
      </w:r>
      <w:r>
        <w:t xml:space="preserve">可2:27-28。</w:t>
      </w:r>
    </w:p>
  </w:footnote>
  <w:footnote w:id="3334">
    <w:p>
      <w:pPr>
        <w:pStyle w:val="FootnoteText"/>
      </w:pPr>
      <w:r>
        <w:rPr>
          <w:rStyle w:val="FootnoteReference"/>
        </w:rPr>
        <w:footnoteRef/>
      </w:r>
      <w:r>
        <w:t xml:space="preserve"> </w:t>
      </w:r>
      <w:r>
        <w:t xml:space="preserve">出31:15；参20:8-11。</w:t>
      </w:r>
    </w:p>
  </w:footnote>
  <w:footnote w:id="3335">
    <w:p>
      <w:pPr>
        <w:pStyle w:val="FootnoteText"/>
      </w:pPr>
      <w:r>
        <w:rPr>
          <w:rStyle w:val="FootnoteReference"/>
        </w:rPr>
        <w:footnoteRef/>
      </w:r>
      <w:r>
        <w:t xml:space="preserve"> </w:t>
      </w:r>
      <w:r>
        <w:t xml:space="preserve">出20:11。</w:t>
      </w:r>
    </w:p>
  </w:footnote>
  <w:footnote w:id="3336">
    <w:p>
      <w:pPr>
        <w:pStyle w:val="FootnoteText"/>
      </w:pPr>
      <w:r>
        <w:rPr>
          <w:rStyle w:val="FootnoteReference"/>
        </w:rPr>
        <w:footnoteRef/>
      </w:r>
      <w:r>
        <w:t xml:space="preserve"> </w:t>
      </w:r>
      <w:r>
        <w:t xml:space="preserve">申5:15。</w:t>
      </w:r>
    </w:p>
  </w:footnote>
  <w:footnote w:id="3337">
    <w:p>
      <w:pPr>
        <w:pStyle w:val="FootnoteText"/>
      </w:pPr>
      <w:r>
        <w:rPr>
          <w:rStyle w:val="FootnoteReference"/>
        </w:rPr>
        <w:footnoteRef/>
      </w:r>
      <w:r>
        <w:t xml:space="preserve"> </w:t>
      </w:r>
      <w:r>
        <w:t xml:space="preserve">参出31:16。</w:t>
      </w:r>
    </w:p>
  </w:footnote>
  <w:footnote w:id="3338">
    <w:p>
      <w:pPr>
        <w:pStyle w:val="FootnoteText"/>
      </w:pPr>
      <w:r>
        <w:rPr>
          <w:rStyle w:val="FootnoteReference"/>
        </w:rPr>
        <w:footnoteRef/>
      </w:r>
      <w:r>
        <w:t xml:space="preserve"> </w:t>
      </w:r>
      <w:r>
        <w:t xml:space="preserve">出31:17；23:12。</w:t>
      </w:r>
    </w:p>
  </w:footnote>
  <w:footnote w:id="3339">
    <w:p>
      <w:pPr>
        <w:pStyle w:val="FootnoteText"/>
      </w:pPr>
      <w:r>
        <w:rPr>
          <w:rStyle w:val="FootnoteReference"/>
        </w:rPr>
        <w:footnoteRef/>
      </w:r>
      <w:r>
        <w:t xml:space="preserve"> </w:t>
      </w:r>
      <w:r>
        <w:t xml:space="preserve">参尼13:15-22；代下36:21。</w:t>
      </w:r>
    </w:p>
  </w:footnote>
  <w:footnote w:id="3340">
    <w:p>
      <w:pPr>
        <w:pStyle w:val="FootnoteText"/>
      </w:pPr>
      <w:r>
        <w:rPr>
          <w:rStyle w:val="FootnoteReference"/>
        </w:rPr>
        <w:footnoteRef/>
      </w:r>
      <w:r>
        <w:t xml:space="preserve"> </w:t>
      </w:r>
      <w:r>
        <w:t xml:space="preserve">参可1:21；约9:16。</w:t>
      </w:r>
    </w:p>
  </w:footnote>
  <w:footnote w:id="3341">
    <w:p>
      <w:pPr>
        <w:pStyle w:val="FootnoteText"/>
      </w:pPr>
      <w:r>
        <w:rPr>
          <w:rStyle w:val="FootnoteReference"/>
        </w:rPr>
        <w:footnoteRef/>
      </w:r>
      <w:r>
        <w:t xml:space="preserve"> </w:t>
      </w:r>
      <w:r>
        <w:t xml:space="preserve">可2:27。</w:t>
      </w:r>
    </w:p>
  </w:footnote>
  <w:footnote w:id="3342">
    <w:p>
      <w:pPr>
        <w:pStyle w:val="FootnoteText"/>
      </w:pPr>
      <w:r>
        <w:rPr>
          <w:rStyle w:val="FootnoteReference"/>
        </w:rPr>
        <w:footnoteRef/>
      </w:r>
      <w:r>
        <w:t xml:space="preserve"> </w:t>
      </w:r>
      <w:r>
        <w:t xml:space="preserve">参可3:4；路6:9；13:15-16。</w:t>
      </w:r>
    </w:p>
  </w:footnote>
  <w:footnote w:id="3343">
    <w:p>
      <w:pPr>
        <w:pStyle w:val="FootnoteText"/>
      </w:pPr>
      <w:r>
        <w:rPr>
          <w:rStyle w:val="FootnoteReference"/>
        </w:rPr>
        <w:footnoteRef/>
      </w:r>
      <w:r>
        <w:t xml:space="preserve"> </w:t>
      </w:r>
      <w:r>
        <w:t xml:space="preserve">参太12:5；约7:23。</w:t>
      </w:r>
    </w:p>
  </w:footnote>
  <w:footnote w:id="3344">
    <w:p>
      <w:pPr>
        <w:pStyle w:val="FootnoteText"/>
      </w:pPr>
      <w:r>
        <w:rPr>
          <w:rStyle w:val="FootnoteReference"/>
        </w:rPr>
        <w:footnoteRef/>
      </w:r>
      <w:r>
        <w:t xml:space="preserve"> </w:t>
      </w:r>
      <w:r>
        <w:t xml:space="preserve">可2:28。</w:t>
      </w:r>
    </w:p>
  </w:footnote>
  <w:footnote w:id="3346">
    <w:p>
      <w:pPr>
        <w:pStyle w:val="FootnoteText"/>
      </w:pPr>
      <w:r>
        <w:rPr>
          <w:rStyle w:val="FootnoteReference"/>
        </w:rPr>
        <w:footnoteRef/>
      </w:r>
      <w:r>
        <w:t xml:space="preserve"> </w:t>
      </w:r>
      <w:r>
        <w:t xml:space="preserve">诗118:24。</w:t>
      </w:r>
    </w:p>
  </w:footnote>
  <w:footnote w:id="3347">
    <w:p>
      <w:pPr>
        <w:pStyle w:val="FootnoteText"/>
      </w:pPr>
      <w:r>
        <w:rPr>
          <w:rStyle w:val="FootnoteReference"/>
        </w:rPr>
        <w:footnoteRef/>
      </w:r>
      <w:r>
        <w:t xml:space="preserve"> </w:t>
      </w:r>
      <w:r>
        <w:t xml:space="preserve">参太28:1；可16:2；路24:1；约20:1。</w:t>
      </w:r>
    </w:p>
  </w:footnote>
  <w:footnote w:id="3348">
    <w:p>
      <w:pPr>
        <w:pStyle w:val="FootnoteText"/>
      </w:pPr>
      <w:r>
        <w:rPr>
          <w:rStyle w:val="FootnoteReference"/>
        </w:rPr>
        <w:footnoteRef/>
      </w:r>
      <w:r>
        <w:t xml:space="preserve"> </w:t>
      </w:r>
      <w:r>
        <w:t xml:space="preserve">参可16:1；太28:1。</w:t>
      </w:r>
    </w:p>
  </w:footnote>
  <w:footnote w:id="3349">
    <w:p>
      <w:pPr>
        <w:pStyle w:val="FootnoteText"/>
      </w:pPr>
      <w:r>
        <w:rPr>
          <w:rStyle w:val="FootnoteReference"/>
        </w:rPr>
        <w:footnoteRef/>
      </w:r>
      <w:r>
        <w:t xml:space="preserve"> </w:t>
      </w:r>
      <w:r>
        <w:t xml:space="preserve">圣游斯丁，</w:t>
      </w:r>
      <w:r>
        <w:rPr>
          <w:i/>
          <w:iCs/>
        </w:rPr>
        <w:t xml:space="preserve">I Apol.</w:t>
      </w:r>
      <w:r>
        <w:t xml:space="preserve"> </w:t>
      </w:r>
      <w:r>
        <w:t xml:space="preserve">67：PG 6,429、432。</w:t>
      </w:r>
    </w:p>
  </w:footnote>
  <w:footnote w:id="3350">
    <w:p>
      <w:pPr>
        <w:pStyle w:val="FootnoteText"/>
      </w:pPr>
      <w:r>
        <w:rPr>
          <w:rStyle w:val="FootnoteReference"/>
        </w:rPr>
        <w:footnoteRef/>
      </w:r>
      <w:r>
        <w:t xml:space="preserve"> </w:t>
      </w:r>
      <w:r>
        <w:t xml:space="preserve">参林前10:11。</w:t>
      </w:r>
    </w:p>
  </w:footnote>
  <w:footnote w:id="3351">
    <w:p>
      <w:pPr>
        <w:pStyle w:val="FootnoteText"/>
      </w:pPr>
      <w:r>
        <w:rPr>
          <w:rStyle w:val="FootnoteReference"/>
        </w:rPr>
        <w:footnoteRef/>
      </w:r>
      <w:r>
        <w:t xml:space="preserve"> </w:t>
      </w:r>
      <w:r>
        <w:t xml:space="preserve">安提阿的圣依纳爵，</w:t>
      </w:r>
      <w:r>
        <w:rPr>
          <w:i/>
          <w:iCs/>
        </w:rPr>
        <w:t xml:space="preserve">Ad Magn.</w:t>
      </w:r>
      <w:r>
        <w:t xml:space="preserve"> </w:t>
      </w:r>
      <w:r>
        <w:t xml:space="preserve">9,1：SCh 10,88。</w:t>
      </w:r>
    </w:p>
  </w:footnote>
  <w:footnote w:id="3352">
    <w:p>
      <w:pPr>
        <w:pStyle w:val="FootnoteText"/>
      </w:pPr>
      <w:r>
        <w:rPr>
          <w:rStyle w:val="FootnoteReference"/>
        </w:rPr>
        <w:footnoteRef/>
      </w:r>
      <w:r>
        <w:t xml:space="preserve"> </w:t>
      </w:r>
      <w:r>
        <w:t xml:space="preserve">圣托马斯·阿奎那，STh II-II,122,4。</w:t>
      </w:r>
    </w:p>
  </w:footnote>
  <w:footnote w:id="3353">
    <w:p>
      <w:pPr>
        <w:pStyle w:val="FootnoteText"/>
      </w:pPr>
      <w:r>
        <w:rPr>
          <w:rStyle w:val="FootnoteReference"/>
        </w:rPr>
        <w:footnoteRef/>
      </w:r>
      <w:r>
        <w:t xml:space="preserve"> </w:t>
      </w:r>
      <w:r>
        <w:t xml:space="preserve">CIC，第1246条1项。</w:t>
      </w:r>
    </w:p>
  </w:footnote>
  <w:footnote w:id="3354">
    <w:p>
      <w:pPr>
        <w:pStyle w:val="FootnoteText"/>
      </w:pPr>
      <w:r>
        <w:rPr>
          <w:rStyle w:val="FootnoteReference"/>
        </w:rPr>
        <w:footnoteRef/>
      </w:r>
      <w:r>
        <w:t xml:space="preserve"> </w:t>
      </w:r>
      <w:r>
        <w:t xml:space="preserve">CIC，第1246条2项。主教团经宗座同意后，可以废除某些应守庆日，或将其移到主日。</w:t>
      </w:r>
    </w:p>
  </w:footnote>
  <w:footnote w:id="3355">
    <w:p>
      <w:pPr>
        <w:pStyle w:val="FootnoteText"/>
      </w:pPr>
      <w:r>
        <w:rPr>
          <w:rStyle w:val="FootnoteReference"/>
        </w:rPr>
        <w:footnoteRef/>
      </w:r>
      <w:r>
        <w:t xml:space="preserve"> </w:t>
      </w:r>
      <w:r>
        <w:t xml:space="preserve">参徒2:42-46；林前11:17。</w:t>
      </w:r>
    </w:p>
  </w:footnote>
  <w:footnote w:id="3356">
    <w:p>
      <w:pPr>
        <w:pStyle w:val="FootnoteText"/>
      </w:pPr>
      <w:r>
        <w:rPr>
          <w:rStyle w:val="FootnoteReference"/>
        </w:rPr>
        <w:footnoteRef/>
      </w:r>
      <w:r>
        <w:t xml:space="preserve"> </w:t>
      </w:r>
      <w:r>
        <w:t xml:space="preserve">来10:25。</w:t>
      </w:r>
    </w:p>
  </w:footnote>
  <w:footnote w:id="3357">
    <w:p>
      <w:pPr>
        <w:pStyle w:val="FootnoteText"/>
      </w:pPr>
      <w:r>
        <w:rPr>
          <w:rStyle w:val="FootnoteReference"/>
        </w:rPr>
        <w:footnoteRef/>
      </w:r>
      <w:r>
        <w:t xml:space="preserve"> </w:t>
      </w:r>
      <w:r>
        <w:rPr>
          <w:i/>
          <w:iCs/>
        </w:rPr>
        <w:t xml:space="preserve">Sermo de die dominica</w:t>
      </w:r>
      <w:r>
        <w:t xml:space="preserve"> </w:t>
      </w:r>
      <w:r>
        <w:t xml:space="preserve">2、6：PG 86/1,416C、421C。</w:t>
      </w:r>
    </w:p>
  </w:footnote>
  <w:footnote w:id="3358">
    <w:p>
      <w:pPr>
        <w:pStyle w:val="FootnoteText"/>
      </w:pPr>
      <w:r>
        <w:rPr>
          <w:rStyle w:val="FootnoteReference"/>
        </w:rPr>
        <w:footnoteRef/>
      </w:r>
      <w:r>
        <w:t xml:space="preserve"> </w:t>
      </w:r>
      <w:r>
        <w:t xml:space="preserve">CIC，第515条1项。</w:t>
      </w:r>
    </w:p>
  </w:footnote>
  <w:footnote w:id="3359">
    <w:p>
      <w:pPr>
        <w:pStyle w:val="FootnoteText"/>
      </w:pPr>
      <w:r>
        <w:rPr>
          <w:rStyle w:val="FootnoteReference"/>
        </w:rPr>
        <w:footnoteRef/>
      </w:r>
      <w:r>
        <w:t xml:space="preserve"> </w:t>
      </w:r>
      <w:r>
        <w:t xml:space="preserve">圣屈梭多模，</w:t>
      </w:r>
      <w:r>
        <w:rPr>
          <w:i/>
          <w:iCs/>
        </w:rPr>
        <w:t xml:space="preserve">De incomprehensibili</w:t>
      </w:r>
      <w:r>
        <w:t xml:space="preserve"> </w:t>
      </w:r>
      <w:r>
        <w:t xml:space="preserve">3,6：PG 48,725。</w:t>
      </w:r>
    </w:p>
  </w:footnote>
  <w:footnote w:id="3360">
    <w:p>
      <w:pPr>
        <w:pStyle w:val="FootnoteText"/>
      </w:pPr>
      <w:r>
        <w:rPr>
          <w:rStyle w:val="FootnoteReference"/>
        </w:rPr>
        <w:footnoteRef/>
      </w:r>
      <w:r>
        <w:t xml:space="preserve"> </w:t>
      </w:r>
      <w:r>
        <w:t xml:space="preserve">CIC，第1247条。</w:t>
      </w:r>
    </w:p>
  </w:footnote>
  <w:footnote w:id="3361">
    <w:p>
      <w:pPr>
        <w:pStyle w:val="FootnoteText"/>
      </w:pPr>
      <w:r>
        <w:rPr>
          <w:rStyle w:val="FootnoteReference"/>
        </w:rPr>
        <w:footnoteRef/>
      </w:r>
      <w:r>
        <w:t xml:space="preserve"> </w:t>
      </w:r>
      <w:r>
        <w:t xml:space="preserve">CIC，第1248条1项。</w:t>
      </w:r>
    </w:p>
  </w:footnote>
  <w:footnote w:id="3362">
    <w:p>
      <w:pPr>
        <w:pStyle w:val="FootnoteText"/>
      </w:pPr>
      <w:r>
        <w:rPr>
          <w:rStyle w:val="FootnoteReference"/>
        </w:rPr>
        <w:footnoteRef/>
      </w:r>
      <w:r>
        <w:t xml:space="preserve"> </w:t>
      </w:r>
      <w:r>
        <w:t xml:space="preserve">参CIC，第1245条。</w:t>
      </w:r>
    </w:p>
  </w:footnote>
  <w:footnote w:id="3363">
    <w:p>
      <w:pPr>
        <w:pStyle w:val="FootnoteText"/>
      </w:pPr>
      <w:r>
        <w:rPr>
          <w:rStyle w:val="FootnoteReference"/>
        </w:rPr>
        <w:footnoteRef/>
      </w:r>
      <w:r>
        <w:t xml:space="preserve"> </w:t>
      </w:r>
      <w:r>
        <w:t xml:space="preserve">CIC，第1248条2项。</w:t>
      </w:r>
    </w:p>
  </w:footnote>
  <w:footnote w:id="3364">
    <w:p>
      <w:pPr>
        <w:pStyle w:val="FootnoteText"/>
      </w:pPr>
      <w:r>
        <w:rPr>
          <w:rStyle w:val="FootnoteReference"/>
        </w:rPr>
        <w:footnoteRef/>
      </w:r>
      <w:r>
        <w:t xml:space="preserve"> </w:t>
      </w:r>
      <w:r>
        <w:t xml:space="preserve">创2:2。</w:t>
      </w:r>
    </w:p>
  </w:footnote>
  <w:footnote w:id="3365">
    <w:p>
      <w:pPr>
        <w:pStyle w:val="FootnoteText"/>
      </w:pPr>
      <w:r>
        <w:rPr>
          <w:rStyle w:val="FootnoteReference"/>
        </w:rPr>
        <w:footnoteRef/>
      </w:r>
      <w:r>
        <w:t xml:space="preserve"> </w:t>
      </w:r>
      <w:r>
        <w:t xml:space="preserve">参GS 67 § 3。</w:t>
      </w:r>
    </w:p>
  </w:footnote>
  <w:footnote w:id="3366">
    <w:p>
      <w:pPr>
        <w:pStyle w:val="FootnoteText"/>
      </w:pPr>
      <w:r>
        <w:rPr>
          <w:rStyle w:val="FootnoteReference"/>
        </w:rPr>
        <w:footnoteRef/>
      </w:r>
      <w:r>
        <w:t xml:space="preserve"> </w:t>
      </w:r>
      <w:r>
        <w:t xml:space="preserve">参CIC，第1247条。</w:t>
      </w:r>
    </w:p>
  </w:footnote>
  <w:footnote w:id="3367">
    <w:p>
      <w:pPr>
        <w:pStyle w:val="FootnoteText"/>
      </w:pPr>
      <w:r>
        <w:rPr>
          <w:rStyle w:val="FootnoteReference"/>
        </w:rPr>
        <w:footnoteRef/>
      </w:r>
      <w:r>
        <w:t xml:space="preserve"> </w:t>
      </w:r>
      <w:r>
        <w:t xml:space="preserve">圣奥古斯丁，</w:t>
      </w:r>
      <w:r>
        <w:rPr>
          <w:i/>
          <w:iCs/>
        </w:rPr>
        <w:t xml:space="preserve">De civ. Dei</w:t>
      </w:r>
      <w:r>
        <w:t xml:space="preserve"> </w:t>
      </w:r>
      <w:r>
        <w:t xml:space="preserve">19,19：PL 41,647。</w:t>
      </w:r>
    </w:p>
  </w:footnote>
  <w:footnote w:id="3368">
    <w:p>
      <w:pPr>
        <w:pStyle w:val="FootnoteText"/>
      </w:pPr>
      <w:r>
        <w:rPr>
          <w:rStyle w:val="FootnoteReference"/>
        </w:rPr>
        <w:footnoteRef/>
      </w:r>
      <w:r>
        <w:t xml:space="preserve"> </w:t>
      </w:r>
      <w:r>
        <w:t xml:space="preserve">来12:22-23。</w:t>
      </w:r>
    </w:p>
  </w:footnote>
  <w:footnote w:id="3373">
    <w:p>
      <w:pPr>
        <w:pStyle w:val="FootnoteText"/>
      </w:pPr>
      <w:r>
        <w:rPr>
          <w:rStyle w:val="FootnoteReference"/>
        </w:rPr>
        <w:footnoteRef/>
      </w:r>
      <w:r>
        <w:t xml:space="preserve"> </w:t>
      </w:r>
      <w:r>
        <w:t xml:space="preserve">约13:34。</w:t>
      </w:r>
    </w:p>
  </w:footnote>
  <w:footnote w:id="3374">
    <w:p>
      <w:pPr>
        <w:pStyle w:val="FootnoteText"/>
      </w:pPr>
      <w:r>
        <w:rPr>
          <w:rStyle w:val="FootnoteReference"/>
        </w:rPr>
        <w:footnoteRef/>
      </w:r>
      <w:r>
        <w:t xml:space="preserve"> </w:t>
      </w:r>
      <w:r>
        <w:t xml:space="preserve">可12:29-31；参申6:4-5；利19:18；太22:34-40；路10:25-28。</w:t>
      </w:r>
    </w:p>
  </w:footnote>
  <w:footnote w:id="3375">
    <w:p>
      <w:pPr>
        <w:pStyle w:val="FootnoteText"/>
      </w:pPr>
      <w:r>
        <w:rPr>
          <w:rStyle w:val="FootnoteReference"/>
        </w:rPr>
        <w:footnoteRef/>
      </w:r>
      <w:r>
        <w:t xml:space="preserve"> </w:t>
      </w:r>
      <w:r>
        <w:t xml:space="preserve">罗13:8-10。</w:t>
      </w:r>
    </w:p>
  </w:footnote>
  <w:footnote w:id="3376">
    <w:p>
      <w:pPr>
        <w:pStyle w:val="FootnoteText"/>
      </w:pPr>
      <w:r>
        <w:rPr>
          <w:rStyle w:val="FootnoteReference"/>
        </w:rPr>
        <w:footnoteRef/>
      </w:r>
      <w:r>
        <w:t xml:space="preserve"> </w:t>
      </w:r>
      <w:r>
        <w:t xml:space="preserve">出20:12；参申5:16。</w:t>
      </w:r>
    </w:p>
  </w:footnote>
  <w:footnote w:id="3377">
    <w:p>
      <w:pPr>
        <w:pStyle w:val="FootnoteText"/>
      </w:pPr>
      <w:r>
        <w:rPr>
          <w:rStyle w:val="FootnoteReference"/>
        </w:rPr>
        <w:footnoteRef/>
      </w:r>
      <w:r>
        <w:t xml:space="preserve"> </w:t>
      </w:r>
      <w:r>
        <w:t xml:space="preserve">路2:51。</w:t>
      </w:r>
    </w:p>
  </w:footnote>
  <w:footnote w:id="3378">
    <w:p>
      <w:pPr>
        <w:pStyle w:val="FootnoteText"/>
      </w:pPr>
      <w:r>
        <w:rPr>
          <w:rStyle w:val="FootnoteReference"/>
        </w:rPr>
        <w:footnoteRef/>
      </w:r>
      <w:r>
        <w:t xml:space="preserve"> </w:t>
      </w:r>
      <w:r>
        <w:t xml:space="preserve">参可7:8-13。</w:t>
      </w:r>
    </w:p>
  </w:footnote>
  <w:footnote w:id="3379">
    <w:p>
      <w:pPr>
        <w:pStyle w:val="FootnoteText"/>
      </w:pPr>
      <w:r>
        <w:rPr>
          <w:rStyle w:val="FootnoteReference"/>
        </w:rPr>
        <w:footnoteRef/>
      </w:r>
      <w:r>
        <w:t xml:space="preserve"> </w:t>
      </w:r>
      <w:r>
        <w:t xml:space="preserve">弗6:1-3。</w:t>
      </w:r>
    </w:p>
  </w:footnote>
  <w:footnote w:id="3380">
    <w:p>
      <w:pPr>
        <w:pStyle w:val="FootnoteText"/>
      </w:pPr>
      <w:r>
        <w:rPr>
          <w:rStyle w:val="FootnoteReference"/>
        </w:rPr>
        <w:footnoteRef/>
      </w:r>
      <w:r>
        <w:t xml:space="preserve"> </w:t>
      </w:r>
      <w:r>
        <w:t xml:space="preserve">出20:12。</w:t>
      </w:r>
    </w:p>
  </w:footnote>
  <w:footnote w:id="3381">
    <w:p>
      <w:pPr>
        <w:pStyle w:val="FootnoteText"/>
      </w:pPr>
      <w:r>
        <w:rPr>
          <w:rStyle w:val="FootnoteReference"/>
        </w:rPr>
        <w:footnoteRef/>
      </w:r>
      <w:r>
        <w:t xml:space="preserve"> </w:t>
      </w:r>
      <w:r>
        <w:t xml:space="preserve">LG 11 § 2。</w:t>
      </w:r>
    </w:p>
  </w:footnote>
  <w:footnote w:id="3382">
    <w:p>
      <w:pPr>
        <w:pStyle w:val="FootnoteText"/>
      </w:pPr>
      <w:r>
        <w:rPr>
          <w:rStyle w:val="FootnoteReference"/>
        </w:rPr>
        <w:footnoteRef/>
      </w:r>
      <w:r>
        <w:t xml:space="preserve"> </w:t>
      </w:r>
      <w:r>
        <w:t xml:space="preserve">参LG 11。</w:t>
      </w:r>
    </w:p>
  </w:footnote>
  <w:footnote w:id="3383">
    <w:p>
      <w:pPr>
        <w:pStyle w:val="FootnoteText"/>
      </w:pPr>
      <w:r>
        <w:rPr>
          <w:rStyle w:val="FootnoteReference"/>
        </w:rPr>
        <w:footnoteRef/>
      </w:r>
      <w:r>
        <w:t xml:space="preserve"> </w:t>
      </w:r>
      <w:r>
        <w:t xml:space="preserve">GS 52 § 1。</w:t>
      </w:r>
    </w:p>
  </w:footnote>
  <w:footnote w:id="3385">
    <w:p>
      <w:pPr>
        <w:pStyle w:val="FootnoteText"/>
      </w:pPr>
      <w:r>
        <w:rPr>
          <w:rStyle w:val="FootnoteReference"/>
        </w:rPr>
        <w:footnoteRef/>
      </w:r>
      <w:r>
        <w:t xml:space="preserve"> </w:t>
      </w:r>
      <w:r>
        <w:t xml:space="preserve">雅1:27。</w:t>
      </w:r>
    </w:p>
  </w:footnote>
  <w:footnote w:id="3386">
    <w:p>
      <w:pPr>
        <w:pStyle w:val="FootnoteText"/>
      </w:pPr>
      <w:r>
        <w:rPr>
          <w:rStyle w:val="FootnoteReference"/>
        </w:rPr>
        <w:footnoteRef/>
      </w:r>
      <w:r>
        <w:t xml:space="preserve"> </w:t>
      </w:r>
      <w:r>
        <w:t xml:space="preserve">参GS 47 § 1。</w:t>
      </w:r>
    </w:p>
  </w:footnote>
  <w:footnote w:id="3387">
    <w:p>
      <w:pPr>
        <w:pStyle w:val="FootnoteText"/>
      </w:pPr>
      <w:r>
        <w:rPr>
          <w:rStyle w:val="FootnoteReference"/>
        </w:rPr>
        <w:footnoteRef/>
      </w:r>
      <w:r>
        <w:t xml:space="preserve"> </w:t>
      </w:r>
      <w:r>
        <w:t xml:space="preserve">GS 52 § 2。</w:t>
      </w:r>
    </w:p>
  </w:footnote>
  <w:footnote w:id="3388">
    <w:p>
      <w:pPr>
        <w:pStyle w:val="FootnoteText"/>
      </w:pPr>
      <w:r>
        <w:rPr>
          <w:rStyle w:val="FootnoteReference"/>
        </w:rPr>
        <w:footnoteRef/>
      </w:r>
      <w:r>
        <w:t xml:space="preserve"> </w:t>
      </w:r>
      <w:r>
        <w:t xml:space="preserve">参FC 46。</w:t>
      </w:r>
    </w:p>
  </w:footnote>
  <w:footnote w:id="3390">
    <w:p>
      <w:pPr>
        <w:pStyle w:val="FootnoteText"/>
      </w:pPr>
      <w:r>
        <w:rPr>
          <w:rStyle w:val="FootnoteReference"/>
        </w:rPr>
        <w:footnoteRef/>
      </w:r>
      <w:r>
        <w:t xml:space="preserve"> </w:t>
      </w:r>
      <w:r>
        <w:t xml:space="preserve">参弗3:14。</w:t>
      </w:r>
    </w:p>
  </w:footnote>
  <w:footnote w:id="3391">
    <w:p>
      <w:pPr>
        <w:pStyle w:val="FootnoteText"/>
      </w:pPr>
      <w:r>
        <w:rPr>
          <w:rStyle w:val="FootnoteReference"/>
        </w:rPr>
        <w:footnoteRef/>
      </w:r>
      <w:r>
        <w:t xml:space="preserve"> </w:t>
      </w:r>
      <w:r>
        <w:t xml:space="preserve">参箴1:8；多4:3-4。</w:t>
      </w:r>
    </w:p>
  </w:footnote>
  <w:footnote w:id="3392">
    <w:p>
      <w:pPr>
        <w:pStyle w:val="FootnoteText"/>
      </w:pPr>
      <w:r>
        <w:rPr>
          <w:rStyle w:val="FootnoteReference"/>
        </w:rPr>
        <w:footnoteRef/>
      </w:r>
      <w:r>
        <w:t xml:space="preserve"> </w:t>
      </w:r>
      <w:r>
        <w:t xml:space="preserve">参出20:12。</w:t>
      </w:r>
    </w:p>
  </w:footnote>
  <w:footnote w:id="3393">
    <w:p>
      <w:pPr>
        <w:pStyle w:val="FootnoteText"/>
      </w:pPr>
      <w:r>
        <w:rPr>
          <w:rStyle w:val="FootnoteReference"/>
        </w:rPr>
        <w:footnoteRef/>
      </w:r>
      <w:r>
        <w:t xml:space="preserve"> </w:t>
      </w:r>
      <w:r>
        <w:t xml:space="preserve">德7:27-28。</w:t>
      </w:r>
    </w:p>
  </w:footnote>
  <w:footnote w:id="3394">
    <w:p>
      <w:pPr>
        <w:pStyle w:val="FootnoteText"/>
      </w:pPr>
      <w:r>
        <w:rPr>
          <w:rStyle w:val="FootnoteReference"/>
        </w:rPr>
        <w:footnoteRef/>
      </w:r>
      <w:r>
        <w:t xml:space="preserve"> </w:t>
      </w:r>
      <w:r>
        <w:t xml:space="preserve">箴6:20-22。</w:t>
      </w:r>
    </w:p>
  </w:footnote>
  <w:footnote w:id="3395">
    <w:p>
      <w:pPr>
        <w:pStyle w:val="FootnoteText"/>
      </w:pPr>
      <w:r>
        <w:rPr>
          <w:rStyle w:val="FootnoteReference"/>
        </w:rPr>
        <w:footnoteRef/>
      </w:r>
      <w:r>
        <w:t xml:space="preserve"> </w:t>
      </w:r>
      <w:r>
        <w:t xml:space="preserve">箴13:1。</w:t>
      </w:r>
    </w:p>
  </w:footnote>
  <w:footnote w:id="3396">
    <w:p>
      <w:pPr>
        <w:pStyle w:val="FootnoteText"/>
      </w:pPr>
      <w:r>
        <w:rPr>
          <w:rStyle w:val="FootnoteReference"/>
        </w:rPr>
        <w:footnoteRef/>
      </w:r>
      <w:r>
        <w:t xml:space="preserve"> </w:t>
      </w:r>
      <w:r>
        <w:t xml:space="preserve">西3:20；参弗6:1。</w:t>
      </w:r>
    </w:p>
  </w:footnote>
  <w:footnote w:id="3397">
    <w:p>
      <w:pPr>
        <w:pStyle w:val="FootnoteText"/>
      </w:pPr>
      <w:r>
        <w:rPr>
          <w:rStyle w:val="FootnoteReference"/>
        </w:rPr>
        <w:footnoteRef/>
      </w:r>
      <w:r>
        <w:t xml:space="preserve"> </w:t>
      </w:r>
      <w:r>
        <w:t xml:space="preserve">参可7:10-12。</w:t>
      </w:r>
    </w:p>
  </w:footnote>
  <w:footnote w:id="3398">
    <w:p>
      <w:pPr>
        <w:pStyle w:val="FootnoteText"/>
      </w:pPr>
      <w:r>
        <w:rPr>
          <w:rStyle w:val="FootnoteReference"/>
        </w:rPr>
        <w:footnoteRef/>
      </w:r>
      <w:r>
        <w:t xml:space="preserve"> </w:t>
      </w:r>
      <w:r>
        <w:t xml:space="preserve">德3:2-6。</w:t>
      </w:r>
    </w:p>
  </w:footnote>
  <w:footnote w:id="3399">
    <w:p>
      <w:pPr>
        <w:pStyle w:val="FootnoteText"/>
      </w:pPr>
      <w:r>
        <w:rPr>
          <w:rStyle w:val="FootnoteReference"/>
        </w:rPr>
        <w:footnoteRef/>
      </w:r>
      <w:r>
        <w:t xml:space="preserve"> </w:t>
      </w:r>
      <w:r>
        <w:t xml:space="preserve">德3:12-13,16。</w:t>
      </w:r>
    </w:p>
  </w:footnote>
  <w:footnote w:id="3400">
    <w:p>
      <w:pPr>
        <w:pStyle w:val="FootnoteText"/>
      </w:pPr>
      <w:r>
        <w:rPr>
          <w:rStyle w:val="FootnoteReference"/>
        </w:rPr>
        <w:footnoteRef/>
      </w:r>
      <w:r>
        <w:t xml:space="preserve"> </w:t>
      </w:r>
      <w:r>
        <w:t xml:space="preserve">箴17:6。</w:t>
      </w:r>
    </w:p>
  </w:footnote>
  <w:footnote w:id="3401">
    <w:p>
      <w:pPr>
        <w:pStyle w:val="FootnoteText"/>
      </w:pPr>
      <w:r>
        <w:rPr>
          <w:rStyle w:val="FootnoteReference"/>
        </w:rPr>
        <w:footnoteRef/>
      </w:r>
      <w:r>
        <w:t xml:space="preserve"> </w:t>
      </w:r>
      <w:r>
        <w:t xml:space="preserve">弗4:2。</w:t>
      </w:r>
    </w:p>
  </w:footnote>
  <w:footnote w:id="3402">
    <w:p>
      <w:pPr>
        <w:pStyle w:val="FootnoteText"/>
      </w:pPr>
      <w:r>
        <w:rPr>
          <w:rStyle w:val="FootnoteReference"/>
        </w:rPr>
        <w:footnoteRef/>
      </w:r>
      <w:r>
        <w:t xml:space="preserve"> </w:t>
      </w:r>
      <w:r>
        <w:t xml:space="preserve">提后1:5。</w:t>
      </w:r>
    </w:p>
  </w:footnote>
  <w:footnote w:id="3403">
    <w:p>
      <w:pPr>
        <w:pStyle w:val="FootnoteText"/>
      </w:pPr>
      <w:r>
        <w:rPr>
          <w:rStyle w:val="FootnoteReference"/>
        </w:rPr>
        <w:footnoteRef/>
      </w:r>
      <w:r>
        <w:t xml:space="preserve"> </w:t>
      </w:r>
      <w:r>
        <w:t xml:space="preserve">GE 3。</w:t>
      </w:r>
    </w:p>
  </w:footnote>
  <w:footnote w:id="3404">
    <w:p>
      <w:pPr>
        <w:pStyle w:val="FootnoteText"/>
      </w:pPr>
      <w:r>
        <w:rPr>
          <w:rStyle w:val="FootnoteReference"/>
        </w:rPr>
        <w:footnoteRef/>
      </w:r>
      <w:r>
        <w:t xml:space="preserve"> </w:t>
      </w:r>
      <w:r>
        <w:t xml:space="preserve">参FC 36。</w:t>
      </w:r>
    </w:p>
  </w:footnote>
  <w:footnote w:id="3405">
    <w:p>
      <w:pPr>
        <w:pStyle w:val="FootnoteText"/>
      </w:pPr>
      <w:r>
        <w:rPr>
          <w:rStyle w:val="FootnoteReference"/>
        </w:rPr>
        <w:footnoteRef/>
      </w:r>
      <w:r>
        <w:t xml:space="preserve"> </w:t>
      </w:r>
      <w:r>
        <w:t xml:space="preserve">CA 36 § 2。</w:t>
      </w:r>
    </w:p>
  </w:footnote>
  <w:footnote w:id="3406">
    <w:p>
      <w:pPr>
        <w:pStyle w:val="FootnoteText"/>
      </w:pPr>
      <w:r>
        <w:rPr>
          <w:rStyle w:val="FootnoteReference"/>
        </w:rPr>
        <w:footnoteRef/>
      </w:r>
      <w:r>
        <w:t xml:space="preserve"> </w:t>
      </w:r>
      <w:r>
        <w:t xml:space="preserve">德30:1-2。</w:t>
      </w:r>
    </w:p>
  </w:footnote>
  <w:footnote w:id="3407">
    <w:p>
      <w:pPr>
        <w:pStyle w:val="FootnoteText"/>
      </w:pPr>
      <w:r>
        <w:rPr>
          <w:rStyle w:val="FootnoteReference"/>
        </w:rPr>
        <w:footnoteRef/>
      </w:r>
      <w:r>
        <w:t xml:space="preserve"> </w:t>
      </w:r>
      <w:r>
        <w:t xml:space="preserve">弗6:4。</w:t>
      </w:r>
    </w:p>
  </w:footnote>
  <w:footnote w:id="3408">
    <w:p>
      <w:pPr>
        <w:pStyle w:val="FootnoteText"/>
      </w:pPr>
      <w:r>
        <w:rPr>
          <w:rStyle w:val="FootnoteReference"/>
        </w:rPr>
        <w:footnoteRef/>
      </w:r>
      <w:r>
        <w:t xml:space="preserve"> </w:t>
      </w:r>
      <w:r>
        <w:t xml:space="preserve">LG 11 § 2。</w:t>
      </w:r>
    </w:p>
  </w:footnote>
  <w:footnote w:id="3409">
    <w:p>
      <w:pPr>
        <w:pStyle w:val="FootnoteText"/>
      </w:pPr>
      <w:r>
        <w:rPr>
          <w:rStyle w:val="FootnoteReference"/>
        </w:rPr>
        <w:footnoteRef/>
      </w:r>
      <w:r>
        <w:t xml:space="preserve"> </w:t>
      </w:r>
      <w:r>
        <w:t xml:space="preserve">参LG 11。</w:t>
      </w:r>
    </w:p>
  </w:footnote>
  <w:footnote w:id="3410">
    <w:p>
      <w:pPr>
        <w:pStyle w:val="FootnoteText"/>
      </w:pPr>
      <w:r>
        <w:rPr>
          <w:rStyle w:val="FootnoteReference"/>
        </w:rPr>
        <w:footnoteRef/>
      </w:r>
      <w:r>
        <w:t xml:space="preserve"> </w:t>
      </w:r>
      <w:r>
        <w:t xml:space="preserve">参GS 48 § 4。</w:t>
      </w:r>
    </w:p>
  </w:footnote>
  <w:footnote w:id="3411">
    <w:p>
      <w:pPr>
        <w:pStyle w:val="FootnoteText"/>
      </w:pPr>
      <w:r>
        <w:rPr>
          <w:rStyle w:val="FootnoteReference"/>
        </w:rPr>
        <w:footnoteRef/>
      </w:r>
      <w:r>
        <w:t xml:space="preserve"> </w:t>
      </w:r>
      <w:r>
        <w:t xml:space="preserve">参太18:21-22；路17:4。</w:t>
      </w:r>
    </w:p>
  </w:footnote>
  <w:footnote w:id="3412">
    <w:p>
      <w:pPr>
        <w:pStyle w:val="FootnoteText"/>
      </w:pPr>
      <w:r>
        <w:rPr>
          <w:rStyle w:val="FootnoteReference"/>
        </w:rPr>
        <w:footnoteRef/>
      </w:r>
      <w:r>
        <w:t xml:space="preserve"> </w:t>
      </w:r>
      <w:r>
        <w:t xml:space="preserve">参GE 6。</w:t>
      </w:r>
    </w:p>
  </w:footnote>
  <w:footnote w:id="3414">
    <w:p>
      <w:pPr>
        <w:pStyle w:val="FootnoteText"/>
      </w:pPr>
      <w:r>
        <w:rPr>
          <w:rStyle w:val="FootnoteReference"/>
        </w:rPr>
        <w:footnoteRef/>
      </w:r>
      <w:r>
        <w:t xml:space="preserve"> </w:t>
      </w:r>
      <w:r>
        <w:t xml:space="preserve">太10:37；参16:25。</w:t>
      </w:r>
    </w:p>
  </w:footnote>
  <w:footnote w:id="3415">
    <w:p>
      <w:pPr>
        <w:pStyle w:val="FootnoteText"/>
      </w:pPr>
      <w:r>
        <w:rPr>
          <w:rStyle w:val="FootnoteReference"/>
        </w:rPr>
        <w:footnoteRef/>
      </w:r>
      <w:r>
        <w:t xml:space="preserve"> </w:t>
      </w:r>
      <w:r>
        <w:t xml:space="preserve">太12:49。</w:t>
      </w:r>
    </w:p>
  </w:footnote>
  <w:footnote w:id="3417">
    <w:p>
      <w:pPr>
        <w:pStyle w:val="FootnoteText"/>
      </w:pPr>
      <w:r>
        <w:rPr>
          <w:rStyle w:val="FootnoteReference"/>
        </w:rPr>
        <w:footnoteRef/>
      </w:r>
      <w:r>
        <w:t xml:space="preserve"> </w:t>
      </w:r>
      <w:r>
        <w:t xml:space="preserve">太20:26。</w:t>
      </w:r>
    </w:p>
  </w:footnote>
  <w:footnote w:id="3418">
    <w:p>
      <w:pPr>
        <w:pStyle w:val="FootnoteText"/>
      </w:pPr>
      <w:r>
        <w:rPr>
          <w:rStyle w:val="FootnoteReference"/>
        </w:rPr>
        <w:footnoteRef/>
      </w:r>
      <w:r>
        <w:t xml:space="preserve"> </w:t>
      </w:r>
      <w:r>
        <w:t xml:space="preserve">参CA 25。</w:t>
      </w:r>
    </w:p>
  </w:footnote>
  <w:footnote w:id="3419">
    <w:p>
      <w:pPr>
        <w:pStyle w:val="FootnoteText"/>
      </w:pPr>
      <w:r>
        <w:rPr>
          <w:rStyle w:val="FootnoteReference"/>
        </w:rPr>
        <w:footnoteRef/>
      </w:r>
      <w:r>
        <w:t xml:space="preserve"> </w:t>
      </w:r>
      <w:r>
        <w:t xml:space="preserve">参罗13:1-2。</w:t>
      </w:r>
    </w:p>
  </w:footnote>
  <w:footnote w:id="3420">
    <w:p>
      <w:pPr>
        <w:pStyle w:val="FootnoteText"/>
      </w:pPr>
      <w:r>
        <w:rPr>
          <w:rStyle w:val="FootnoteReference"/>
        </w:rPr>
        <w:footnoteRef/>
      </w:r>
      <w:r>
        <w:t xml:space="preserve"> </w:t>
      </w:r>
      <w:r>
        <w:t xml:space="preserve">彼前2:13,16。</w:t>
      </w:r>
    </w:p>
  </w:footnote>
  <w:footnote w:id="3421">
    <w:p>
      <w:pPr>
        <w:pStyle w:val="FootnoteText"/>
      </w:pPr>
      <w:r>
        <w:rPr>
          <w:rStyle w:val="FootnoteReference"/>
        </w:rPr>
        <w:footnoteRef/>
      </w:r>
      <w:r>
        <w:t xml:space="preserve"> </w:t>
      </w:r>
      <w:r>
        <w:t xml:space="preserve">罗13:7。</w:t>
      </w:r>
    </w:p>
  </w:footnote>
  <w:footnote w:id="3422">
    <w:p>
      <w:pPr>
        <w:pStyle w:val="FootnoteText"/>
      </w:pPr>
      <w:r>
        <w:rPr>
          <w:rStyle w:val="FootnoteReference"/>
        </w:rPr>
        <w:footnoteRef/>
      </w:r>
      <w:r>
        <w:t xml:space="preserve"> </w:t>
      </w:r>
      <w:r>
        <w:rPr>
          <w:i/>
          <w:iCs/>
        </w:rPr>
        <w:t xml:space="preserve">Ad Diognetum</w:t>
      </w:r>
      <w:r>
        <w:t xml:space="preserve"> </w:t>
      </w:r>
      <w:r>
        <w:t xml:space="preserve">5,5、10；6,10：PG 2,1173、1176。</w:t>
      </w:r>
    </w:p>
  </w:footnote>
  <w:footnote w:id="3423">
    <w:p>
      <w:pPr>
        <w:pStyle w:val="FootnoteText"/>
      </w:pPr>
      <w:r>
        <w:rPr>
          <w:rStyle w:val="FootnoteReference"/>
        </w:rPr>
        <w:footnoteRef/>
      </w:r>
      <w:r>
        <w:t xml:space="preserve"> </w:t>
      </w:r>
      <w:r>
        <w:t xml:space="preserve">提前2:2。</w:t>
      </w:r>
    </w:p>
  </w:footnote>
  <w:footnote w:id="3424">
    <w:p>
      <w:pPr>
        <w:pStyle w:val="FootnoteText"/>
      </w:pPr>
      <w:r>
        <w:rPr>
          <w:rStyle w:val="FootnoteReference"/>
        </w:rPr>
        <w:footnoteRef/>
      </w:r>
      <w:r>
        <w:t xml:space="preserve"> </w:t>
      </w:r>
      <w:r>
        <w:t xml:space="preserve">太22:21。</w:t>
      </w:r>
    </w:p>
  </w:footnote>
  <w:footnote w:id="3425">
    <w:p>
      <w:pPr>
        <w:pStyle w:val="FootnoteText"/>
      </w:pPr>
      <w:r>
        <w:rPr>
          <w:rStyle w:val="FootnoteReference"/>
        </w:rPr>
        <w:footnoteRef/>
      </w:r>
      <w:r>
        <w:t xml:space="preserve"> </w:t>
      </w:r>
      <w:r>
        <w:t xml:space="preserve">徒5:29。</w:t>
      </w:r>
    </w:p>
  </w:footnote>
  <w:footnote w:id="3426">
    <w:p>
      <w:pPr>
        <w:pStyle w:val="FootnoteText"/>
      </w:pPr>
      <w:r>
        <w:rPr>
          <w:rStyle w:val="FootnoteReference"/>
        </w:rPr>
        <w:footnoteRef/>
      </w:r>
      <w:r>
        <w:t xml:space="preserve"> </w:t>
      </w:r>
      <w:r>
        <w:t xml:space="preserve">GS 74 § 5。</w:t>
      </w:r>
    </w:p>
  </w:footnote>
  <w:footnote w:id="3427">
    <w:p>
      <w:pPr>
        <w:pStyle w:val="FootnoteText"/>
      </w:pPr>
      <w:r>
        <w:rPr>
          <w:rStyle w:val="FootnoteReference"/>
        </w:rPr>
        <w:footnoteRef/>
      </w:r>
      <w:r>
        <w:t xml:space="preserve"> </w:t>
      </w:r>
      <w:r>
        <w:t xml:space="preserve">参CA 45、46。</w:t>
      </w:r>
    </w:p>
  </w:footnote>
  <w:footnote w:id="3428">
    <w:p>
      <w:pPr>
        <w:pStyle w:val="FootnoteText"/>
      </w:pPr>
      <w:r>
        <w:rPr>
          <w:rStyle w:val="FootnoteReference"/>
        </w:rPr>
        <w:footnoteRef/>
      </w:r>
      <w:r>
        <w:t xml:space="preserve"> </w:t>
      </w:r>
      <w:r>
        <w:t xml:space="preserve">GS 76 § 3。</w:t>
      </w:r>
    </w:p>
  </w:footnote>
  <w:footnote w:id="3429">
    <w:p>
      <w:pPr>
        <w:pStyle w:val="FootnoteText"/>
      </w:pPr>
      <w:r>
        <w:rPr>
          <w:rStyle w:val="FootnoteReference"/>
        </w:rPr>
        <w:footnoteRef/>
      </w:r>
      <w:r>
        <w:t xml:space="preserve"> </w:t>
      </w:r>
      <w:r>
        <w:t xml:space="preserve">GS 76 § 5。</w:t>
      </w:r>
    </w:p>
  </w:footnote>
  <w:footnote w:id="3433">
    <w:p>
      <w:pPr>
        <w:pStyle w:val="FootnoteText"/>
      </w:pPr>
      <w:r>
        <w:rPr>
          <w:rStyle w:val="FootnoteReference"/>
        </w:rPr>
        <w:footnoteRef/>
      </w:r>
      <w:r>
        <w:t xml:space="preserve"> </w:t>
      </w:r>
      <w:r>
        <w:t xml:space="preserve">出20:13；参申5:17。</w:t>
      </w:r>
    </w:p>
  </w:footnote>
  <w:footnote w:id="3434">
    <w:p>
      <w:pPr>
        <w:pStyle w:val="FootnoteText"/>
      </w:pPr>
      <w:r>
        <w:rPr>
          <w:rStyle w:val="FootnoteReference"/>
        </w:rPr>
        <w:footnoteRef/>
      </w:r>
      <w:r>
        <w:t xml:space="preserve"> </w:t>
      </w:r>
      <w:r>
        <w:t xml:space="preserve">太5:21-22。</w:t>
      </w:r>
    </w:p>
  </w:footnote>
  <w:footnote w:id="3435">
    <w:p>
      <w:pPr>
        <w:pStyle w:val="FootnoteText"/>
      </w:pPr>
      <w:r>
        <w:rPr>
          <w:rStyle w:val="FootnoteReference"/>
        </w:rPr>
        <w:footnoteRef/>
      </w:r>
      <w:r>
        <w:t xml:space="preserve"> </w:t>
      </w:r>
      <w:r>
        <w:t xml:space="preserve">信理部，训令</w:t>
      </w:r>
      <w:r>
        <w:t xml:space="preserve"> </w:t>
      </w:r>
      <w:r>
        <w:rPr>
          <w:i/>
          <w:iCs/>
        </w:rPr>
        <w:t xml:space="preserve">Donum vitae</w:t>
      </w:r>
      <w:r>
        <w:t xml:space="preserve"> </w:t>
      </w:r>
      <w:r>
        <w:t xml:space="preserve">导言5。</w:t>
      </w:r>
    </w:p>
  </w:footnote>
  <w:footnote w:id="3436">
    <w:p>
      <w:pPr>
        <w:pStyle w:val="FootnoteText"/>
      </w:pPr>
      <w:r>
        <w:rPr>
          <w:rStyle w:val="FootnoteReference"/>
        </w:rPr>
        <w:footnoteRef/>
      </w:r>
      <w:r>
        <w:t xml:space="preserve"> </w:t>
      </w:r>
      <w:r>
        <w:t xml:space="preserve">参创4:8-12。</w:t>
      </w:r>
    </w:p>
  </w:footnote>
  <w:footnote w:id="3437">
    <w:p>
      <w:pPr>
        <w:pStyle w:val="FootnoteText"/>
      </w:pPr>
      <w:r>
        <w:rPr>
          <w:rStyle w:val="FootnoteReference"/>
        </w:rPr>
        <w:footnoteRef/>
      </w:r>
      <w:r>
        <w:t xml:space="preserve"> </w:t>
      </w:r>
      <w:r>
        <w:t xml:space="preserve">创4:10-11。</w:t>
      </w:r>
    </w:p>
  </w:footnote>
  <w:footnote w:id="3438">
    <w:p>
      <w:pPr>
        <w:pStyle w:val="FootnoteText"/>
      </w:pPr>
      <w:r>
        <w:rPr>
          <w:rStyle w:val="FootnoteReference"/>
        </w:rPr>
        <w:footnoteRef/>
      </w:r>
      <w:r>
        <w:t xml:space="preserve"> </w:t>
      </w:r>
      <w:r>
        <w:t xml:space="preserve">创9:5-6。</w:t>
      </w:r>
    </w:p>
  </w:footnote>
  <w:footnote w:id="3439">
    <w:p>
      <w:pPr>
        <w:pStyle w:val="FootnoteText"/>
      </w:pPr>
      <w:r>
        <w:rPr>
          <w:rStyle w:val="FootnoteReference"/>
        </w:rPr>
        <w:footnoteRef/>
      </w:r>
      <w:r>
        <w:t xml:space="preserve"> </w:t>
      </w:r>
      <w:r>
        <w:t xml:space="preserve">参利17:14。</w:t>
      </w:r>
    </w:p>
  </w:footnote>
  <w:footnote w:id="3440">
    <w:p>
      <w:pPr>
        <w:pStyle w:val="FootnoteText"/>
      </w:pPr>
      <w:r>
        <w:rPr>
          <w:rStyle w:val="FootnoteReference"/>
        </w:rPr>
        <w:footnoteRef/>
      </w:r>
      <w:r>
        <w:t xml:space="preserve"> </w:t>
      </w:r>
      <w:r>
        <w:t xml:space="preserve">出23:7。</w:t>
      </w:r>
    </w:p>
  </w:footnote>
  <w:footnote w:id="3441">
    <w:p>
      <w:pPr>
        <w:pStyle w:val="FootnoteText"/>
      </w:pPr>
      <w:r>
        <w:rPr>
          <w:rStyle w:val="FootnoteReference"/>
        </w:rPr>
        <w:footnoteRef/>
      </w:r>
      <w:r>
        <w:t xml:space="preserve"> </w:t>
      </w:r>
      <w:r>
        <w:t xml:space="preserve">太5:21。</w:t>
      </w:r>
    </w:p>
  </w:footnote>
  <w:footnote w:id="3442">
    <w:p>
      <w:pPr>
        <w:pStyle w:val="FootnoteText"/>
      </w:pPr>
      <w:r>
        <w:rPr>
          <w:rStyle w:val="FootnoteReference"/>
        </w:rPr>
        <w:footnoteRef/>
      </w:r>
      <w:r>
        <w:t xml:space="preserve"> </w:t>
      </w:r>
      <w:r>
        <w:t xml:space="preserve">参太5:22-44。</w:t>
      </w:r>
    </w:p>
  </w:footnote>
  <w:footnote w:id="3443">
    <w:p>
      <w:pPr>
        <w:pStyle w:val="FootnoteText"/>
      </w:pPr>
      <w:r>
        <w:rPr>
          <w:rStyle w:val="FootnoteReference"/>
        </w:rPr>
        <w:footnoteRef/>
      </w:r>
      <w:r>
        <w:t xml:space="preserve"> </w:t>
      </w:r>
      <w:r>
        <w:t xml:space="preserve">参太26:52。</w:t>
      </w:r>
    </w:p>
  </w:footnote>
  <w:footnote w:id="3444">
    <w:p>
      <w:pPr>
        <w:pStyle w:val="FootnoteText"/>
      </w:pPr>
      <w:r>
        <w:rPr>
          <w:rStyle w:val="FootnoteReference"/>
        </w:rPr>
        <w:footnoteRef/>
      </w:r>
      <w:r>
        <w:t xml:space="preserve"> </w:t>
      </w:r>
      <w:r>
        <w:t xml:space="preserve">圣托马斯·阿奎那，</w:t>
      </w:r>
      <w:r>
        <w:rPr>
          <w:i/>
          <w:iCs/>
        </w:rPr>
        <w:t xml:space="preserve">Summa theologiae</w:t>
      </w:r>
      <w:r>
        <w:t xml:space="preserve"> </w:t>
      </w:r>
      <w:r>
        <w:t xml:space="preserve">II-II,64,7。</w:t>
      </w:r>
    </w:p>
  </w:footnote>
  <w:footnote w:id="3445">
    <w:p>
      <w:pPr>
        <w:pStyle w:val="FootnoteText"/>
      </w:pPr>
      <w:r>
        <w:rPr>
          <w:rStyle w:val="FootnoteReference"/>
        </w:rPr>
        <w:footnoteRef/>
      </w:r>
      <w:r>
        <w:t xml:space="preserve"> </w:t>
      </w:r>
      <w:r>
        <w:t xml:space="preserve">圣托马斯·阿奎那，</w:t>
      </w:r>
      <w:r>
        <w:rPr>
          <w:i/>
          <w:iCs/>
        </w:rPr>
        <w:t xml:space="preserve">Summa theologiae</w:t>
      </w:r>
      <w:r>
        <w:t xml:space="preserve"> </w:t>
      </w:r>
      <w:r>
        <w:t xml:space="preserve">II-II,64,7 ad 3。</w:t>
      </w:r>
    </w:p>
  </w:footnote>
  <w:footnote w:id="3446">
    <w:p>
      <w:pPr>
        <w:pStyle w:val="FootnoteText"/>
      </w:pPr>
      <w:r>
        <w:rPr>
          <w:rStyle w:val="FootnoteReference"/>
        </w:rPr>
        <w:footnoteRef/>
      </w:r>
      <w:r>
        <w:t xml:space="preserve"> </w:t>
      </w:r>
      <w:r>
        <w:t xml:space="preserve">参路23:40-43。</w:t>
      </w:r>
    </w:p>
  </w:footnote>
  <w:footnote w:id="3447">
    <w:p>
      <w:pPr>
        <w:pStyle w:val="FootnoteText"/>
      </w:pPr>
      <w:r>
        <w:rPr>
          <w:rStyle w:val="FootnoteReference"/>
        </w:rPr>
        <w:footnoteRef/>
      </w:r>
      <w:r>
        <w:t xml:space="preserve"> </w:t>
      </w:r>
      <w:r>
        <w:t xml:space="preserve">教宗方济各，讲话，2017年10月11日；参信理部，《关于修订〈公教会教理〉第2267号的新版本致各主教函》（2018年8月1日）。</w:t>
      </w:r>
    </w:p>
  </w:footnote>
  <w:footnote w:id="3448">
    <w:p>
      <w:pPr>
        <w:pStyle w:val="FootnoteText"/>
      </w:pPr>
      <w:r>
        <w:rPr>
          <w:rStyle w:val="FootnoteReference"/>
        </w:rPr>
        <w:footnoteRef/>
      </w:r>
      <w:r>
        <w:t xml:space="preserve"> </w:t>
      </w:r>
      <w:r>
        <w:t xml:space="preserve">参创4:10。</w:t>
      </w:r>
    </w:p>
  </w:footnote>
  <w:footnote w:id="3449">
    <w:p>
      <w:pPr>
        <w:pStyle w:val="FootnoteText"/>
      </w:pPr>
      <w:r>
        <w:rPr>
          <w:rStyle w:val="FootnoteReference"/>
        </w:rPr>
        <w:footnoteRef/>
      </w:r>
      <w:r>
        <w:t xml:space="preserve"> </w:t>
      </w:r>
      <w:r>
        <w:t xml:space="preserve">参GS 51 § 3。</w:t>
      </w:r>
    </w:p>
  </w:footnote>
  <w:footnote w:id="3450">
    <w:p>
      <w:pPr>
        <w:pStyle w:val="FootnoteText"/>
      </w:pPr>
      <w:r>
        <w:rPr>
          <w:rStyle w:val="FootnoteReference"/>
        </w:rPr>
        <w:footnoteRef/>
      </w:r>
      <w:r>
        <w:t xml:space="preserve"> </w:t>
      </w:r>
      <w:r>
        <w:t xml:space="preserve">参摩8:4-10。</w:t>
      </w:r>
    </w:p>
  </w:footnote>
  <w:footnote w:id="3451">
    <w:p>
      <w:pPr>
        <w:pStyle w:val="FootnoteText"/>
      </w:pPr>
      <w:r>
        <w:rPr>
          <w:rStyle w:val="FootnoteReference"/>
        </w:rPr>
        <w:footnoteRef/>
      </w:r>
      <w:r>
        <w:t xml:space="preserve"> </w:t>
      </w:r>
      <w:r>
        <w:t xml:space="preserve">参信理部，</w:t>
      </w:r>
      <w:r>
        <w:rPr>
          <w:i/>
          <w:iCs/>
        </w:rPr>
        <w:t xml:space="preserve">Donum vitae</w:t>
      </w:r>
      <w:r>
        <w:t xml:space="preserve"> </w:t>
      </w:r>
      <w:r>
        <w:t xml:space="preserve">I,1。</w:t>
      </w:r>
    </w:p>
  </w:footnote>
  <w:footnote w:id="3452">
    <w:p>
      <w:pPr>
        <w:pStyle w:val="FootnoteText"/>
      </w:pPr>
      <w:r>
        <w:rPr>
          <w:rStyle w:val="FootnoteReference"/>
        </w:rPr>
        <w:footnoteRef/>
      </w:r>
      <w:r>
        <w:t xml:space="preserve"> </w:t>
      </w:r>
      <w:r>
        <w:t xml:space="preserve">耶1:5；参伯10:8-12；诗22:10-11。</w:t>
      </w:r>
    </w:p>
  </w:footnote>
  <w:footnote w:id="3453">
    <w:p>
      <w:pPr>
        <w:pStyle w:val="FootnoteText"/>
      </w:pPr>
      <w:r>
        <w:rPr>
          <w:rStyle w:val="FootnoteReference"/>
        </w:rPr>
        <w:footnoteRef/>
      </w:r>
      <w:r>
        <w:t xml:space="preserve"> </w:t>
      </w:r>
      <w:r>
        <w:t xml:space="preserve">诗139:15。</w:t>
      </w:r>
    </w:p>
  </w:footnote>
  <w:footnote w:id="3454">
    <w:p>
      <w:pPr>
        <w:pStyle w:val="FootnoteText"/>
      </w:pPr>
      <w:r>
        <w:rPr>
          <w:rStyle w:val="FootnoteReference"/>
        </w:rPr>
        <w:footnoteRef/>
      </w:r>
      <w:r>
        <w:t xml:space="preserve"> </w:t>
      </w:r>
      <w:r>
        <w:rPr>
          <w:i/>
          <w:iCs/>
        </w:rPr>
        <w:t xml:space="preserve">Didache</w:t>
      </w:r>
      <w:r>
        <w:t xml:space="preserve"> </w:t>
      </w:r>
      <w:r>
        <w:t xml:space="preserve">2,2：SCh 248,148；参</w:t>
      </w:r>
      <w:r>
        <w:rPr>
          <w:i/>
          <w:iCs/>
        </w:rPr>
        <w:t xml:space="preserve">Epistle of Barnabas</w:t>
      </w:r>
      <w:r>
        <w:t xml:space="preserve"> </w:t>
      </w:r>
      <w:r>
        <w:t xml:space="preserve">19,5：PG 2,777；</w:t>
      </w:r>
      <w:r>
        <w:rPr>
          <w:i/>
          <w:iCs/>
        </w:rPr>
        <w:t xml:space="preserve">Ad Diognetum</w:t>
      </w:r>
      <w:r>
        <w:t xml:space="preserve"> </w:t>
      </w:r>
      <w:r>
        <w:t xml:space="preserve">5,6：PG 2,1173；特土良，</w:t>
      </w:r>
      <w:r>
        <w:rPr>
          <w:i/>
          <w:iCs/>
        </w:rPr>
        <w:t xml:space="preserve">Apology</w:t>
      </w:r>
      <w:r>
        <w:t xml:space="preserve"> </w:t>
      </w:r>
      <w:r>
        <w:t xml:space="preserve">9：PL 1,319-320。</w:t>
      </w:r>
    </w:p>
  </w:footnote>
  <w:footnote w:id="3455">
    <w:p>
      <w:pPr>
        <w:pStyle w:val="FootnoteText"/>
      </w:pPr>
      <w:r>
        <w:rPr>
          <w:rStyle w:val="FootnoteReference"/>
        </w:rPr>
        <w:footnoteRef/>
      </w:r>
      <w:r>
        <w:t xml:space="preserve"> </w:t>
      </w:r>
      <w:r>
        <w:t xml:space="preserve">GS 51 § 3。</w:t>
      </w:r>
    </w:p>
  </w:footnote>
  <w:footnote w:id="3456">
    <w:p>
      <w:pPr>
        <w:pStyle w:val="FootnoteText"/>
      </w:pPr>
      <w:r>
        <w:rPr>
          <w:rStyle w:val="FootnoteReference"/>
        </w:rPr>
        <w:footnoteRef/>
      </w:r>
      <w:r>
        <w:t xml:space="preserve"> </w:t>
      </w:r>
      <w:r>
        <w:t xml:space="preserve">CIC，第1398条。</w:t>
      </w:r>
    </w:p>
  </w:footnote>
  <w:footnote w:id="3457">
    <w:p>
      <w:pPr>
        <w:pStyle w:val="FootnoteText"/>
      </w:pPr>
      <w:r>
        <w:rPr>
          <w:rStyle w:val="FootnoteReference"/>
        </w:rPr>
        <w:footnoteRef/>
      </w:r>
      <w:r>
        <w:t xml:space="preserve"> </w:t>
      </w:r>
      <w:r>
        <w:t xml:space="preserve">CIC，第1314条。</w:t>
      </w:r>
    </w:p>
  </w:footnote>
  <w:footnote w:id="3458">
    <w:p>
      <w:pPr>
        <w:pStyle w:val="FootnoteText"/>
      </w:pPr>
      <w:r>
        <w:rPr>
          <w:rStyle w:val="FootnoteReference"/>
        </w:rPr>
        <w:footnoteRef/>
      </w:r>
      <w:r>
        <w:t xml:space="preserve"> </w:t>
      </w:r>
      <w:r>
        <w:t xml:space="preserve">参CIC，第1323-1324条。</w:t>
      </w:r>
    </w:p>
  </w:footnote>
  <w:footnote w:id="3459">
    <w:p>
      <w:pPr>
        <w:pStyle w:val="FootnoteText"/>
      </w:pPr>
      <w:r>
        <w:rPr>
          <w:rStyle w:val="FootnoteReference"/>
        </w:rPr>
        <w:footnoteRef/>
      </w:r>
      <w:r>
        <w:t xml:space="preserve"> </w:t>
      </w:r>
      <w:r>
        <w:t xml:space="preserve">信理部，</w:t>
      </w:r>
      <w:r>
        <w:rPr>
          <w:i/>
          <w:iCs/>
        </w:rPr>
        <w:t xml:space="preserve">Donum vitae</w:t>
      </w:r>
      <w:r>
        <w:t xml:space="preserve"> </w:t>
      </w:r>
      <w:r>
        <w:t xml:space="preserve">III。</w:t>
      </w:r>
    </w:p>
  </w:footnote>
  <w:footnote w:id="3460">
    <w:p>
      <w:pPr>
        <w:pStyle w:val="FootnoteText"/>
      </w:pPr>
      <w:r>
        <w:rPr>
          <w:rStyle w:val="FootnoteReference"/>
        </w:rPr>
        <w:footnoteRef/>
      </w:r>
      <w:r>
        <w:t xml:space="preserve"> </w:t>
      </w:r>
      <w:r>
        <w:t xml:space="preserve">信理部，</w:t>
      </w:r>
      <w:r>
        <w:rPr>
          <w:i/>
          <w:iCs/>
        </w:rPr>
        <w:t xml:space="preserve">Donum vitae</w:t>
      </w:r>
      <w:r>
        <w:t xml:space="preserve"> </w:t>
      </w:r>
      <w:r>
        <w:t xml:space="preserve">III。</w:t>
      </w:r>
    </w:p>
  </w:footnote>
  <w:footnote w:id="3461">
    <w:p>
      <w:pPr>
        <w:pStyle w:val="FootnoteText"/>
      </w:pPr>
      <w:r>
        <w:rPr>
          <w:rStyle w:val="FootnoteReference"/>
        </w:rPr>
        <w:footnoteRef/>
      </w:r>
      <w:r>
        <w:t xml:space="preserve"> </w:t>
      </w:r>
      <w:r>
        <w:t xml:space="preserve">信理部，</w:t>
      </w:r>
      <w:r>
        <w:rPr>
          <w:i/>
          <w:iCs/>
        </w:rPr>
        <w:t xml:space="preserve">Donum vitae</w:t>
      </w:r>
      <w:r>
        <w:t xml:space="preserve"> </w:t>
      </w:r>
      <w:r>
        <w:t xml:space="preserve">I,2。</w:t>
      </w:r>
    </w:p>
  </w:footnote>
  <w:footnote w:id="3462">
    <w:p>
      <w:pPr>
        <w:pStyle w:val="FootnoteText"/>
      </w:pPr>
      <w:r>
        <w:rPr>
          <w:rStyle w:val="FootnoteReference"/>
        </w:rPr>
        <w:footnoteRef/>
      </w:r>
      <w:r>
        <w:t xml:space="preserve"> </w:t>
      </w:r>
      <w:r>
        <w:t xml:space="preserve">信理部，</w:t>
      </w:r>
      <w:r>
        <w:rPr>
          <w:i/>
          <w:iCs/>
        </w:rPr>
        <w:t xml:space="preserve">Donum vitae</w:t>
      </w:r>
      <w:r>
        <w:t xml:space="preserve"> </w:t>
      </w:r>
      <w:r>
        <w:t xml:space="preserve">I,3。</w:t>
      </w:r>
    </w:p>
  </w:footnote>
  <w:footnote w:id="3463">
    <w:p>
      <w:pPr>
        <w:pStyle w:val="FootnoteText"/>
      </w:pPr>
      <w:r>
        <w:rPr>
          <w:rStyle w:val="FootnoteReference"/>
        </w:rPr>
        <w:footnoteRef/>
      </w:r>
      <w:r>
        <w:t xml:space="preserve"> </w:t>
      </w:r>
      <w:r>
        <w:t xml:space="preserve">信理部，</w:t>
      </w:r>
      <w:r>
        <w:rPr>
          <w:i/>
          <w:iCs/>
        </w:rPr>
        <w:t xml:space="preserve">Donum vitae</w:t>
      </w:r>
      <w:r>
        <w:t xml:space="preserve"> </w:t>
      </w:r>
      <w:r>
        <w:t xml:space="preserve">I,5。</w:t>
      </w:r>
    </w:p>
  </w:footnote>
  <w:footnote w:id="3464">
    <w:p>
      <w:pPr>
        <w:pStyle w:val="FootnoteText"/>
      </w:pPr>
      <w:r>
        <w:rPr>
          <w:rStyle w:val="FootnoteReference"/>
        </w:rPr>
        <w:footnoteRef/>
      </w:r>
      <w:r>
        <w:t xml:space="preserve"> </w:t>
      </w:r>
      <w:r>
        <w:t xml:space="preserve">信理部，</w:t>
      </w:r>
      <w:r>
        <w:rPr>
          <w:i/>
          <w:iCs/>
        </w:rPr>
        <w:t xml:space="preserve">Donum vitae</w:t>
      </w:r>
      <w:r>
        <w:t xml:space="preserve"> </w:t>
      </w:r>
      <w:r>
        <w:t xml:space="preserve">I,6。</w:t>
      </w:r>
    </w:p>
  </w:footnote>
  <w:footnote w:id="3466">
    <w:p>
      <w:pPr>
        <w:pStyle w:val="FootnoteText"/>
      </w:pPr>
      <w:r>
        <w:rPr>
          <w:rStyle w:val="FootnoteReference"/>
        </w:rPr>
        <w:footnoteRef/>
      </w:r>
      <w:r>
        <w:t xml:space="preserve"> </w:t>
      </w:r>
      <w:r>
        <w:t xml:space="preserve">太18:6；参林前8:10-13。</w:t>
      </w:r>
    </w:p>
  </w:footnote>
  <w:footnote w:id="3467">
    <w:p>
      <w:pPr>
        <w:pStyle w:val="FootnoteText"/>
      </w:pPr>
      <w:r>
        <w:rPr>
          <w:rStyle w:val="FootnoteReference"/>
        </w:rPr>
        <w:footnoteRef/>
      </w:r>
      <w:r>
        <w:t xml:space="preserve"> </w:t>
      </w:r>
      <w:r>
        <w:t xml:space="preserve">参太7:15。</w:t>
      </w:r>
    </w:p>
  </w:footnote>
  <w:footnote w:id="3468">
    <w:p>
      <w:pPr>
        <w:pStyle w:val="FootnoteText"/>
      </w:pPr>
      <w:r>
        <w:rPr>
          <w:rStyle w:val="FootnoteReference"/>
        </w:rPr>
        <w:footnoteRef/>
      </w:r>
      <w:r>
        <w:t xml:space="preserve"> </w:t>
      </w:r>
      <w:r>
        <w:t xml:space="preserve">庇护十二世，讲话，1941年6月1日。</w:t>
      </w:r>
    </w:p>
  </w:footnote>
  <w:footnote w:id="3469">
    <w:p>
      <w:pPr>
        <w:pStyle w:val="FootnoteText"/>
      </w:pPr>
      <w:r>
        <w:rPr>
          <w:rStyle w:val="FootnoteReference"/>
        </w:rPr>
        <w:footnoteRef/>
      </w:r>
      <w:r>
        <w:t xml:space="preserve"> </w:t>
      </w:r>
      <w:r>
        <w:t xml:space="preserve">参弗6:4；西3:21。</w:t>
      </w:r>
    </w:p>
  </w:footnote>
  <w:footnote w:id="3470">
    <w:p>
      <w:pPr>
        <w:pStyle w:val="FootnoteText"/>
      </w:pPr>
      <w:r>
        <w:rPr>
          <w:rStyle w:val="FootnoteReference"/>
        </w:rPr>
        <w:footnoteRef/>
      </w:r>
      <w:r>
        <w:t xml:space="preserve"> </w:t>
      </w:r>
      <w:r>
        <w:t xml:space="preserve">路17:1。</w:t>
      </w:r>
    </w:p>
  </w:footnote>
  <w:footnote w:id="3471">
    <w:p>
      <w:pPr>
        <w:pStyle w:val="FootnoteText"/>
      </w:pPr>
      <w:r>
        <w:rPr>
          <w:rStyle w:val="FootnoteReference"/>
        </w:rPr>
        <w:footnoteRef/>
      </w:r>
      <w:r>
        <w:t xml:space="preserve"> </w:t>
      </w:r>
      <w:r>
        <w:t xml:space="preserve">参DS 3722。</w:t>
      </w:r>
    </w:p>
  </w:footnote>
  <w:footnote w:id="3472">
    <w:p>
      <w:pPr>
        <w:pStyle w:val="FootnoteText"/>
      </w:pPr>
      <w:r>
        <w:rPr>
          <w:rStyle w:val="FootnoteReference"/>
        </w:rPr>
        <w:footnoteRef/>
      </w:r>
      <w:r>
        <w:t xml:space="preserve"> </w:t>
      </w:r>
      <w:r>
        <w:t xml:space="preserve">参多1:16-18。</w:t>
      </w:r>
    </w:p>
  </w:footnote>
  <w:footnote w:id="3473">
    <w:p>
      <w:pPr>
        <w:pStyle w:val="FootnoteText"/>
      </w:pPr>
      <w:r>
        <w:rPr>
          <w:rStyle w:val="FootnoteReference"/>
        </w:rPr>
        <w:footnoteRef/>
      </w:r>
      <w:r>
        <w:t xml:space="preserve"> </w:t>
      </w:r>
      <w:r>
        <w:t xml:space="preserve">CIC，第1176条3项。</w:t>
      </w:r>
    </w:p>
  </w:footnote>
  <w:footnote w:id="3475">
    <w:p>
      <w:pPr>
        <w:pStyle w:val="FootnoteText"/>
      </w:pPr>
      <w:r>
        <w:rPr>
          <w:rStyle w:val="FootnoteReference"/>
        </w:rPr>
        <w:footnoteRef/>
      </w:r>
      <w:r>
        <w:t xml:space="preserve"> </w:t>
      </w:r>
      <w:r>
        <w:t xml:space="preserve">太5:21。</w:t>
      </w:r>
    </w:p>
  </w:footnote>
  <w:footnote w:id="3476">
    <w:p>
      <w:pPr>
        <w:pStyle w:val="FootnoteText"/>
      </w:pPr>
      <w:r>
        <w:rPr>
          <w:rStyle w:val="FootnoteReference"/>
        </w:rPr>
        <w:footnoteRef/>
      </w:r>
      <w:r>
        <w:t xml:space="preserve"> </w:t>
      </w:r>
      <w:r>
        <w:t xml:space="preserve">圣托马斯·阿奎那，</w:t>
      </w:r>
      <w:r>
        <w:rPr>
          <w:i/>
          <w:iCs/>
        </w:rPr>
        <w:t xml:space="preserve">Summa theologiae</w:t>
      </w:r>
      <w:r>
        <w:t xml:space="preserve"> </w:t>
      </w:r>
      <w:r>
        <w:t xml:space="preserve">II-II,158,1 ad 3。</w:t>
      </w:r>
    </w:p>
  </w:footnote>
  <w:footnote w:id="3477">
    <w:p>
      <w:pPr>
        <w:pStyle w:val="FootnoteText"/>
      </w:pPr>
      <w:r>
        <w:rPr>
          <w:rStyle w:val="FootnoteReference"/>
        </w:rPr>
        <w:footnoteRef/>
      </w:r>
      <w:r>
        <w:t xml:space="preserve"> </w:t>
      </w:r>
      <w:r>
        <w:t xml:space="preserve">太5:22。</w:t>
      </w:r>
    </w:p>
  </w:footnote>
  <w:footnote w:id="3478">
    <w:p>
      <w:pPr>
        <w:pStyle w:val="FootnoteText"/>
      </w:pPr>
      <w:r>
        <w:rPr>
          <w:rStyle w:val="FootnoteReference"/>
        </w:rPr>
        <w:footnoteRef/>
      </w:r>
      <w:r>
        <w:t xml:space="preserve"> </w:t>
      </w:r>
      <w:r>
        <w:t xml:space="preserve">太5:44-45。</w:t>
      </w:r>
    </w:p>
  </w:footnote>
  <w:footnote w:id="3479">
    <w:p>
      <w:pPr>
        <w:pStyle w:val="FootnoteText"/>
      </w:pPr>
      <w:r>
        <w:rPr>
          <w:rStyle w:val="FootnoteReference"/>
        </w:rPr>
        <w:footnoteRef/>
      </w:r>
      <w:r>
        <w:t xml:space="preserve"> </w:t>
      </w:r>
      <w:r>
        <w:t xml:space="preserve">圣奥古斯丁，</w:t>
      </w:r>
      <w:r>
        <w:rPr>
          <w:i/>
          <w:iCs/>
        </w:rPr>
        <w:t xml:space="preserve">De civitate Dei</w:t>
      </w:r>
      <w:r>
        <w:t xml:space="preserve"> </w:t>
      </w:r>
      <w:r>
        <w:t xml:space="preserve">19,13,1：PL 41,640。</w:t>
      </w:r>
    </w:p>
  </w:footnote>
  <w:footnote w:id="3480">
    <w:p>
      <w:pPr>
        <w:pStyle w:val="FootnoteText"/>
      </w:pPr>
      <w:r>
        <w:rPr>
          <w:rStyle w:val="FootnoteReference"/>
        </w:rPr>
        <w:footnoteRef/>
      </w:r>
      <w:r>
        <w:t xml:space="preserve"> </w:t>
      </w:r>
      <w:r>
        <w:t xml:space="preserve">参赛32:17；GS 78 §§ 1-2。</w:t>
      </w:r>
    </w:p>
  </w:footnote>
  <w:footnote w:id="3481">
    <w:p>
      <w:pPr>
        <w:pStyle w:val="FootnoteText"/>
      </w:pPr>
      <w:r>
        <w:rPr>
          <w:rStyle w:val="FootnoteReference"/>
        </w:rPr>
        <w:footnoteRef/>
      </w:r>
      <w:r>
        <w:t xml:space="preserve"> </w:t>
      </w:r>
      <w:r>
        <w:t xml:space="preserve">赛9:5。</w:t>
      </w:r>
    </w:p>
  </w:footnote>
  <w:footnote w:id="3482">
    <w:p>
      <w:pPr>
        <w:pStyle w:val="FootnoteText"/>
      </w:pPr>
      <w:r>
        <w:rPr>
          <w:rStyle w:val="FootnoteReference"/>
        </w:rPr>
        <w:footnoteRef/>
      </w:r>
      <w:r>
        <w:t xml:space="preserve"> </w:t>
      </w:r>
      <w:r>
        <w:t xml:space="preserve">弗2:16（J.B.）；参西1:20-22。</w:t>
      </w:r>
    </w:p>
  </w:footnote>
  <w:footnote w:id="3483">
    <w:p>
      <w:pPr>
        <w:pStyle w:val="FootnoteText"/>
      </w:pPr>
      <w:r>
        <w:rPr>
          <w:rStyle w:val="FootnoteReference"/>
        </w:rPr>
        <w:footnoteRef/>
      </w:r>
      <w:r>
        <w:t xml:space="preserve"> </w:t>
      </w:r>
      <w:r>
        <w:t xml:space="preserve">弗2:14。</w:t>
      </w:r>
    </w:p>
  </w:footnote>
  <w:footnote w:id="3484">
    <w:p>
      <w:pPr>
        <w:pStyle w:val="FootnoteText"/>
      </w:pPr>
      <w:r>
        <w:rPr>
          <w:rStyle w:val="FootnoteReference"/>
        </w:rPr>
        <w:footnoteRef/>
      </w:r>
      <w:r>
        <w:t xml:space="preserve"> </w:t>
      </w:r>
      <w:r>
        <w:t xml:space="preserve">太5:9。</w:t>
      </w:r>
    </w:p>
  </w:footnote>
  <w:footnote w:id="3485">
    <w:p>
      <w:pPr>
        <w:pStyle w:val="FootnoteText"/>
      </w:pPr>
      <w:r>
        <w:rPr>
          <w:rStyle w:val="FootnoteReference"/>
        </w:rPr>
        <w:footnoteRef/>
      </w:r>
      <w:r>
        <w:t xml:space="preserve"> </w:t>
      </w:r>
      <w:r>
        <w:t xml:space="preserve">参GS 78 § 5。</w:t>
      </w:r>
    </w:p>
  </w:footnote>
  <w:footnote w:id="3486">
    <w:p>
      <w:pPr>
        <w:pStyle w:val="FootnoteText"/>
      </w:pPr>
      <w:r>
        <w:rPr>
          <w:rStyle w:val="FootnoteReference"/>
        </w:rPr>
        <w:footnoteRef/>
      </w:r>
      <w:r>
        <w:t xml:space="preserve"> </w:t>
      </w:r>
      <w:r>
        <w:t xml:space="preserve">参GS 81 § 4。</w:t>
      </w:r>
    </w:p>
  </w:footnote>
  <w:footnote w:id="3487">
    <w:p>
      <w:pPr>
        <w:pStyle w:val="FootnoteText"/>
      </w:pPr>
      <w:r>
        <w:rPr>
          <w:rStyle w:val="FootnoteReference"/>
        </w:rPr>
        <w:footnoteRef/>
      </w:r>
      <w:r>
        <w:t xml:space="preserve"> </w:t>
      </w:r>
      <w:r>
        <w:t xml:space="preserve">GS 79 § 4。</w:t>
      </w:r>
    </w:p>
  </w:footnote>
  <w:footnote w:id="3488">
    <w:p>
      <w:pPr>
        <w:pStyle w:val="FootnoteText"/>
      </w:pPr>
      <w:r>
        <w:rPr>
          <w:rStyle w:val="FootnoteReference"/>
        </w:rPr>
        <w:footnoteRef/>
      </w:r>
      <w:r>
        <w:t xml:space="preserve"> </w:t>
      </w:r>
      <w:r>
        <w:t xml:space="preserve">参GS 79 § 5。</w:t>
      </w:r>
    </w:p>
  </w:footnote>
  <w:footnote w:id="3489">
    <w:p>
      <w:pPr>
        <w:pStyle w:val="FootnoteText"/>
      </w:pPr>
      <w:r>
        <w:rPr>
          <w:rStyle w:val="FootnoteReference"/>
        </w:rPr>
        <w:footnoteRef/>
      </w:r>
      <w:r>
        <w:t xml:space="preserve"> </w:t>
      </w:r>
      <w:r>
        <w:t xml:space="preserve">参GS 79 § 3。</w:t>
      </w:r>
    </w:p>
  </w:footnote>
  <w:footnote w:id="3490">
    <w:p>
      <w:pPr>
        <w:pStyle w:val="FootnoteText"/>
      </w:pPr>
      <w:r>
        <w:rPr>
          <w:rStyle w:val="FootnoteReference"/>
        </w:rPr>
        <w:footnoteRef/>
      </w:r>
      <w:r>
        <w:t xml:space="preserve"> </w:t>
      </w:r>
      <w:r>
        <w:t xml:space="preserve">GS 79 § 4。</w:t>
      </w:r>
    </w:p>
  </w:footnote>
  <w:footnote w:id="3491">
    <w:p>
      <w:pPr>
        <w:pStyle w:val="FootnoteText"/>
      </w:pPr>
      <w:r>
        <w:rPr>
          <w:rStyle w:val="FootnoteReference"/>
        </w:rPr>
        <w:footnoteRef/>
      </w:r>
      <w:r>
        <w:t xml:space="preserve"> </w:t>
      </w:r>
      <w:r>
        <w:t xml:space="preserve">GS 80 § 3。</w:t>
      </w:r>
    </w:p>
  </w:footnote>
  <w:footnote w:id="3492">
    <w:p>
      <w:pPr>
        <w:pStyle w:val="FootnoteText"/>
      </w:pPr>
      <w:r>
        <w:rPr>
          <w:rStyle w:val="FootnoteReference"/>
        </w:rPr>
        <w:footnoteRef/>
      </w:r>
      <w:r>
        <w:t xml:space="preserve"> </w:t>
      </w:r>
      <w:r>
        <w:t xml:space="preserve">参保禄六世，</w:t>
      </w:r>
      <w:r>
        <w:rPr>
          <w:i/>
          <w:iCs/>
        </w:rPr>
        <w:t xml:space="preserve">Populorum progressio</w:t>
      </w:r>
      <w:r>
        <w:t xml:space="preserve"> </w:t>
      </w:r>
      <w:r>
        <w:t xml:space="preserve">53。</w:t>
      </w:r>
    </w:p>
  </w:footnote>
  <w:footnote w:id="3493">
    <w:p>
      <w:pPr>
        <w:pStyle w:val="FootnoteText"/>
      </w:pPr>
      <w:r>
        <w:rPr>
          <w:rStyle w:val="FootnoteReference"/>
        </w:rPr>
        <w:footnoteRef/>
      </w:r>
      <w:r>
        <w:t xml:space="preserve"> </w:t>
      </w:r>
      <w:r>
        <w:t xml:space="preserve">GS 78 § 6；参赛2:4。</w:t>
      </w:r>
    </w:p>
  </w:footnote>
  <w:footnote w:id="3496">
    <w:p>
      <w:pPr>
        <w:pStyle w:val="FootnoteText"/>
      </w:pPr>
      <w:r>
        <w:rPr>
          <w:rStyle w:val="FootnoteReference"/>
        </w:rPr>
        <w:footnoteRef/>
      </w:r>
      <w:r>
        <w:t xml:space="preserve"> </w:t>
      </w:r>
      <w:r>
        <w:t xml:space="preserve">GS 81 § 3。</w:t>
      </w:r>
    </w:p>
  </w:footnote>
  <w:footnote w:id="3498">
    <w:p>
      <w:pPr>
        <w:pStyle w:val="FootnoteText"/>
      </w:pPr>
      <w:r>
        <w:rPr>
          <w:rStyle w:val="FootnoteReference"/>
        </w:rPr>
        <w:footnoteRef/>
      </w:r>
      <w:r>
        <w:t xml:space="preserve"> </w:t>
      </w:r>
      <w:r>
        <w:t xml:space="preserve">出20:14。</w:t>
      </w:r>
    </w:p>
  </w:footnote>
  <w:footnote w:id="3499">
    <w:p>
      <w:pPr>
        <w:pStyle w:val="FootnoteText"/>
      </w:pPr>
      <w:r>
        <w:rPr>
          <w:rStyle w:val="FootnoteReference"/>
        </w:rPr>
        <w:footnoteRef/>
      </w:r>
      <w:r>
        <w:t xml:space="preserve"> </w:t>
      </w:r>
      <w:r>
        <w:t xml:space="preserve">太5:27-28。</w:t>
      </w:r>
    </w:p>
  </w:footnote>
  <w:footnote w:id="3500">
    <w:p>
      <w:pPr>
        <w:pStyle w:val="FootnoteText"/>
      </w:pPr>
      <w:r>
        <w:rPr>
          <w:rStyle w:val="FootnoteReference"/>
        </w:rPr>
        <w:footnoteRef/>
      </w:r>
      <w:r>
        <w:t xml:space="preserve"> </w:t>
      </w:r>
      <w:r>
        <w:t xml:space="preserve">若望保禄二世，宗座劝谕</w:t>
      </w:r>
      <w:r>
        <w:rPr>
          <w:i/>
          <w:iCs/>
        </w:rPr>
        <w:t xml:space="preserve">Familiaris consortio</w:t>
      </w:r>
      <w:r>
        <w:t xml:space="preserve"> </w:t>
      </w:r>
      <w:r>
        <w:t xml:space="preserve">11。</w:t>
      </w:r>
    </w:p>
  </w:footnote>
  <w:footnote w:id="3501">
    <w:p>
      <w:pPr>
        <w:pStyle w:val="FootnoteText"/>
      </w:pPr>
      <w:r>
        <w:rPr>
          <w:rStyle w:val="FootnoteReference"/>
        </w:rPr>
        <w:footnoteRef/>
      </w:r>
      <w:r>
        <w:t xml:space="preserve"> </w:t>
      </w:r>
      <w:r>
        <w:t xml:space="preserve">创1:27。</w:t>
      </w:r>
    </w:p>
  </w:footnote>
  <w:footnote w:id="3502">
    <w:p>
      <w:pPr>
        <w:pStyle w:val="FootnoteText"/>
      </w:pPr>
      <w:r>
        <w:rPr>
          <w:rStyle w:val="FootnoteReference"/>
        </w:rPr>
        <w:footnoteRef/>
      </w:r>
      <w:r>
        <w:t xml:space="preserve"> </w:t>
      </w:r>
      <w:r>
        <w:t xml:space="preserve">创1:28。</w:t>
      </w:r>
    </w:p>
  </w:footnote>
  <w:footnote w:id="3503">
    <w:p>
      <w:pPr>
        <w:pStyle w:val="FootnoteText"/>
      </w:pPr>
      <w:r>
        <w:rPr>
          <w:rStyle w:val="FootnoteReference"/>
        </w:rPr>
        <w:footnoteRef/>
      </w:r>
      <w:r>
        <w:t xml:space="preserve"> </w:t>
      </w:r>
      <w:r>
        <w:t xml:space="preserve">创5:1-2。</w:t>
      </w:r>
    </w:p>
  </w:footnote>
  <w:footnote w:id="3504">
    <w:p>
      <w:pPr>
        <w:pStyle w:val="FootnoteText"/>
      </w:pPr>
      <w:r>
        <w:rPr>
          <w:rStyle w:val="FootnoteReference"/>
        </w:rPr>
        <w:footnoteRef/>
      </w:r>
      <w:r>
        <w:t xml:space="preserve"> </w:t>
      </w:r>
      <w:r>
        <w:t xml:space="preserve">FC 22。</w:t>
      </w:r>
    </w:p>
  </w:footnote>
  <w:footnote w:id="3505">
    <w:p>
      <w:pPr>
        <w:pStyle w:val="FootnoteText"/>
      </w:pPr>
      <w:r>
        <w:rPr>
          <w:rStyle w:val="FootnoteReference"/>
        </w:rPr>
        <w:footnoteRef/>
      </w:r>
      <w:r>
        <w:t xml:space="preserve"> </w:t>
      </w:r>
      <w:r>
        <w:t xml:space="preserve">MD 6。</w:t>
      </w:r>
    </w:p>
  </w:footnote>
  <w:footnote w:id="3506">
    <w:p>
      <w:pPr>
        <w:pStyle w:val="FootnoteText"/>
      </w:pPr>
      <w:r>
        <w:rPr>
          <w:rStyle w:val="FootnoteReference"/>
        </w:rPr>
        <w:footnoteRef/>
      </w:r>
      <w:r>
        <w:t xml:space="preserve"> </w:t>
      </w:r>
      <w:r>
        <w:t xml:space="preserve">创2:24。</w:t>
      </w:r>
    </w:p>
  </w:footnote>
  <w:footnote w:id="3507">
    <w:p>
      <w:pPr>
        <w:pStyle w:val="FootnoteText"/>
      </w:pPr>
      <w:r>
        <w:rPr>
          <w:rStyle w:val="FootnoteReference"/>
        </w:rPr>
        <w:footnoteRef/>
      </w:r>
      <w:r>
        <w:t xml:space="preserve"> </w:t>
      </w:r>
      <w:r>
        <w:t xml:space="preserve">参创4:1-2,25-26；5:1。</w:t>
      </w:r>
    </w:p>
  </w:footnote>
  <w:footnote w:id="3508">
    <w:p>
      <w:pPr>
        <w:pStyle w:val="FootnoteText"/>
      </w:pPr>
      <w:r>
        <w:rPr>
          <w:rStyle w:val="FootnoteReference"/>
        </w:rPr>
        <w:footnoteRef/>
      </w:r>
      <w:r>
        <w:t xml:space="preserve"> </w:t>
      </w:r>
      <w:r>
        <w:t xml:space="preserve">太5:27-28。</w:t>
      </w:r>
    </w:p>
  </w:footnote>
  <w:footnote w:id="3509">
    <w:p>
      <w:pPr>
        <w:pStyle w:val="FootnoteText"/>
      </w:pPr>
      <w:r>
        <w:rPr>
          <w:rStyle w:val="FootnoteReference"/>
        </w:rPr>
        <w:footnoteRef/>
      </w:r>
      <w:r>
        <w:t xml:space="preserve"> </w:t>
      </w:r>
      <w:r>
        <w:t xml:space="preserve">参太19:6。</w:t>
      </w:r>
    </w:p>
  </w:footnote>
  <w:footnote w:id="3511">
    <w:p>
      <w:pPr>
        <w:pStyle w:val="FootnoteText"/>
      </w:pPr>
      <w:r>
        <w:rPr>
          <w:rStyle w:val="FootnoteReference"/>
        </w:rPr>
        <w:footnoteRef/>
      </w:r>
      <w:r>
        <w:t xml:space="preserve"> </w:t>
      </w:r>
      <w:r>
        <w:t xml:space="preserve">参太5:37。</w:t>
      </w:r>
    </w:p>
  </w:footnote>
  <w:footnote w:id="3512">
    <w:p>
      <w:pPr>
        <w:pStyle w:val="FootnoteText"/>
      </w:pPr>
      <w:r>
        <w:rPr>
          <w:rStyle w:val="FootnoteReference"/>
        </w:rPr>
        <w:footnoteRef/>
      </w:r>
      <w:r>
        <w:t xml:space="preserve"> </w:t>
      </w:r>
      <w:r>
        <w:t xml:space="preserve">参德1:22。</w:t>
      </w:r>
    </w:p>
  </w:footnote>
  <w:footnote w:id="3513">
    <w:p>
      <w:pPr>
        <w:pStyle w:val="FootnoteText"/>
      </w:pPr>
      <w:r>
        <w:rPr>
          <w:rStyle w:val="FootnoteReference"/>
        </w:rPr>
        <w:footnoteRef/>
      </w:r>
      <w:r>
        <w:t xml:space="preserve"> </w:t>
      </w:r>
      <w:r>
        <w:t xml:space="preserve">GS 17。</w:t>
      </w:r>
    </w:p>
  </w:footnote>
  <w:footnote w:id="3514">
    <w:p>
      <w:pPr>
        <w:pStyle w:val="FootnoteText"/>
      </w:pPr>
      <w:r>
        <w:rPr>
          <w:rStyle w:val="FootnoteReference"/>
        </w:rPr>
        <w:footnoteRef/>
      </w:r>
      <w:r>
        <w:t xml:space="preserve"> </w:t>
      </w:r>
      <w:r>
        <w:t xml:space="preserve">圣奥古斯丁，</w:t>
      </w:r>
      <w:r>
        <w:rPr>
          <w:i/>
          <w:iCs/>
        </w:rPr>
        <w:t xml:space="preserve">Confessiones</w:t>
      </w:r>
      <w:r>
        <w:t xml:space="preserve"> </w:t>
      </w:r>
      <w:r>
        <w:t xml:space="preserve">10,29,40：PL 32,796。</w:t>
      </w:r>
    </w:p>
  </w:footnote>
  <w:footnote w:id="3515">
    <w:p>
      <w:pPr>
        <w:pStyle w:val="FootnoteText"/>
      </w:pPr>
      <w:r>
        <w:rPr>
          <w:rStyle w:val="FootnoteReference"/>
        </w:rPr>
        <w:footnoteRef/>
      </w:r>
      <w:r>
        <w:t xml:space="preserve"> </w:t>
      </w:r>
      <w:r>
        <w:t xml:space="preserve">参多2:1-6。</w:t>
      </w:r>
    </w:p>
  </w:footnote>
  <w:footnote w:id="3516">
    <w:p>
      <w:pPr>
        <w:pStyle w:val="FootnoteText"/>
      </w:pPr>
      <w:r>
        <w:rPr>
          <w:rStyle w:val="FootnoteReference"/>
        </w:rPr>
        <w:footnoteRef/>
      </w:r>
      <w:r>
        <w:t xml:space="preserve"> </w:t>
      </w:r>
      <w:r>
        <w:t xml:space="preserve">FC 9。</w:t>
      </w:r>
    </w:p>
  </w:footnote>
  <w:footnote w:id="3517">
    <w:p>
      <w:pPr>
        <w:pStyle w:val="FootnoteText"/>
      </w:pPr>
      <w:r>
        <w:rPr>
          <w:rStyle w:val="FootnoteReference"/>
        </w:rPr>
        <w:footnoteRef/>
      </w:r>
      <w:r>
        <w:t xml:space="preserve"> </w:t>
      </w:r>
      <w:r>
        <w:t xml:space="preserve">GS 25 § 1。</w:t>
      </w:r>
    </w:p>
  </w:footnote>
  <w:footnote w:id="3518">
    <w:p>
      <w:pPr>
        <w:pStyle w:val="FootnoteText"/>
      </w:pPr>
      <w:r>
        <w:rPr>
          <w:rStyle w:val="FootnoteReference"/>
        </w:rPr>
        <w:footnoteRef/>
      </w:r>
      <w:r>
        <w:t xml:space="preserve"> </w:t>
      </w:r>
      <w:r>
        <w:t xml:space="preserve">参加5:22。</w:t>
      </w:r>
    </w:p>
  </w:footnote>
  <w:footnote w:id="3519">
    <w:p>
      <w:pPr>
        <w:pStyle w:val="FootnoteText"/>
      </w:pPr>
      <w:r>
        <w:rPr>
          <w:rStyle w:val="FootnoteReference"/>
        </w:rPr>
        <w:footnoteRef/>
      </w:r>
      <w:r>
        <w:t xml:space="preserve"> </w:t>
      </w:r>
      <w:r>
        <w:t xml:space="preserve">参约壹3:3。</w:t>
      </w:r>
    </w:p>
  </w:footnote>
  <w:footnote w:id="3520">
    <w:p>
      <w:pPr>
        <w:pStyle w:val="FootnoteText"/>
      </w:pPr>
      <w:r>
        <w:rPr>
          <w:rStyle w:val="FootnoteReference"/>
        </w:rPr>
        <w:footnoteRef/>
      </w:r>
      <w:r>
        <w:t xml:space="preserve"> </w:t>
      </w:r>
      <w:r>
        <w:t xml:space="preserve">参约15:15。</w:t>
      </w:r>
    </w:p>
  </w:footnote>
  <w:footnote w:id="3521">
    <w:p>
      <w:pPr>
        <w:pStyle w:val="FootnoteText"/>
      </w:pPr>
      <w:r>
        <w:rPr>
          <w:rStyle w:val="FootnoteReference"/>
        </w:rPr>
        <w:footnoteRef/>
      </w:r>
      <w:r>
        <w:t xml:space="preserve"> </w:t>
      </w:r>
      <w:r>
        <w:t xml:space="preserve">加3:27。</w:t>
      </w:r>
    </w:p>
  </w:footnote>
  <w:footnote w:id="3522">
    <w:p>
      <w:pPr>
        <w:pStyle w:val="FootnoteText"/>
      </w:pPr>
      <w:r>
        <w:rPr>
          <w:rStyle w:val="FootnoteReference"/>
        </w:rPr>
        <w:footnoteRef/>
      </w:r>
      <w:r>
        <w:t xml:space="preserve"> </w:t>
      </w:r>
      <w:r>
        <w:t xml:space="preserve">GS 48 § 1。</w:t>
      </w:r>
    </w:p>
  </w:footnote>
  <w:footnote w:id="3523">
    <w:p>
      <w:pPr>
        <w:pStyle w:val="FootnoteText"/>
      </w:pPr>
      <w:r>
        <w:rPr>
          <w:rStyle w:val="FootnoteReference"/>
        </w:rPr>
        <w:footnoteRef/>
      </w:r>
      <w:r>
        <w:t xml:space="preserve"> </w:t>
      </w:r>
      <w:r>
        <w:t xml:space="preserve">信理部，</w:t>
      </w:r>
      <w:r>
        <w:rPr>
          <w:i/>
          <w:iCs/>
        </w:rPr>
        <w:t xml:space="preserve">Persona humana</w:t>
      </w:r>
      <w:r>
        <w:t xml:space="preserve"> </w:t>
      </w:r>
      <w:r>
        <w:t xml:space="preserve">9。</w:t>
      </w:r>
    </w:p>
  </w:footnote>
  <w:footnote w:id="3524">
    <w:p>
      <w:pPr>
        <w:pStyle w:val="FootnoteText"/>
      </w:pPr>
      <w:r>
        <w:rPr>
          <w:rStyle w:val="FootnoteReference"/>
        </w:rPr>
        <w:footnoteRef/>
      </w:r>
      <w:r>
        <w:t xml:space="preserve"> </w:t>
      </w:r>
      <w:r>
        <w:rPr>
          <w:i/>
          <w:iCs/>
        </w:rPr>
        <w:t xml:space="preserve">Persona humana</w:t>
      </w:r>
      <w:r>
        <w:t xml:space="preserve"> </w:t>
      </w:r>
      <w:r>
        <w:t xml:space="preserve">9。</w:t>
      </w:r>
    </w:p>
  </w:footnote>
  <w:footnote w:id="3525">
    <w:p>
      <w:pPr>
        <w:pStyle w:val="FootnoteText"/>
      </w:pPr>
      <w:r>
        <w:rPr>
          <w:rStyle w:val="FootnoteReference"/>
        </w:rPr>
        <w:footnoteRef/>
      </w:r>
      <w:r>
        <w:t xml:space="preserve"> </w:t>
      </w:r>
      <w:r>
        <w:t xml:space="preserve">参林前6:15-20。</w:t>
      </w:r>
    </w:p>
  </w:footnote>
  <w:footnote w:id="3526">
    <w:p>
      <w:pPr>
        <w:pStyle w:val="FootnoteText"/>
      </w:pPr>
      <w:r>
        <w:rPr>
          <w:rStyle w:val="FootnoteReference"/>
        </w:rPr>
        <w:footnoteRef/>
      </w:r>
      <w:r>
        <w:t xml:space="preserve"> </w:t>
      </w:r>
      <w:r>
        <w:t xml:space="preserve">参创19:1-29；罗1:24-27；林前6:10；提前1:10。</w:t>
      </w:r>
    </w:p>
  </w:footnote>
  <w:footnote w:id="3527">
    <w:p>
      <w:pPr>
        <w:pStyle w:val="FootnoteText"/>
      </w:pPr>
      <w:r>
        <w:rPr>
          <w:rStyle w:val="FootnoteReference"/>
        </w:rPr>
        <w:footnoteRef/>
      </w:r>
      <w:r>
        <w:t xml:space="preserve"> </w:t>
      </w:r>
      <w:r>
        <w:t xml:space="preserve">信理部，</w:t>
      </w:r>
      <w:r>
        <w:rPr>
          <w:i/>
          <w:iCs/>
        </w:rPr>
        <w:t xml:space="preserve">Persona humana</w:t>
      </w:r>
      <w:r>
        <w:t xml:space="preserve"> </w:t>
      </w:r>
      <w:r>
        <w:t xml:space="preserve">8。</w:t>
      </w:r>
    </w:p>
  </w:footnote>
  <w:footnote w:id="3529">
    <w:p>
      <w:pPr>
        <w:pStyle w:val="FootnoteText"/>
      </w:pPr>
      <w:r>
        <w:rPr>
          <w:rStyle w:val="FootnoteReference"/>
        </w:rPr>
        <w:footnoteRef/>
      </w:r>
      <w:r>
        <w:t xml:space="preserve"> </w:t>
      </w:r>
      <w:r>
        <w:t xml:space="preserve">信理部，训令</w:t>
      </w:r>
      <w:r>
        <w:rPr>
          <w:i/>
          <w:iCs/>
        </w:rPr>
        <w:t xml:space="preserve">Persona humana</w:t>
      </w:r>
      <w:r>
        <w:t xml:space="preserve"> </w:t>
      </w:r>
      <w:r>
        <w:t xml:space="preserve">11。</w:t>
      </w:r>
    </w:p>
  </w:footnote>
  <w:footnote w:id="3530">
    <w:p>
      <w:pPr>
        <w:pStyle w:val="FootnoteText"/>
      </w:pPr>
      <w:r>
        <w:rPr>
          <w:rStyle w:val="FootnoteReference"/>
        </w:rPr>
        <w:footnoteRef/>
      </w:r>
      <w:r>
        <w:t xml:space="preserve"> </w:t>
      </w:r>
      <w:r>
        <w:t xml:space="preserve">多8:4-9。</w:t>
      </w:r>
    </w:p>
  </w:footnote>
  <w:footnote w:id="3531">
    <w:p>
      <w:pPr>
        <w:pStyle w:val="FootnoteText"/>
      </w:pPr>
      <w:r>
        <w:rPr>
          <w:rStyle w:val="FootnoteReference"/>
        </w:rPr>
        <w:footnoteRef/>
      </w:r>
      <w:r>
        <w:t xml:space="preserve"> </w:t>
      </w:r>
      <w:r>
        <w:t xml:space="preserve">GS 49 § 2。</w:t>
      </w:r>
    </w:p>
  </w:footnote>
  <w:footnote w:id="3532">
    <w:p>
      <w:pPr>
        <w:pStyle w:val="FootnoteText"/>
      </w:pPr>
      <w:r>
        <w:rPr>
          <w:rStyle w:val="FootnoteReference"/>
        </w:rPr>
        <w:footnoteRef/>
      </w:r>
      <w:r>
        <w:t xml:space="preserve"> </w:t>
      </w:r>
      <w:r>
        <w:t xml:space="preserve">庇护十二世，讲话，1951年10月29日。</w:t>
      </w:r>
    </w:p>
  </w:footnote>
  <w:footnote w:id="3533">
    <w:p>
      <w:pPr>
        <w:pStyle w:val="FootnoteText"/>
      </w:pPr>
      <w:r>
        <w:rPr>
          <w:rStyle w:val="FootnoteReference"/>
        </w:rPr>
        <w:footnoteRef/>
      </w:r>
      <w:r>
        <w:t xml:space="preserve"> </w:t>
      </w:r>
      <w:r>
        <w:t xml:space="preserve">GS 48 § 1。</w:t>
      </w:r>
    </w:p>
  </w:footnote>
  <w:footnote w:id="3534">
    <w:p>
      <w:pPr>
        <w:pStyle w:val="FootnoteText"/>
      </w:pPr>
      <w:r>
        <w:rPr>
          <w:rStyle w:val="FootnoteReference"/>
        </w:rPr>
        <w:footnoteRef/>
      </w:r>
      <w:r>
        <w:t xml:space="preserve"> </w:t>
      </w:r>
      <w:r>
        <w:t xml:space="preserve">参CIC，第1056条。</w:t>
      </w:r>
    </w:p>
  </w:footnote>
  <w:footnote w:id="3535">
    <w:p>
      <w:pPr>
        <w:pStyle w:val="FootnoteText"/>
      </w:pPr>
      <w:r>
        <w:rPr>
          <w:rStyle w:val="FootnoteReference"/>
        </w:rPr>
        <w:footnoteRef/>
      </w:r>
      <w:r>
        <w:t xml:space="preserve"> </w:t>
      </w:r>
      <w:r>
        <w:t xml:space="preserve">可10:9；参太19:1-12；林前7:10-11。</w:t>
      </w:r>
    </w:p>
  </w:footnote>
  <w:footnote w:id="3536">
    <w:p>
      <w:pPr>
        <w:pStyle w:val="FootnoteText"/>
      </w:pPr>
      <w:r>
        <w:rPr>
          <w:rStyle w:val="FootnoteReference"/>
        </w:rPr>
        <w:footnoteRef/>
      </w:r>
      <w:r>
        <w:t xml:space="preserve"> </w:t>
      </w:r>
      <w:r>
        <w:t xml:space="preserve">圣屈梭多模，</w:t>
      </w:r>
      <w:r>
        <w:rPr>
          <w:i/>
          <w:iCs/>
        </w:rPr>
        <w:t xml:space="preserve">Homily in Ephesians</w:t>
      </w:r>
      <w:r>
        <w:t xml:space="preserve"> </w:t>
      </w:r>
      <w:r>
        <w:t xml:space="preserve">20,8：PG 62,146-147。</w:t>
      </w:r>
    </w:p>
  </w:footnote>
  <w:footnote w:id="3537">
    <w:p>
      <w:pPr>
        <w:pStyle w:val="FootnoteText"/>
      </w:pPr>
      <w:r>
        <w:rPr>
          <w:rStyle w:val="FootnoteReference"/>
        </w:rPr>
        <w:footnoteRef/>
      </w:r>
      <w:r>
        <w:t xml:space="preserve"> </w:t>
      </w:r>
      <w:r>
        <w:t xml:space="preserve">保禄六世，</w:t>
      </w:r>
      <w:r>
        <w:rPr>
          <w:i/>
          <w:iCs/>
        </w:rPr>
        <w:t xml:space="preserve">Humanae vitae</w:t>
      </w:r>
      <w:r>
        <w:t xml:space="preserve"> </w:t>
      </w:r>
      <w:r>
        <w:t xml:space="preserve">11。</w:t>
      </w:r>
    </w:p>
  </w:footnote>
  <w:footnote w:id="3538">
    <w:p>
      <w:pPr>
        <w:pStyle w:val="FootnoteText"/>
      </w:pPr>
      <w:r>
        <w:rPr>
          <w:rStyle w:val="FootnoteReference"/>
        </w:rPr>
        <w:footnoteRef/>
      </w:r>
      <w:r>
        <w:t xml:space="preserve"> </w:t>
      </w:r>
      <w:r>
        <w:t xml:space="preserve">HV 12；参庇护十一世，通谕</w:t>
      </w:r>
      <w:r>
        <w:rPr>
          <w:i/>
          <w:iCs/>
        </w:rPr>
        <w:t xml:space="preserve">Casti connubii</w:t>
      </w:r>
      <w:r>
        <w:t xml:space="preserve">。</w:t>
      </w:r>
    </w:p>
  </w:footnote>
  <w:footnote w:id="3539">
    <w:p>
      <w:pPr>
        <w:pStyle w:val="FootnoteText"/>
      </w:pPr>
      <w:r>
        <w:rPr>
          <w:rStyle w:val="FootnoteReference"/>
        </w:rPr>
        <w:footnoteRef/>
      </w:r>
      <w:r>
        <w:t xml:space="preserve"> </w:t>
      </w:r>
      <w:r>
        <w:t xml:space="preserve">参弗3:14；太23:9。</w:t>
      </w:r>
    </w:p>
  </w:footnote>
  <w:footnote w:id="3540">
    <w:p>
      <w:pPr>
        <w:pStyle w:val="FootnoteText"/>
      </w:pPr>
      <w:r>
        <w:rPr>
          <w:rStyle w:val="FootnoteReference"/>
        </w:rPr>
        <w:footnoteRef/>
      </w:r>
      <w:r>
        <w:t xml:space="preserve"> </w:t>
      </w:r>
      <w:r>
        <w:t xml:space="preserve">GS 50 § 2。</w:t>
      </w:r>
    </w:p>
  </w:footnote>
  <w:footnote w:id="3541">
    <w:p>
      <w:pPr>
        <w:pStyle w:val="FootnoteText"/>
      </w:pPr>
      <w:r>
        <w:rPr>
          <w:rStyle w:val="FootnoteReference"/>
        </w:rPr>
        <w:footnoteRef/>
      </w:r>
      <w:r>
        <w:t xml:space="preserve"> </w:t>
      </w:r>
      <w:r>
        <w:t xml:space="preserve">GS 51 § 3。</w:t>
      </w:r>
    </w:p>
  </w:footnote>
  <w:footnote w:id="3542">
    <w:p>
      <w:pPr>
        <w:pStyle w:val="FootnoteText"/>
      </w:pPr>
      <w:r>
        <w:rPr>
          <w:rStyle w:val="FootnoteReference"/>
        </w:rPr>
        <w:footnoteRef/>
      </w:r>
      <w:r>
        <w:t xml:space="preserve"> </w:t>
      </w:r>
      <w:r>
        <w:t xml:space="preserve">参HV 12。</w:t>
      </w:r>
    </w:p>
  </w:footnote>
  <w:footnote w:id="3543">
    <w:p>
      <w:pPr>
        <w:pStyle w:val="FootnoteText"/>
      </w:pPr>
      <w:r>
        <w:rPr>
          <w:rStyle w:val="FootnoteReference"/>
        </w:rPr>
        <w:footnoteRef/>
      </w:r>
      <w:r>
        <w:t xml:space="preserve"> </w:t>
      </w:r>
      <w:r>
        <w:t xml:space="preserve">HV 16。</w:t>
      </w:r>
    </w:p>
  </w:footnote>
  <w:footnote w:id="3544">
    <w:p>
      <w:pPr>
        <w:pStyle w:val="FootnoteText"/>
      </w:pPr>
      <w:r>
        <w:rPr>
          <w:rStyle w:val="FootnoteReference"/>
        </w:rPr>
        <w:footnoteRef/>
      </w:r>
      <w:r>
        <w:t xml:space="preserve"> </w:t>
      </w:r>
      <w:r>
        <w:t xml:space="preserve">HV 14。</w:t>
      </w:r>
    </w:p>
  </w:footnote>
  <w:footnote w:id="3545">
    <w:p>
      <w:pPr>
        <w:pStyle w:val="FootnoteText"/>
      </w:pPr>
      <w:r>
        <w:rPr>
          <w:rStyle w:val="FootnoteReference"/>
        </w:rPr>
        <w:footnoteRef/>
      </w:r>
      <w:r>
        <w:t xml:space="preserve"> </w:t>
      </w:r>
      <w:r>
        <w:t xml:space="preserve">若望保禄二世，宗座劝谕</w:t>
      </w:r>
      <w:r>
        <w:rPr>
          <w:i/>
          <w:iCs/>
        </w:rPr>
        <w:t xml:space="preserve">Familiaris consortio</w:t>
      </w:r>
      <w:r>
        <w:t xml:space="preserve"> </w:t>
      </w:r>
      <w:r>
        <w:t xml:space="preserve">32。</w:t>
      </w:r>
    </w:p>
  </w:footnote>
  <w:footnote w:id="3546">
    <w:p>
      <w:pPr>
        <w:pStyle w:val="FootnoteText"/>
      </w:pPr>
      <w:r>
        <w:rPr>
          <w:rStyle w:val="FootnoteReference"/>
        </w:rPr>
        <w:footnoteRef/>
      </w:r>
      <w:r>
        <w:t xml:space="preserve"> </w:t>
      </w:r>
      <w:r>
        <w:t xml:space="preserve">GS 51 § 4。</w:t>
      </w:r>
    </w:p>
  </w:footnote>
  <w:footnote w:id="3547">
    <w:p>
      <w:pPr>
        <w:pStyle w:val="FootnoteText"/>
      </w:pPr>
      <w:r>
        <w:rPr>
          <w:rStyle w:val="FootnoteReference"/>
        </w:rPr>
        <w:footnoteRef/>
      </w:r>
      <w:r>
        <w:t xml:space="preserve"> </w:t>
      </w:r>
      <w:r>
        <w:t xml:space="preserve">参HV 23；保禄六世，</w:t>
      </w:r>
      <w:r>
        <w:rPr>
          <w:i/>
          <w:iCs/>
        </w:rPr>
        <w:t xml:space="preserve">Populorum progressio</w:t>
      </w:r>
      <w:r>
        <w:t xml:space="preserve"> </w:t>
      </w:r>
      <w:r>
        <w:t xml:space="preserve">37。</w:t>
      </w:r>
    </w:p>
  </w:footnote>
  <w:footnote w:id="3548">
    <w:p>
      <w:pPr>
        <w:pStyle w:val="FootnoteText"/>
      </w:pPr>
      <w:r>
        <w:rPr>
          <w:rStyle w:val="FootnoteReference"/>
        </w:rPr>
        <w:footnoteRef/>
      </w:r>
      <w:r>
        <w:t xml:space="preserve"> </w:t>
      </w:r>
      <w:r>
        <w:t xml:space="preserve">参GS 50 § 2。</w:t>
      </w:r>
    </w:p>
  </w:footnote>
  <w:footnote w:id="3549">
    <w:p>
      <w:pPr>
        <w:pStyle w:val="FootnoteText"/>
      </w:pPr>
      <w:r>
        <w:rPr>
          <w:rStyle w:val="FootnoteReference"/>
        </w:rPr>
        <w:footnoteRef/>
      </w:r>
      <w:r>
        <w:t xml:space="preserve"> </w:t>
      </w:r>
      <w:r>
        <w:t xml:space="preserve">创15:2。</w:t>
      </w:r>
    </w:p>
  </w:footnote>
  <w:footnote w:id="3550">
    <w:p>
      <w:pPr>
        <w:pStyle w:val="FootnoteText"/>
      </w:pPr>
      <w:r>
        <w:rPr>
          <w:rStyle w:val="FootnoteReference"/>
        </w:rPr>
        <w:footnoteRef/>
      </w:r>
      <w:r>
        <w:t xml:space="preserve"> </w:t>
      </w:r>
      <w:r>
        <w:t xml:space="preserve">创30:1。</w:t>
      </w:r>
    </w:p>
  </w:footnote>
  <w:footnote w:id="3551">
    <w:p>
      <w:pPr>
        <w:pStyle w:val="FootnoteText"/>
      </w:pPr>
      <w:r>
        <w:rPr>
          <w:rStyle w:val="FootnoteReference"/>
        </w:rPr>
        <w:footnoteRef/>
      </w:r>
      <w:r>
        <w:t xml:space="preserve"> </w:t>
      </w:r>
      <w:r>
        <w:t xml:space="preserve">信理部，</w:t>
      </w:r>
      <w:r>
        <w:rPr>
          <w:i/>
          <w:iCs/>
        </w:rPr>
        <w:t xml:space="preserve">Donum vitae</w:t>
      </w:r>
      <w:r>
        <w:t xml:space="preserve"> </w:t>
      </w:r>
      <w:r>
        <w:t xml:space="preserve">III。</w:t>
      </w:r>
    </w:p>
  </w:footnote>
  <w:footnote w:id="3552">
    <w:p>
      <w:pPr>
        <w:pStyle w:val="FootnoteText"/>
      </w:pPr>
      <w:r>
        <w:rPr>
          <w:rStyle w:val="FootnoteReference"/>
        </w:rPr>
        <w:footnoteRef/>
      </w:r>
      <w:r>
        <w:t xml:space="preserve"> </w:t>
      </w:r>
      <w:r>
        <w:rPr>
          <w:i/>
          <w:iCs/>
        </w:rPr>
        <w:t xml:space="preserve">Donum vitae</w:t>
      </w:r>
      <w:r>
        <w:t xml:space="preserve"> </w:t>
      </w:r>
      <w:r>
        <w:t xml:space="preserve">II,1。</w:t>
      </w:r>
    </w:p>
  </w:footnote>
  <w:footnote w:id="3553">
    <w:p>
      <w:pPr>
        <w:pStyle w:val="FootnoteText"/>
      </w:pPr>
      <w:r>
        <w:rPr>
          <w:rStyle w:val="FootnoteReference"/>
        </w:rPr>
        <w:footnoteRef/>
      </w:r>
      <w:r>
        <w:t xml:space="preserve"> </w:t>
      </w:r>
      <w:r>
        <w:rPr>
          <w:i/>
          <w:iCs/>
        </w:rPr>
        <w:t xml:space="preserve">Donum vitae</w:t>
      </w:r>
      <w:r>
        <w:t xml:space="preserve"> </w:t>
      </w:r>
      <w:r>
        <w:t xml:space="preserve">II,5。</w:t>
      </w:r>
    </w:p>
  </w:footnote>
  <w:footnote w:id="3554">
    <w:p>
      <w:pPr>
        <w:pStyle w:val="FootnoteText"/>
      </w:pPr>
      <w:r>
        <w:rPr>
          <w:rStyle w:val="FootnoteReference"/>
        </w:rPr>
        <w:footnoteRef/>
      </w:r>
      <w:r>
        <w:t xml:space="preserve"> </w:t>
      </w:r>
      <w:r>
        <w:rPr>
          <w:i/>
          <w:iCs/>
        </w:rPr>
        <w:t xml:space="preserve">Donum vitae</w:t>
      </w:r>
      <w:r>
        <w:t xml:space="preserve"> </w:t>
      </w:r>
      <w:r>
        <w:t xml:space="preserve">II,5。</w:t>
      </w:r>
    </w:p>
  </w:footnote>
  <w:footnote w:id="3555">
    <w:p>
      <w:pPr>
        <w:pStyle w:val="FootnoteText"/>
      </w:pPr>
      <w:r>
        <w:rPr>
          <w:rStyle w:val="FootnoteReference"/>
        </w:rPr>
        <w:footnoteRef/>
      </w:r>
      <w:r>
        <w:t xml:space="preserve"> </w:t>
      </w:r>
      <w:r>
        <w:rPr>
          <w:i/>
          <w:iCs/>
        </w:rPr>
        <w:t xml:space="preserve">Donum vitae</w:t>
      </w:r>
      <w:r>
        <w:t xml:space="preserve"> </w:t>
      </w:r>
      <w:r>
        <w:t xml:space="preserve">II,8。</w:t>
      </w:r>
    </w:p>
  </w:footnote>
  <w:footnote w:id="3557">
    <w:p>
      <w:pPr>
        <w:pStyle w:val="FootnoteText"/>
      </w:pPr>
      <w:r>
        <w:rPr>
          <w:rStyle w:val="FootnoteReference"/>
        </w:rPr>
        <w:footnoteRef/>
      </w:r>
      <w:r>
        <w:t xml:space="preserve"> </w:t>
      </w:r>
      <w:r>
        <w:t xml:space="preserve">太5:27-28。</w:t>
      </w:r>
    </w:p>
  </w:footnote>
  <w:footnote w:id="3558">
    <w:p>
      <w:pPr>
        <w:pStyle w:val="FootnoteText"/>
      </w:pPr>
      <w:r>
        <w:rPr>
          <w:rStyle w:val="FootnoteReference"/>
        </w:rPr>
        <w:footnoteRef/>
      </w:r>
      <w:r>
        <w:t xml:space="preserve"> </w:t>
      </w:r>
      <w:r>
        <w:t xml:space="preserve">参太5:32；19:6；可10:11；林前6:9-10。</w:t>
      </w:r>
    </w:p>
  </w:footnote>
  <w:footnote w:id="3559">
    <w:p>
      <w:pPr>
        <w:pStyle w:val="FootnoteText"/>
      </w:pPr>
      <w:r>
        <w:rPr>
          <w:rStyle w:val="FootnoteReference"/>
        </w:rPr>
        <w:footnoteRef/>
      </w:r>
      <w:r>
        <w:t xml:space="preserve"> </w:t>
      </w:r>
      <w:r>
        <w:t xml:space="preserve">参何2:7；耶5:7；13:27。</w:t>
      </w:r>
    </w:p>
  </w:footnote>
  <w:footnote w:id="3560">
    <w:p>
      <w:pPr>
        <w:pStyle w:val="FootnoteText"/>
      </w:pPr>
      <w:r>
        <w:rPr>
          <w:rStyle w:val="FootnoteReference"/>
        </w:rPr>
        <w:footnoteRef/>
      </w:r>
      <w:r>
        <w:t xml:space="preserve"> </w:t>
      </w:r>
      <w:r>
        <w:t xml:space="preserve">参太5:31-32；19:3-9；可10:6-12；路16:18。</w:t>
      </w:r>
    </w:p>
  </w:footnote>
  <w:footnote w:id="3561">
    <w:p>
      <w:pPr>
        <w:pStyle w:val="FootnoteText"/>
      </w:pPr>
      <w:r>
        <w:rPr>
          <w:rStyle w:val="FootnoteReference"/>
        </w:rPr>
        <w:footnoteRef/>
      </w:r>
      <w:r>
        <w:t xml:space="preserve"> </w:t>
      </w:r>
      <w:r>
        <w:t xml:space="preserve">参太19:7-9。</w:t>
      </w:r>
    </w:p>
  </w:footnote>
  <w:footnote w:id="3562">
    <w:p>
      <w:pPr>
        <w:pStyle w:val="FootnoteText"/>
      </w:pPr>
      <w:r>
        <w:rPr>
          <w:rStyle w:val="FootnoteReference"/>
        </w:rPr>
        <w:footnoteRef/>
      </w:r>
      <w:r>
        <w:t xml:space="preserve"> </w:t>
      </w:r>
      <w:r>
        <w:t xml:space="preserve">CIC，第1141条。</w:t>
      </w:r>
    </w:p>
  </w:footnote>
  <w:footnote w:id="3563">
    <w:p>
      <w:pPr>
        <w:pStyle w:val="FootnoteText"/>
      </w:pPr>
      <w:r>
        <w:rPr>
          <w:rStyle w:val="FootnoteReference"/>
        </w:rPr>
        <w:footnoteRef/>
      </w:r>
      <w:r>
        <w:t xml:space="preserve"> </w:t>
      </w:r>
      <w:r>
        <w:t xml:space="preserve">CIC，第1151-1155条。</w:t>
      </w:r>
    </w:p>
  </w:footnote>
  <w:footnote w:id="3564">
    <w:p>
      <w:pPr>
        <w:pStyle w:val="FootnoteText"/>
      </w:pPr>
      <w:r>
        <w:rPr>
          <w:rStyle w:val="FootnoteReference"/>
        </w:rPr>
        <w:footnoteRef/>
      </w:r>
      <w:r>
        <w:t xml:space="preserve"> </w:t>
      </w:r>
      <w:r>
        <w:t xml:space="preserve">圣巴西略，</w:t>
      </w:r>
      <w:r>
        <w:rPr>
          <w:i/>
          <w:iCs/>
        </w:rPr>
        <w:t xml:space="preserve">Moralia</w:t>
      </w:r>
      <w:r>
        <w:t xml:space="preserve"> </w:t>
      </w:r>
      <w:r>
        <w:t xml:space="preserve">73,1。</w:t>
      </w:r>
    </w:p>
  </w:footnote>
  <w:footnote w:id="3565">
    <w:p>
      <w:pPr>
        <w:pStyle w:val="FootnoteText"/>
      </w:pPr>
      <w:r>
        <w:rPr>
          <w:rStyle w:val="FootnoteReference"/>
        </w:rPr>
        <w:footnoteRef/>
      </w:r>
      <w:r>
        <w:t xml:space="preserve"> </w:t>
      </w:r>
      <w:r>
        <w:t xml:space="preserve">参《教会法典》第1155条。</w:t>
      </w:r>
    </w:p>
  </w:footnote>
  <w:footnote w:id="3566">
    <w:p>
      <w:pPr>
        <w:pStyle w:val="FootnoteText"/>
      </w:pPr>
      <w:r>
        <w:rPr>
          <w:rStyle w:val="FootnoteReference"/>
        </w:rPr>
        <w:footnoteRef/>
      </w:r>
      <w:r>
        <w:t xml:space="preserve"> </w:t>
      </w:r>
      <w:r>
        <w:t xml:space="preserve">FC 19。</w:t>
      </w:r>
    </w:p>
  </w:footnote>
  <w:footnote w:id="3567">
    <w:p>
      <w:pPr>
        <w:pStyle w:val="FootnoteText"/>
      </w:pPr>
      <w:r>
        <w:rPr>
          <w:rStyle w:val="FootnoteReference"/>
        </w:rPr>
        <w:footnoteRef/>
      </w:r>
      <w:r>
        <w:t xml:space="preserve"> </w:t>
      </w:r>
      <w:r>
        <w:t xml:space="preserve">参利 18:7-20。</w:t>
      </w:r>
    </w:p>
  </w:footnote>
  <w:footnote w:id="3568">
    <w:p>
      <w:pPr>
        <w:pStyle w:val="FootnoteText"/>
      </w:pPr>
      <w:r>
        <w:rPr>
          <w:rStyle w:val="FootnoteReference"/>
        </w:rPr>
        <w:footnoteRef/>
      </w:r>
      <w:r>
        <w:t xml:space="preserve"> </w:t>
      </w:r>
      <w:r>
        <w:t xml:space="preserve">林前 5:1-5。</w:t>
      </w:r>
    </w:p>
  </w:footnote>
  <w:footnote w:id="3569">
    <w:p>
      <w:pPr>
        <w:pStyle w:val="FootnoteText"/>
      </w:pPr>
      <w:r>
        <w:rPr>
          <w:rStyle w:val="FootnoteReference"/>
        </w:rPr>
        <w:footnoteRef/>
      </w:r>
      <w:r>
        <w:t xml:space="preserve"> </w:t>
      </w:r>
      <w:r>
        <w:t xml:space="preserve">FC 81。</w:t>
      </w:r>
    </w:p>
  </w:footnote>
  <w:footnote w:id="3570">
    <w:p>
      <w:pPr>
        <w:pStyle w:val="FootnoteText"/>
      </w:pPr>
      <w:r>
        <w:rPr>
          <w:rStyle w:val="FootnoteReference"/>
        </w:rPr>
        <w:footnoteRef/>
      </w:r>
      <w:r>
        <w:t xml:space="preserve"> </w:t>
      </w:r>
      <w:r>
        <w:t xml:space="preserve">FC 80。</w:t>
      </w:r>
    </w:p>
  </w:footnote>
  <w:footnote w:id="3571">
    <w:p>
      <w:pPr>
        <w:pStyle w:val="FootnoteText"/>
      </w:pPr>
      <w:r>
        <w:rPr>
          <w:rStyle w:val="FootnoteReference"/>
        </w:rPr>
        <w:footnoteRef/>
      </w:r>
      <w:r>
        <w:t xml:space="preserve"> </w:t>
      </w:r>
      <w:r>
        <w:t xml:space="preserve">FC 80。</w:t>
      </w:r>
    </w:p>
  </w:footnote>
  <w:footnote w:id="3575">
    <w:p>
      <w:pPr>
        <w:pStyle w:val="FootnoteText"/>
      </w:pPr>
      <w:r>
        <w:rPr>
          <w:rStyle w:val="FootnoteReference"/>
        </w:rPr>
        <w:footnoteRef/>
      </w:r>
      <w:r>
        <w:t xml:space="preserve"> </w:t>
      </w:r>
      <w:r>
        <w:t xml:space="preserve">出 20:15；申 5:19；太 19:18。</w:t>
      </w:r>
    </w:p>
  </w:footnote>
  <w:footnote w:id="3576">
    <w:p>
      <w:pPr>
        <w:pStyle w:val="FootnoteText"/>
      </w:pPr>
      <w:r>
        <w:rPr>
          <w:rStyle w:val="FootnoteReference"/>
        </w:rPr>
        <w:footnoteRef/>
      </w:r>
      <w:r>
        <w:t xml:space="preserve"> </w:t>
      </w:r>
      <w:r>
        <w:t xml:space="preserve">参创 1:26-29。</w:t>
      </w:r>
    </w:p>
  </w:footnote>
  <w:footnote w:id="3577">
    <w:p>
      <w:pPr>
        <w:pStyle w:val="FootnoteText"/>
      </w:pPr>
      <w:r>
        <w:rPr>
          <w:rStyle w:val="FootnoteReference"/>
        </w:rPr>
        <w:footnoteRef/>
      </w:r>
      <w:r>
        <w:t xml:space="preserve"> </w:t>
      </w:r>
      <w:r>
        <w:t xml:space="preserve">GS 69 § 1。</w:t>
      </w:r>
    </w:p>
  </w:footnote>
  <w:footnote w:id="3578">
    <w:p>
      <w:pPr>
        <w:pStyle w:val="FootnoteText"/>
      </w:pPr>
      <w:r>
        <w:rPr>
          <w:rStyle w:val="FootnoteReference"/>
        </w:rPr>
        <w:footnoteRef/>
      </w:r>
      <w:r>
        <w:t xml:space="preserve"> </w:t>
      </w:r>
      <w:r>
        <w:t xml:space="preserve">参 GS 71 § 4；</w:t>
      </w:r>
      <w:r>
        <w:rPr>
          <w:i/>
          <w:iCs/>
        </w:rPr>
        <w:t xml:space="preserve">Sollicitudo rei socialis</w:t>
      </w:r>
      <w:r>
        <w:t xml:space="preserve"> </w:t>
      </w:r>
      <w:r>
        <w:t xml:space="preserve">42；</w:t>
      </w:r>
      <w:r>
        <w:rPr>
          <w:i/>
          <w:iCs/>
        </w:rPr>
        <w:t xml:space="preserve">Centesimus annus</w:t>
      </w:r>
      <w:r>
        <w:t xml:space="preserve"> </w:t>
      </w:r>
      <w:r>
        <w:t xml:space="preserve">40、48。</w:t>
      </w:r>
    </w:p>
  </w:footnote>
  <w:footnote w:id="3580">
    <w:p>
      <w:pPr>
        <w:pStyle w:val="FootnoteText"/>
      </w:pPr>
      <w:r>
        <w:rPr>
          <w:rStyle w:val="FootnoteReference"/>
        </w:rPr>
        <w:footnoteRef/>
      </w:r>
      <w:r>
        <w:t xml:space="preserve"> </w:t>
      </w:r>
      <w:r>
        <w:t xml:space="preserve">林后 8:9。</w:t>
      </w:r>
    </w:p>
  </w:footnote>
  <w:footnote w:id="3581">
    <w:p>
      <w:pPr>
        <w:pStyle w:val="FootnoteText"/>
      </w:pPr>
      <w:r>
        <w:rPr>
          <w:rStyle w:val="FootnoteReference"/>
        </w:rPr>
        <w:footnoteRef/>
      </w:r>
      <w:r>
        <w:t xml:space="preserve"> </w:t>
      </w:r>
      <w:r>
        <w:t xml:space="preserve">参 GS 69 § 1。</w:t>
      </w:r>
    </w:p>
  </w:footnote>
  <w:footnote w:id="3582">
    <w:p>
      <w:pPr>
        <w:pStyle w:val="FootnoteText"/>
      </w:pPr>
      <w:r>
        <w:rPr>
          <w:rStyle w:val="FootnoteReference"/>
        </w:rPr>
        <w:footnoteRef/>
      </w:r>
      <w:r>
        <w:t xml:space="preserve"> </w:t>
      </w:r>
      <w:r>
        <w:t xml:space="preserve">参申 25:13-16；24:14-15；雅 5:4；摩 8:4-6。</w:t>
      </w:r>
    </w:p>
  </w:footnote>
  <w:footnote w:id="3583">
    <w:p>
      <w:pPr>
        <w:pStyle w:val="FootnoteText"/>
      </w:pPr>
      <w:r>
        <w:rPr>
          <w:rStyle w:val="FootnoteReference"/>
        </w:rPr>
        <w:footnoteRef/>
      </w:r>
      <w:r>
        <w:t xml:space="preserve"> </w:t>
      </w:r>
      <w:r>
        <w:t xml:space="preserve">路 19:8。</w:t>
      </w:r>
    </w:p>
  </w:footnote>
  <w:footnote w:id="3584">
    <w:p>
      <w:pPr>
        <w:pStyle w:val="FootnoteText"/>
      </w:pPr>
      <w:r>
        <w:rPr>
          <w:rStyle w:val="FootnoteReference"/>
        </w:rPr>
        <w:footnoteRef/>
      </w:r>
      <w:r>
        <w:t xml:space="preserve"> </w:t>
      </w:r>
      <w:r>
        <w:t xml:space="preserve">门 16。</w:t>
      </w:r>
    </w:p>
  </w:footnote>
  <w:footnote w:id="3586">
    <w:p>
      <w:pPr>
        <w:pStyle w:val="FootnoteText"/>
      </w:pPr>
      <w:r>
        <w:rPr>
          <w:rStyle w:val="FootnoteReference"/>
        </w:rPr>
        <w:footnoteRef/>
      </w:r>
      <w:r>
        <w:t xml:space="preserve"> </w:t>
      </w:r>
      <w:r>
        <w:t xml:space="preserve">参创 1:28-31。</w:t>
      </w:r>
    </w:p>
  </w:footnote>
  <w:footnote w:id="3587">
    <w:p>
      <w:pPr>
        <w:pStyle w:val="FootnoteText"/>
      </w:pPr>
      <w:r>
        <w:rPr>
          <w:rStyle w:val="FootnoteReference"/>
        </w:rPr>
        <w:footnoteRef/>
      </w:r>
      <w:r>
        <w:t xml:space="preserve"> </w:t>
      </w:r>
      <w:r>
        <w:t xml:space="preserve">参</w:t>
      </w:r>
      <w:r>
        <w:rPr>
          <w:i/>
          <w:iCs/>
        </w:rPr>
        <w:t xml:space="preserve">Centesimus annus</w:t>
      </w:r>
      <w:r>
        <w:t xml:space="preserve"> </w:t>
      </w:r>
      <w:r>
        <w:t xml:space="preserve">37-38。</w:t>
      </w:r>
    </w:p>
  </w:footnote>
  <w:footnote w:id="3588">
    <w:p>
      <w:pPr>
        <w:pStyle w:val="FootnoteText"/>
      </w:pPr>
      <w:r>
        <w:rPr>
          <w:rStyle w:val="FootnoteReference"/>
        </w:rPr>
        <w:footnoteRef/>
      </w:r>
      <w:r>
        <w:t xml:space="preserve"> </w:t>
      </w:r>
      <w:r>
        <w:t xml:space="preserve">参太 6:26；但 3:79-81。</w:t>
      </w:r>
    </w:p>
  </w:footnote>
  <w:footnote w:id="3589">
    <w:p>
      <w:pPr>
        <w:pStyle w:val="FootnoteText"/>
      </w:pPr>
      <w:r>
        <w:rPr>
          <w:rStyle w:val="FootnoteReference"/>
        </w:rPr>
        <w:footnoteRef/>
      </w:r>
      <w:r>
        <w:t xml:space="preserve"> </w:t>
      </w:r>
      <w:r>
        <w:t xml:space="preserve">参创 2:19-20；9:1-4。</w:t>
      </w:r>
    </w:p>
  </w:footnote>
  <w:footnote w:id="3591">
    <w:p>
      <w:pPr>
        <w:pStyle w:val="FootnoteText"/>
      </w:pPr>
      <w:r>
        <w:rPr>
          <w:rStyle w:val="FootnoteReference"/>
        </w:rPr>
        <w:footnoteRef/>
      </w:r>
      <w:r>
        <w:t xml:space="preserve"> </w:t>
      </w:r>
      <w:r>
        <w:t xml:space="preserve">GS 23 § 1。</w:t>
      </w:r>
    </w:p>
  </w:footnote>
  <w:footnote w:id="3592">
    <w:p>
      <w:pPr>
        <w:pStyle w:val="FootnoteText"/>
      </w:pPr>
      <w:r>
        <w:rPr>
          <w:rStyle w:val="FootnoteReference"/>
        </w:rPr>
        <w:footnoteRef/>
      </w:r>
      <w:r>
        <w:t xml:space="preserve"> </w:t>
      </w:r>
      <w:r>
        <w:t xml:space="preserve">GS 76 § 5。</w:t>
      </w:r>
    </w:p>
  </w:footnote>
  <w:footnote w:id="3593">
    <w:p>
      <w:pPr>
        <w:pStyle w:val="FootnoteText"/>
      </w:pPr>
      <w:r>
        <w:rPr>
          <w:rStyle w:val="FootnoteReference"/>
        </w:rPr>
        <w:footnoteRef/>
      </w:r>
      <w:r>
        <w:t xml:space="preserve"> </w:t>
      </w:r>
      <w:r>
        <w:t xml:space="preserve">参</w:t>
      </w:r>
      <w:r>
        <w:rPr>
          <w:i/>
          <w:iCs/>
        </w:rPr>
        <w:t xml:space="preserve">Centesimus annus</w:t>
      </w:r>
      <w:r>
        <w:t xml:space="preserve"> </w:t>
      </w:r>
      <w:r>
        <w:t xml:space="preserve">3。</w:t>
      </w:r>
    </w:p>
  </w:footnote>
  <w:footnote w:id="3594">
    <w:p>
      <w:pPr>
        <w:pStyle w:val="FootnoteText"/>
      </w:pPr>
      <w:r>
        <w:rPr>
          <w:rStyle w:val="FootnoteReference"/>
        </w:rPr>
        <w:footnoteRef/>
      </w:r>
      <w:r>
        <w:t xml:space="preserve"> </w:t>
      </w:r>
      <w:r>
        <w:t xml:space="preserve">参</w:t>
      </w:r>
      <w:r>
        <w:rPr>
          <w:i/>
          <w:iCs/>
        </w:rPr>
        <w:t xml:space="preserve">Sollicitudo rei socialis</w:t>
      </w:r>
      <w:r>
        <w:t xml:space="preserve"> </w:t>
      </w:r>
      <w:r>
        <w:t xml:space="preserve">1、41。</w:t>
      </w:r>
    </w:p>
  </w:footnote>
  <w:footnote w:id="3595">
    <w:p>
      <w:pPr>
        <w:pStyle w:val="FootnoteText"/>
      </w:pPr>
      <w:r>
        <w:rPr>
          <w:rStyle w:val="FootnoteReference"/>
        </w:rPr>
        <w:footnoteRef/>
      </w:r>
      <w:r>
        <w:t xml:space="preserve"> </w:t>
      </w:r>
      <w:r>
        <w:t xml:space="preserve">参</w:t>
      </w:r>
      <w:r>
        <w:rPr>
          <w:i/>
          <w:iCs/>
        </w:rPr>
        <w:t xml:space="preserve">Centesimus annus</w:t>
      </w:r>
      <w:r>
        <w:t xml:space="preserve"> </w:t>
      </w:r>
      <w:r>
        <w:t xml:space="preserve">24。</w:t>
      </w:r>
    </w:p>
  </w:footnote>
  <w:footnote w:id="3596">
    <w:p>
      <w:pPr>
        <w:pStyle w:val="FootnoteText"/>
      </w:pPr>
      <w:r>
        <w:rPr>
          <w:rStyle w:val="FootnoteReference"/>
        </w:rPr>
        <w:footnoteRef/>
      </w:r>
      <w:r>
        <w:t xml:space="preserve"> </w:t>
      </w:r>
      <w:r>
        <w:t xml:space="preserve">参 GS 63 § 3；</w:t>
      </w:r>
      <w:r>
        <w:rPr>
          <w:i/>
          <w:iCs/>
        </w:rPr>
        <w:t xml:space="preserve">Laborem exercens</w:t>
      </w:r>
      <w:r>
        <w:t xml:space="preserve"> </w:t>
      </w:r>
      <w:r>
        <w:t xml:space="preserve">7、20；</w:t>
      </w:r>
      <w:r>
        <w:rPr>
          <w:i/>
          <w:iCs/>
        </w:rPr>
        <w:t xml:space="preserve">Centesimus annus</w:t>
      </w:r>
      <w:r>
        <w:t xml:space="preserve"> </w:t>
      </w:r>
      <w:r>
        <w:t xml:space="preserve">35。</w:t>
      </w:r>
    </w:p>
  </w:footnote>
  <w:footnote w:id="3597">
    <w:p>
      <w:pPr>
        <w:pStyle w:val="FootnoteText"/>
      </w:pPr>
      <w:r>
        <w:rPr>
          <w:rStyle w:val="FootnoteReference"/>
        </w:rPr>
        <w:footnoteRef/>
      </w:r>
      <w:r>
        <w:t xml:space="preserve"> </w:t>
      </w:r>
      <w:r>
        <w:t xml:space="preserve">GS 65 § 2。</w:t>
      </w:r>
    </w:p>
  </w:footnote>
  <w:footnote w:id="3598">
    <w:p>
      <w:pPr>
        <w:pStyle w:val="FootnoteText"/>
      </w:pPr>
      <w:r>
        <w:rPr>
          <w:rStyle w:val="FootnoteReference"/>
        </w:rPr>
        <w:footnoteRef/>
      </w:r>
      <w:r>
        <w:t xml:space="preserve"> </w:t>
      </w:r>
      <w:r>
        <w:t xml:space="preserve">太 6:24；路 16:13。</w:t>
      </w:r>
    </w:p>
  </w:footnote>
  <w:footnote w:id="3599">
    <w:p>
      <w:pPr>
        <w:pStyle w:val="FootnoteText"/>
      </w:pPr>
      <w:r>
        <w:rPr>
          <w:rStyle w:val="FootnoteReference"/>
        </w:rPr>
        <w:footnoteRef/>
      </w:r>
      <w:r>
        <w:t xml:space="preserve"> </w:t>
      </w:r>
      <w:r>
        <w:t xml:space="preserve">参</w:t>
      </w:r>
      <w:r>
        <w:rPr>
          <w:i/>
          <w:iCs/>
        </w:rPr>
        <w:t xml:space="preserve">Centesimus annus</w:t>
      </w:r>
      <w:r>
        <w:t xml:space="preserve"> </w:t>
      </w:r>
      <w:r>
        <w:t xml:space="preserve">10、13、44。</w:t>
      </w:r>
    </w:p>
  </w:footnote>
  <w:footnote w:id="3600">
    <w:p>
      <w:pPr>
        <w:pStyle w:val="FootnoteText"/>
      </w:pPr>
      <w:r>
        <w:rPr>
          <w:rStyle w:val="FootnoteReference"/>
        </w:rPr>
        <w:footnoteRef/>
      </w:r>
      <w:r>
        <w:t xml:space="preserve"> </w:t>
      </w:r>
      <w:r>
        <w:rPr>
          <w:i/>
          <w:iCs/>
        </w:rPr>
        <w:t xml:space="preserve">Centesimus annus</w:t>
      </w:r>
      <w:r>
        <w:t xml:space="preserve"> </w:t>
      </w:r>
      <w:r>
        <w:t xml:space="preserve">34。</w:t>
      </w:r>
    </w:p>
  </w:footnote>
  <w:footnote w:id="3602">
    <w:p>
      <w:pPr>
        <w:pStyle w:val="FootnoteText"/>
      </w:pPr>
      <w:r>
        <w:rPr>
          <w:rStyle w:val="FootnoteReference"/>
        </w:rPr>
        <w:footnoteRef/>
      </w:r>
      <w:r>
        <w:t xml:space="preserve"> </w:t>
      </w:r>
      <w:r>
        <w:t xml:space="preserve">参 GS 64。</w:t>
      </w:r>
    </w:p>
  </w:footnote>
  <w:footnote w:id="3603">
    <w:p>
      <w:pPr>
        <w:pStyle w:val="FootnoteText"/>
      </w:pPr>
      <w:r>
        <w:rPr>
          <w:rStyle w:val="FootnoteReference"/>
        </w:rPr>
        <w:footnoteRef/>
      </w:r>
      <w:r>
        <w:t xml:space="preserve"> </w:t>
      </w:r>
      <w:r>
        <w:t xml:space="preserve">参创 1:28；GS 34；</w:t>
      </w:r>
      <w:r>
        <w:rPr>
          <w:i/>
          <w:iCs/>
        </w:rPr>
        <w:t xml:space="preserve">Centesimus annus</w:t>
      </w:r>
      <w:r>
        <w:t xml:space="preserve"> </w:t>
      </w:r>
      <w:r>
        <w:t xml:space="preserve">31。</w:t>
      </w:r>
    </w:p>
  </w:footnote>
  <w:footnote w:id="3604">
    <w:p>
      <w:pPr>
        <w:pStyle w:val="FootnoteText"/>
      </w:pPr>
      <w:r>
        <w:rPr>
          <w:rStyle w:val="FootnoteReference"/>
        </w:rPr>
        <w:footnoteRef/>
      </w:r>
      <w:r>
        <w:t xml:space="preserve"> </w:t>
      </w:r>
      <w:r>
        <w:t xml:space="preserve">帖后 3:10；参帖前 4:11。</w:t>
      </w:r>
    </w:p>
  </w:footnote>
  <w:footnote w:id="3605">
    <w:p>
      <w:pPr>
        <w:pStyle w:val="FootnoteText"/>
      </w:pPr>
      <w:r>
        <w:rPr>
          <w:rStyle w:val="FootnoteReference"/>
        </w:rPr>
        <w:footnoteRef/>
      </w:r>
      <w:r>
        <w:t xml:space="preserve"> </w:t>
      </w:r>
      <w:r>
        <w:t xml:space="preserve">参创 3:14-19。</w:t>
      </w:r>
    </w:p>
  </w:footnote>
  <w:footnote w:id="3606">
    <w:p>
      <w:pPr>
        <w:pStyle w:val="FootnoteText"/>
      </w:pPr>
      <w:r>
        <w:rPr>
          <w:rStyle w:val="FootnoteReference"/>
        </w:rPr>
        <w:footnoteRef/>
      </w:r>
      <w:r>
        <w:t xml:space="preserve"> </w:t>
      </w:r>
      <w:r>
        <w:t xml:space="preserve">参</w:t>
      </w:r>
      <w:r>
        <w:rPr>
          <w:i/>
          <w:iCs/>
        </w:rPr>
        <w:t xml:space="preserve">Laborem exercens</w:t>
      </w:r>
      <w:r>
        <w:t xml:space="preserve"> </w:t>
      </w:r>
      <w:r>
        <w:t xml:space="preserve">27。</w:t>
      </w:r>
    </w:p>
  </w:footnote>
  <w:footnote w:id="3607">
    <w:p>
      <w:pPr>
        <w:pStyle w:val="FootnoteText"/>
      </w:pPr>
      <w:r>
        <w:rPr>
          <w:rStyle w:val="FootnoteReference"/>
        </w:rPr>
        <w:footnoteRef/>
      </w:r>
      <w:r>
        <w:t xml:space="preserve"> </w:t>
      </w:r>
      <w:r>
        <w:t xml:space="preserve">参</w:t>
      </w:r>
      <w:r>
        <w:rPr>
          <w:i/>
          <w:iCs/>
        </w:rPr>
        <w:t xml:space="preserve">Laborem exercens</w:t>
      </w:r>
      <w:r>
        <w:t xml:space="preserve"> </w:t>
      </w:r>
      <w:r>
        <w:t xml:space="preserve">6。</w:t>
      </w:r>
    </w:p>
  </w:footnote>
  <w:footnote w:id="3608">
    <w:p>
      <w:pPr>
        <w:pStyle w:val="FootnoteText"/>
      </w:pPr>
      <w:r>
        <w:rPr>
          <w:rStyle w:val="FootnoteReference"/>
        </w:rPr>
        <w:footnoteRef/>
      </w:r>
      <w:r>
        <w:t xml:space="preserve"> </w:t>
      </w:r>
      <w:r>
        <w:t xml:space="preserve">参</w:t>
      </w:r>
      <w:r>
        <w:rPr>
          <w:i/>
          <w:iCs/>
        </w:rPr>
        <w:t xml:space="preserve">Centesimus annus</w:t>
      </w:r>
      <w:r>
        <w:t xml:space="preserve"> </w:t>
      </w:r>
      <w:r>
        <w:t xml:space="preserve">32、34。</w:t>
      </w:r>
    </w:p>
  </w:footnote>
  <w:footnote w:id="3609">
    <w:p>
      <w:pPr>
        <w:pStyle w:val="FootnoteText"/>
      </w:pPr>
      <w:r>
        <w:rPr>
          <w:rStyle w:val="FootnoteReference"/>
        </w:rPr>
        <w:footnoteRef/>
      </w:r>
      <w:r>
        <w:t xml:space="preserve"> </w:t>
      </w:r>
      <w:r>
        <w:t xml:space="preserve">参</w:t>
      </w:r>
      <w:r>
        <w:rPr>
          <w:i/>
          <w:iCs/>
        </w:rPr>
        <w:t xml:space="preserve">Laborem exercens</w:t>
      </w:r>
      <w:r>
        <w:t xml:space="preserve"> </w:t>
      </w:r>
      <w:r>
        <w:t xml:space="preserve">11。</w:t>
      </w:r>
    </w:p>
  </w:footnote>
  <w:footnote w:id="3610">
    <w:p>
      <w:pPr>
        <w:pStyle w:val="FootnoteText"/>
      </w:pPr>
      <w:r>
        <w:rPr>
          <w:rStyle w:val="FootnoteReference"/>
        </w:rPr>
        <w:footnoteRef/>
      </w:r>
      <w:r>
        <w:t xml:space="preserve"> </w:t>
      </w:r>
      <w:r>
        <w:rPr>
          <w:i/>
          <w:iCs/>
        </w:rPr>
        <w:t xml:space="preserve">Centesimus annus</w:t>
      </w:r>
      <w:r>
        <w:t xml:space="preserve"> </w:t>
      </w:r>
      <w:r>
        <w:t xml:space="preserve">48。</w:t>
      </w:r>
    </w:p>
  </w:footnote>
  <w:footnote w:id="3611">
    <w:p>
      <w:pPr>
        <w:pStyle w:val="FootnoteText"/>
      </w:pPr>
      <w:r>
        <w:rPr>
          <w:rStyle w:val="FootnoteReference"/>
        </w:rPr>
        <w:footnoteRef/>
      </w:r>
      <w:r>
        <w:t xml:space="preserve"> </w:t>
      </w:r>
      <w:r>
        <w:t xml:space="preserve">参</w:t>
      </w:r>
      <w:r>
        <w:rPr>
          <w:i/>
          <w:iCs/>
        </w:rPr>
        <w:t xml:space="preserve">Centesimus annus</w:t>
      </w:r>
      <w:r>
        <w:t xml:space="preserve"> </w:t>
      </w:r>
      <w:r>
        <w:t xml:space="preserve">37。</w:t>
      </w:r>
    </w:p>
  </w:footnote>
  <w:footnote w:id="3612">
    <w:p>
      <w:pPr>
        <w:pStyle w:val="FootnoteText"/>
      </w:pPr>
      <w:r>
        <w:rPr>
          <w:rStyle w:val="FootnoteReference"/>
        </w:rPr>
        <w:footnoteRef/>
      </w:r>
      <w:r>
        <w:t xml:space="preserve"> </w:t>
      </w:r>
      <w:r>
        <w:t xml:space="preserve">参</w:t>
      </w:r>
      <w:r>
        <w:rPr>
          <w:i/>
          <w:iCs/>
        </w:rPr>
        <w:t xml:space="preserve">Laborem exercens</w:t>
      </w:r>
      <w:r>
        <w:t xml:space="preserve"> </w:t>
      </w:r>
      <w:r>
        <w:t xml:space="preserve">19、22-23。</w:t>
      </w:r>
    </w:p>
  </w:footnote>
  <w:footnote w:id="3613">
    <w:p>
      <w:pPr>
        <w:pStyle w:val="FootnoteText"/>
      </w:pPr>
      <w:r>
        <w:rPr>
          <w:rStyle w:val="FootnoteReference"/>
        </w:rPr>
        <w:footnoteRef/>
      </w:r>
      <w:r>
        <w:t xml:space="preserve"> </w:t>
      </w:r>
      <w:r>
        <w:t xml:space="preserve">参</w:t>
      </w:r>
      <w:r>
        <w:rPr>
          <w:i/>
          <w:iCs/>
        </w:rPr>
        <w:t xml:space="preserve">Centesimus annus</w:t>
      </w:r>
      <w:r>
        <w:t xml:space="preserve"> </w:t>
      </w:r>
      <w:r>
        <w:t xml:space="preserve">48。</w:t>
      </w:r>
    </w:p>
  </w:footnote>
  <w:footnote w:id="3614">
    <w:p>
      <w:pPr>
        <w:pStyle w:val="FootnoteText"/>
      </w:pPr>
      <w:r>
        <w:rPr>
          <w:rStyle w:val="FootnoteReference"/>
        </w:rPr>
        <w:footnoteRef/>
      </w:r>
      <w:r>
        <w:t xml:space="preserve"> </w:t>
      </w:r>
      <w:r>
        <w:t xml:space="preserve">参利 19:13；申 24:14-15；雅 5:4。</w:t>
      </w:r>
    </w:p>
  </w:footnote>
  <w:footnote w:id="3615">
    <w:p>
      <w:pPr>
        <w:pStyle w:val="FootnoteText"/>
      </w:pPr>
      <w:r>
        <w:rPr>
          <w:rStyle w:val="FootnoteReference"/>
        </w:rPr>
        <w:footnoteRef/>
      </w:r>
      <w:r>
        <w:t xml:space="preserve"> </w:t>
      </w:r>
      <w:r>
        <w:t xml:space="preserve">GS 67 § 2。</w:t>
      </w:r>
    </w:p>
  </w:footnote>
  <w:footnote w:id="3616">
    <w:p>
      <w:pPr>
        <w:pStyle w:val="FootnoteText"/>
      </w:pPr>
      <w:r>
        <w:rPr>
          <w:rStyle w:val="FootnoteReference"/>
        </w:rPr>
        <w:footnoteRef/>
      </w:r>
      <w:r>
        <w:t xml:space="preserve"> </w:t>
      </w:r>
      <w:r>
        <w:t xml:space="preserve">参</w:t>
      </w:r>
      <w:r>
        <w:rPr>
          <w:i/>
          <w:iCs/>
        </w:rPr>
        <w:t xml:space="preserve">Laborem exercens</w:t>
      </w:r>
      <w:r>
        <w:t xml:space="preserve"> </w:t>
      </w:r>
      <w:r>
        <w:t xml:space="preserve">18。</w:t>
      </w:r>
    </w:p>
  </w:footnote>
  <w:footnote w:id="3618">
    <w:p>
      <w:pPr>
        <w:pStyle w:val="FootnoteText"/>
      </w:pPr>
      <w:r>
        <w:rPr>
          <w:rStyle w:val="FootnoteReference"/>
        </w:rPr>
        <w:footnoteRef/>
      </w:r>
      <w:r>
        <w:t xml:space="preserve"> </w:t>
      </w:r>
      <w:r>
        <w:t xml:space="preserve">参</w:t>
      </w:r>
      <w:r>
        <w:rPr>
          <w:i/>
          <w:iCs/>
        </w:rPr>
        <w:t xml:space="preserve">Sollicitudo rei socialis</w:t>
      </w:r>
      <w:r>
        <w:t xml:space="preserve"> </w:t>
      </w:r>
      <w:r>
        <w:t xml:space="preserve">14。</w:t>
      </w:r>
    </w:p>
  </w:footnote>
  <w:footnote w:id="3619">
    <w:p>
      <w:pPr>
        <w:pStyle w:val="FootnoteText"/>
      </w:pPr>
      <w:r>
        <w:rPr>
          <w:rStyle w:val="FootnoteReference"/>
        </w:rPr>
        <w:footnoteRef/>
      </w:r>
      <w:r>
        <w:t xml:space="preserve"> </w:t>
      </w:r>
      <w:r>
        <w:rPr>
          <w:i/>
          <w:iCs/>
        </w:rPr>
        <w:t xml:space="preserve">Sollicitudo rei socialis</w:t>
      </w:r>
      <w:r>
        <w:t xml:space="preserve"> </w:t>
      </w:r>
      <w:r>
        <w:t xml:space="preserve">9。</w:t>
      </w:r>
    </w:p>
  </w:footnote>
  <w:footnote w:id="3620">
    <w:p>
      <w:pPr>
        <w:pStyle w:val="FootnoteText"/>
      </w:pPr>
      <w:r>
        <w:rPr>
          <w:rStyle w:val="FootnoteReference"/>
        </w:rPr>
        <w:footnoteRef/>
      </w:r>
      <w:r>
        <w:t xml:space="preserve"> </w:t>
      </w:r>
      <w:r>
        <w:t xml:space="preserve">参</w:t>
      </w:r>
      <w:r>
        <w:rPr>
          <w:i/>
          <w:iCs/>
        </w:rPr>
        <w:t xml:space="preserve">Sollicitudo rei socialis</w:t>
      </w:r>
      <w:r>
        <w:t xml:space="preserve"> </w:t>
      </w:r>
      <w:r>
        <w:t xml:space="preserve">17、45。</w:t>
      </w:r>
    </w:p>
  </w:footnote>
  <w:footnote w:id="3621">
    <w:p>
      <w:pPr>
        <w:pStyle w:val="FootnoteText"/>
      </w:pPr>
      <w:r>
        <w:rPr>
          <w:rStyle w:val="FootnoteReference"/>
        </w:rPr>
        <w:footnoteRef/>
      </w:r>
      <w:r>
        <w:t xml:space="preserve"> </w:t>
      </w:r>
      <w:r>
        <w:rPr>
          <w:i/>
          <w:iCs/>
        </w:rPr>
        <w:t xml:space="preserve">Centesimus annus</w:t>
      </w:r>
      <w:r>
        <w:t xml:space="preserve"> </w:t>
      </w:r>
      <w:r>
        <w:t xml:space="preserve">28；参 35。</w:t>
      </w:r>
    </w:p>
  </w:footnote>
  <w:footnote w:id="3622">
    <w:p>
      <w:pPr>
        <w:pStyle w:val="FootnoteText"/>
      </w:pPr>
      <w:r>
        <w:rPr>
          <w:rStyle w:val="FootnoteReference"/>
        </w:rPr>
        <w:footnoteRef/>
      </w:r>
      <w:r>
        <w:t xml:space="preserve"> </w:t>
      </w:r>
      <w:r>
        <w:t xml:space="preserve">参</w:t>
      </w:r>
      <w:r>
        <w:rPr>
          <w:i/>
          <w:iCs/>
        </w:rPr>
        <w:t xml:space="preserve">Sollicitudo rei socialis</w:t>
      </w:r>
      <w:r>
        <w:t xml:space="preserve"> </w:t>
      </w:r>
      <w:r>
        <w:t xml:space="preserve">16。</w:t>
      </w:r>
    </w:p>
  </w:footnote>
  <w:footnote w:id="3623">
    <w:p>
      <w:pPr>
        <w:pStyle w:val="FootnoteText"/>
      </w:pPr>
      <w:r>
        <w:rPr>
          <w:rStyle w:val="FootnoteReference"/>
        </w:rPr>
        <w:footnoteRef/>
      </w:r>
      <w:r>
        <w:t xml:space="preserve"> </w:t>
      </w:r>
      <w:r>
        <w:t xml:space="preserve">参</w:t>
      </w:r>
      <w:r>
        <w:rPr>
          <w:i/>
          <w:iCs/>
        </w:rPr>
        <w:t xml:space="preserve">Centesimus annus</w:t>
      </w:r>
      <w:r>
        <w:t xml:space="preserve"> </w:t>
      </w:r>
      <w:r>
        <w:t xml:space="preserve">26。</w:t>
      </w:r>
    </w:p>
  </w:footnote>
  <w:footnote w:id="3624">
    <w:p>
      <w:pPr>
        <w:pStyle w:val="FootnoteText"/>
      </w:pPr>
      <w:r>
        <w:rPr>
          <w:rStyle w:val="FootnoteReference"/>
        </w:rPr>
        <w:footnoteRef/>
      </w:r>
      <w:r>
        <w:t xml:space="preserve"> </w:t>
      </w:r>
      <w:r>
        <w:t xml:space="preserve">参</w:t>
      </w:r>
      <w:r>
        <w:rPr>
          <w:i/>
          <w:iCs/>
        </w:rPr>
        <w:t xml:space="preserve">Sollicitudo rei socialis</w:t>
      </w:r>
      <w:r>
        <w:t xml:space="preserve"> </w:t>
      </w:r>
      <w:r>
        <w:t xml:space="preserve">32；</w:t>
      </w:r>
      <w:r>
        <w:rPr>
          <w:i/>
          <w:iCs/>
        </w:rPr>
        <w:t xml:space="preserve">Centesimus annus</w:t>
      </w:r>
      <w:r>
        <w:t xml:space="preserve"> </w:t>
      </w:r>
      <w:r>
        <w:t xml:space="preserve">51。</w:t>
      </w:r>
    </w:p>
  </w:footnote>
  <w:footnote w:id="3625">
    <w:p>
      <w:pPr>
        <w:pStyle w:val="FootnoteText"/>
      </w:pPr>
      <w:r>
        <w:rPr>
          <w:rStyle w:val="FootnoteReference"/>
        </w:rPr>
        <w:footnoteRef/>
      </w:r>
      <w:r>
        <w:t xml:space="preserve"> </w:t>
      </w:r>
      <w:r>
        <w:rPr>
          <w:i/>
          <w:iCs/>
        </w:rPr>
        <w:t xml:space="preserve">Sollicitudo rei socialis</w:t>
      </w:r>
      <w:r>
        <w:t xml:space="preserve"> </w:t>
      </w:r>
      <w:r>
        <w:t xml:space="preserve">47 § 6；参 42。</w:t>
      </w:r>
    </w:p>
  </w:footnote>
  <w:footnote w:id="3627">
    <w:p>
      <w:pPr>
        <w:pStyle w:val="FootnoteText"/>
      </w:pPr>
      <w:r>
        <w:rPr>
          <w:rStyle w:val="FootnoteReference"/>
        </w:rPr>
        <w:footnoteRef/>
      </w:r>
      <w:r>
        <w:t xml:space="preserve"> </w:t>
      </w:r>
      <w:r>
        <w:t xml:space="preserve">太 5:42；10:8。</w:t>
      </w:r>
    </w:p>
  </w:footnote>
  <w:footnote w:id="3628">
    <w:p>
      <w:pPr>
        <w:pStyle w:val="FootnoteText"/>
      </w:pPr>
      <w:r>
        <w:rPr>
          <w:rStyle w:val="FootnoteReference"/>
        </w:rPr>
        <w:footnoteRef/>
      </w:r>
      <w:r>
        <w:t xml:space="preserve"> </w:t>
      </w:r>
      <w:r>
        <w:t xml:space="preserve">参太 25:31-36。</w:t>
      </w:r>
    </w:p>
  </w:footnote>
  <w:footnote w:id="3629">
    <w:p>
      <w:pPr>
        <w:pStyle w:val="FootnoteText"/>
      </w:pPr>
      <w:r>
        <w:rPr>
          <w:rStyle w:val="FootnoteReference"/>
        </w:rPr>
        <w:footnoteRef/>
      </w:r>
      <w:r>
        <w:t xml:space="preserve"> </w:t>
      </w:r>
      <w:r>
        <w:t xml:space="preserve">太 11:5；参路 4:18。</w:t>
      </w:r>
    </w:p>
  </w:footnote>
  <w:footnote w:id="3630">
    <w:p>
      <w:pPr>
        <w:pStyle w:val="FootnoteText"/>
      </w:pPr>
      <w:r>
        <w:rPr>
          <w:rStyle w:val="FootnoteReference"/>
        </w:rPr>
        <w:footnoteRef/>
      </w:r>
      <w:r>
        <w:t xml:space="preserve"> </w:t>
      </w:r>
      <w:r>
        <w:rPr>
          <w:i/>
          <w:iCs/>
        </w:rPr>
        <w:t xml:space="preserve">Centesimus annus</w:t>
      </w:r>
      <w:r>
        <w:t xml:space="preserve"> </w:t>
      </w:r>
      <w:r>
        <w:t xml:space="preserve">57；参路 6:20-22；太 8:20；可 12:41-44。</w:t>
      </w:r>
    </w:p>
  </w:footnote>
  <w:footnote w:id="3631">
    <w:p>
      <w:pPr>
        <w:pStyle w:val="FootnoteText"/>
      </w:pPr>
      <w:r>
        <w:rPr>
          <w:rStyle w:val="FootnoteReference"/>
        </w:rPr>
        <w:footnoteRef/>
      </w:r>
      <w:r>
        <w:t xml:space="preserve"> </w:t>
      </w:r>
      <w:r>
        <w:t xml:space="preserve">弗 4:28。</w:t>
      </w:r>
    </w:p>
  </w:footnote>
  <w:footnote w:id="3632">
    <w:p>
      <w:pPr>
        <w:pStyle w:val="FootnoteText"/>
      </w:pPr>
      <w:r>
        <w:rPr>
          <w:rStyle w:val="FootnoteReference"/>
        </w:rPr>
        <w:footnoteRef/>
      </w:r>
      <w:r>
        <w:t xml:space="preserve"> </w:t>
      </w:r>
      <w:r>
        <w:t xml:space="preserve">参</w:t>
      </w:r>
      <w:r>
        <w:rPr>
          <w:i/>
          <w:iCs/>
        </w:rPr>
        <w:t xml:space="preserve">Centesimus annus</w:t>
      </w:r>
      <w:r>
        <w:t xml:space="preserve"> </w:t>
      </w:r>
      <w:r>
        <w:t xml:space="preserve">57。</w:t>
      </w:r>
    </w:p>
  </w:footnote>
  <w:footnote w:id="3633">
    <w:p>
      <w:pPr>
        <w:pStyle w:val="FootnoteText"/>
      </w:pPr>
      <w:r>
        <w:rPr>
          <w:rStyle w:val="FootnoteReference"/>
        </w:rPr>
        <w:footnoteRef/>
      </w:r>
      <w:r>
        <w:t xml:space="preserve"> </w:t>
      </w:r>
      <w:r>
        <w:t xml:space="preserve">雅 5:1-6。</w:t>
      </w:r>
    </w:p>
  </w:footnote>
  <w:footnote w:id="3634">
    <w:p>
      <w:pPr>
        <w:pStyle w:val="FootnoteText"/>
      </w:pPr>
      <w:r>
        <w:rPr>
          <w:rStyle w:val="FootnoteReference"/>
        </w:rPr>
        <w:footnoteRef/>
      </w:r>
      <w:r>
        <w:t xml:space="preserve"> </w:t>
      </w:r>
      <w:r>
        <w:t xml:space="preserve">圣约翰·屈梭多模，</w:t>
      </w:r>
      <w:r>
        <w:rPr>
          <w:i/>
          <w:iCs/>
        </w:rPr>
        <w:t xml:space="preserve">Homily on Lazarus</w:t>
      </w:r>
      <w:r>
        <w:t xml:space="preserve"> </w:t>
      </w:r>
      <w:r>
        <w:t xml:space="preserve">2,5：PG 48,992。</w:t>
      </w:r>
    </w:p>
  </w:footnote>
  <w:footnote w:id="3635">
    <w:p>
      <w:pPr>
        <w:pStyle w:val="FootnoteText"/>
      </w:pPr>
      <w:r>
        <w:rPr>
          <w:rStyle w:val="FootnoteReference"/>
        </w:rPr>
        <w:footnoteRef/>
      </w:r>
      <w:r>
        <w:t xml:space="preserve"> </w:t>
      </w:r>
      <w:r>
        <w:t xml:space="preserve">AA 8 § 5。</w:t>
      </w:r>
    </w:p>
  </w:footnote>
  <w:footnote w:id="3636">
    <w:p>
      <w:pPr>
        <w:pStyle w:val="FootnoteText"/>
      </w:pPr>
      <w:r>
        <w:rPr>
          <w:rStyle w:val="FootnoteReference"/>
        </w:rPr>
        <w:footnoteRef/>
      </w:r>
      <w:r>
        <w:t xml:space="preserve"> </w:t>
      </w:r>
      <w:r>
        <w:t xml:space="preserve">圣额我略大帝，</w:t>
      </w:r>
      <w:r>
        <w:rPr>
          <w:i/>
          <w:iCs/>
        </w:rPr>
        <w:t xml:space="preserve">Regula Pastoralis</w:t>
      </w:r>
      <w:r>
        <w:t xml:space="preserve"> </w:t>
      </w:r>
      <w:r>
        <w:t xml:space="preserve">3,21：PL 77,87。</w:t>
      </w:r>
    </w:p>
  </w:footnote>
  <w:footnote w:id="3637">
    <w:p>
      <w:pPr>
        <w:pStyle w:val="FootnoteText"/>
      </w:pPr>
      <w:r>
        <w:rPr>
          <w:rStyle w:val="FootnoteReference"/>
        </w:rPr>
        <w:footnoteRef/>
      </w:r>
      <w:r>
        <w:t xml:space="preserve"> </w:t>
      </w:r>
      <w:r>
        <w:t xml:space="preserve">参赛 58:6-7；来 13:3。</w:t>
      </w:r>
    </w:p>
  </w:footnote>
  <w:footnote w:id="3638">
    <w:p>
      <w:pPr>
        <w:pStyle w:val="FootnoteText"/>
      </w:pPr>
      <w:r>
        <w:rPr>
          <w:rStyle w:val="FootnoteReference"/>
        </w:rPr>
        <w:footnoteRef/>
      </w:r>
      <w:r>
        <w:t xml:space="preserve"> </w:t>
      </w:r>
      <w:r>
        <w:t xml:space="preserve">参太 25:31-46。</w:t>
      </w:r>
    </w:p>
  </w:footnote>
  <w:footnote w:id="3639">
    <w:p>
      <w:pPr>
        <w:pStyle w:val="FootnoteText"/>
      </w:pPr>
      <w:r>
        <w:rPr>
          <w:rStyle w:val="FootnoteReference"/>
        </w:rPr>
        <w:footnoteRef/>
      </w:r>
      <w:r>
        <w:t xml:space="preserve"> </w:t>
      </w:r>
      <w:r>
        <w:t xml:space="preserve">参多 4:5-11；德 17:22；太 6:2-4。</w:t>
      </w:r>
    </w:p>
  </w:footnote>
  <w:footnote w:id="3640">
    <w:p>
      <w:pPr>
        <w:pStyle w:val="FootnoteText"/>
      </w:pPr>
      <w:r>
        <w:rPr>
          <w:rStyle w:val="FootnoteReference"/>
        </w:rPr>
        <w:footnoteRef/>
      </w:r>
      <w:r>
        <w:t xml:space="preserve"> </w:t>
      </w:r>
      <w:r>
        <w:t xml:space="preserve">路 3:11。</w:t>
      </w:r>
    </w:p>
  </w:footnote>
  <w:footnote w:id="3641">
    <w:p>
      <w:pPr>
        <w:pStyle w:val="FootnoteText"/>
      </w:pPr>
      <w:r>
        <w:rPr>
          <w:rStyle w:val="FootnoteReference"/>
        </w:rPr>
        <w:footnoteRef/>
      </w:r>
      <w:r>
        <w:t xml:space="preserve"> </w:t>
      </w:r>
      <w:r>
        <w:t xml:space="preserve">路 11:41。</w:t>
      </w:r>
    </w:p>
  </w:footnote>
  <w:footnote w:id="3642">
    <w:p>
      <w:pPr>
        <w:pStyle w:val="FootnoteText"/>
      </w:pPr>
      <w:r>
        <w:rPr>
          <w:rStyle w:val="FootnoteReference"/>
        </w:rPr>
        <w:footnoteRef/>
      </w:r>
      <w:r>
        <w:t xml:space="preserve"> </w:t>
      </w:r>
      <w:r>
        <w:t xml:space="preserve">雅 2:15-16；参约壹 3:17。</w:t>
      </w:r>
    </w:p>
  </w:footnote>
  <w:footnote w:id="3643">
    <w:p>
      <w:pPr>
        <w:pStyle w:val="FootnoteText"/>
      </w:pPr>
      <w:r>
        <w:rPr>
          <w:rStyle w:val="FootnoteReference"/>
        </w:rPr>
        <w:footnoteRef/>
      </w:r>
      <w:r>
        <w:t xml:space="preserve"> </w:t>
      </w:r>
      <w:r>
        <w:t xml:space="preserve">信理部，训令</w:t>
      </w:r>
      <w:r>
        <w:rPr>
          <w:i/>
          <w:iCs/>
        </w:rPr>
        <w:t xml:space="preserve">Libertatis conscientia</w:t>
      </w:r>
      <w:r>
        <w:t xml:space="preserve"> </w:t>
      </w:r>
      <w:r>
        <w:t xml:space="preserve">68。</w:t>
      </w:r>
    </w:p>
  </w:footnote>
  <w:footnote w:id="3644">
    <w:p>
      <w:pPr>
        <w:pStyle w:val="FootnoteText"/>
      </w:pPr>
      <w:r>
        <w:rPr>
          <w:rStyle w:val="FootnoteReference"/>
        </w:rPr>
        <w:footnoteRef/>
      </w:r>
      <w:r>
        <w:t xml:space="preserve"> </w:t>
      </w:r>
      <w:r>
        <w:t xml:space="preserve">申 15:11。</w:t>
      </w:r>
    </w:p>
  </w:footnote>
  <w:footnote w:id="3645">
    <w:p>
      <w:pPr>
        <w:pStyle w:val="FootnoteText"/>
      </w:pPr>
      <w:r>
        <w:rPr>
          <w:rStyle w:val="FootnoteReference"/>
        </w:rPr>
        <w:footnoteRef/>
      </w:r>
      <w:r>
        <w:t xml:space="preserve"> </w:t>
      </w:r>
      <w:r>
        <w:t xml:space="preserve">约 12:8。</w:t>
      </w:r>
    </w:p>
  </w:footnote>
  <w:footnote w:id="3646">
    <w:p>
      <w:pPr>
        <w:pStyle w:val="FootnoteText"/>
      </w:pPr>
      <w:r>
        <w:rPr>
          <w:rStyle w:val="FootnoteReference"/>
        </w:rPr>
        <w:footnoteRef/>
      </w:r>
      <w:r>
        <w:t xml:space="preserve"> </w:t>
      </w:r>
      <w:r>
        <w:t xml:space="preserve">摩 8:6；参太 25:40。</w:t>
      </w:r>
    </w:p>
  </w:footnote>
  <w:footnote w:id="3647">
    <w:p>
      <w:pPr>
        <w:pStyle w:val="FootnoteText"/>
      </w:pPr>
      <w:r>
        <w:rPr>
          <w:rStyle w:val="FootnoteReference"/>
        </w:rPr>
        <w:footnoteRef/>
      </w:r>
      <w:r>
        <w:t xml:space="preserve"> </w:t>
      </w:r>
      <w:r>
        <w:t xml:space="preserve">P. Hansen，</w:t>
      </w:r>
      <w:r>
        <w:rPr>
          <w:i/>
          <w:iCs/>
        </w:rPr>
        <w:t xml:space="preserve">Vita mirabilis</w:t>
      </w:r>
      <w:r>
        <w:t xml:space="preserve">（Louvain，1668）。</w:t>
      </w:r>
    </w:p>
  </w:footnote>
  <w:footnote w:id="3650">
    <w:p>
      <w:pPr>
        <w:pStyle w:val="FootnoteText"/>
      </w:pPr>
      <w:r>
        <w:rPr>
          <w:rStyle w:val="FootnoteReference"/>
        </w:rPr>
        <w:footnoteRef/>
      </w:r>
      <w:r>
        <w:t xml:space="preserve"> </w:t>
      </w:r>
      <w:r>
        <w:t xml:space="preserve">参</w:t>
      </w:r>
      <w:r>
        <w:rPr>
          <w:i/>
          <w:iCs/>
        </w:rPr>
        <w:t xml:space="preserve">Centesimus annus</w:t>
      </w:r>
      <w:r>
        <w:t xml:space="preserve"> </w:t>
      </w:r>
      <w:r>
        <w:t xml:space="preserve">29。</w:t>
      </w:r>
    </w:p>
  </w:footnote>
  <w:footnote w:id="3652">
    <w:p>
      <w:pPr>
        <w:pStyle w:val="FootnoteText"/>
      </w:pPr>
      <w:r>
        <w:rPr>
          <w:rStyle w:val="FootnoteReference"/>
        </w:rPr>
        <w:footnoteRef/>
      </w:r>
      <w:r>
        <w:t xml:space="preserve"> </w:t>
      </w:r>
      <w:r>
        <w:t xml:space="preserve">出 20:16。</w:t>
      </w:r>
    </w:p>
  </w:footnote>
  <w:footnote w:id="3653">
    <w:p>
      <w:pPr>
        <w:pStyle w:val="FootnoteText"/>
      </w:pPr>
      <w:r>
        <w:rPr>
          <w:rStyle w:val="FootnoteReference"/>
        </w:rPr>
        <w:footnoteRef/>
      </w:r>
      <w:r>
        <w:t xml:space="preserve"> </w:t>
      </w:r>
      <w:r>
        <w:t xml:space="preserve">太 5:33。</w:t>
      </w:r>
    </w:p>
  </w:footnote>
  <w:footnote w:id="3654">
    <w:p>
      <w:pPr>
        <w:pStyle w:val="FootnoteText"/>
      </w:pPr>
      <w:r>
        <w:rPr>
          <w:rStyle w:val="FootnoteReference"/>
        </w:rPr>
        <w:footnoteRef/>
      </w:r>
      <w:r>
        <w:t xml:space="preserve"> </w:t>
      </w:r>
      <w:r>
        <w:t xml:space="preserve">诗 119:160。</w:t>
      </w:r>
    </w:p>
  </w:footnote>
  <w:footnote w:id="3655">
    <w:p>
      <w:pPr>
        <w:pStyle w:val="FootnoteText"/>
      </w:pPr>
      <w:r>
        <w:rPr>
          <w:rStyle w:val="FootnoteReference"/>
        </w:rPr>
        <w:footnoteRef/>
      </w:r>
      <w:r>
        <w:t xml:space="preserve"> </w:t>
      </w:r>
      <w:r>
        <w:t xml:space="preserve">参诗 119:30。</w:t>
      </w:r>
    </w:p>
  </w:footnote>
  <w:footnote w:id="3656">
    <w:p>
      <w:pPr>
        <w:pStyle w:val="FootnoteText"/>
      </w:pPr>
      <w:r>
        <w:rPr>
          <w:rStyle w:val="FootnoteReference"/>
        </w:rPr>
        <w:footnoteRef/>
      </w:r>
      <w:r>
        <w:t xml:space="preserve"> </w:t>
      </w:r>
      <w:r>
        <w:t xml:space="preserve">约 1:14；8:12；14:6。</w:t>
      </w:r>
    </w:p>
  </w:footnote>
  <w:footnote w:id="3657">
    <w:p>
      <w:pPr>
        <w:pStyle w:val="FootnoteText"/>
      </w:pPr>
      <w:r>
        <w:rPr>
          <w:rStyle w:val="FootnoteReference"/>
        </w:rPr>
        <w:footnoteRef/>
      </w:r>
      <w:r>
        <w:t xml:space="preserve"> </w:t>
      </w:r>
      <w:r>
        <w:t xml:space="preserve">约 12:46。</w:t>
      </w:r>
    </w:p>
  </w:footnote>
  <w:footnote w:id="3658">
    <w:p>
      <w:pPr>
        <w:pStyle w:val="FootnoteText"/>
      </w:pPr>
      <w:r>
        <w:rPr>
          <w:rStyle w:val="FootnoteReference"/>
        </w:rPr>
        <w:footnoteRef/>
      </w:r>
      <w:r>
        <w:t xml:space="preserve"> </w:t>
      </w:r>
      <w:r>
        <w:t xml:space="preserve">约 8:32；17:17。</w:t>
      </w:r>
    </w:p>
  </w:footnote>
  <w:footnote w:id="3659">
    <w:p>
      <w:pPr>
        <w:pStyle w:val="FootnoteText"/>
      </w:pPr>
      <w:r>
        <w:rPr>
          <w:rStyle w:val="FootnoteReference"/>
        </w:rPr>
        <w:footnoteRef/>
      </w:r>
      <w:r>
        <w:t xml:space="preserve"> </w:t>
      </w:r>
      <w:r>
        <w:t xml:space="preserve">约 16:13。</w:t>
      </w:r>
    </w:p>
  </w:footnote>
  <w:footnote w:id="3660">
    <w:p>
      <w:pPr>
        <w:pStyle w:val="FootnoteText"/>
      </w:pPr>
      <w:r>
        <w:rPr>
          <w:rStyle w:val="FootnoteReference"/>
        </w:rPr>
        <w:footnoteRef/>
      </w:r>
      <w:r>
        <w:t xml:space="preserve"> </w:t>
      </w:r>
      <w:r>
        <w:t xml:space="preserve">太 5:37。</w:t>
      </w:r>
    </w:p>
  </w:footnote>
  <w:footnote w:id="3661">
    <w:p>
      <w:pPr>
        <w:pStyle w:val="FootnoteText"/>
      </w:pPr>
      <w:r>
        <w:rPr>
          <w:rStyle w:val="FootnoteReference"/>
        </w:rPr>
        <w:footnoteRef/>
      </w:r>
      <w:r>
        <w:t xml:space="preserve"> </w:t>
      </w:r>
      <w:r>
        <w:t xml:space="preserve">DH 2 § 1。</w:t>
      </w:r>
    </w:p>
  </w:footnote>
  <w:footnote w:id="3662">
    <w:p>
      <w:pPr>
        <w:pStyle w:val="FootnoteText"/>
      </w:pPr>
      <w:r>
        <w:rPr>
          <w:rStyle w:val="FootnoteReference"/>
        </w:rPr>
        <w:footnoteRef/>
      </w:r>
      <w:r>
        <w:t xml:space="preserve"> </w:t>
      </w:r>
      <w:r>
        <w:t xml:space="preserve">圣托马斯·阿奎那，</w:t>
      </w:r>
      <w:r>
        <w:rPr>
          <w:i/>
          <w:iCs/>
        </w:rPr>
        <w:t xml:space="preserve">Summa theologiae</w:t>
      </w:r>
      <w:r>
        <w:t xml:space="preserve"> </w:t>
      </w:r>
      <w:r>
        <w:t xml:space="preserve">II-II，109，3。</w:t>
      </w:r>
    </w:p>
  </w:footnote>
  <w:footnote w:id="3663">
    <w:p>
      <w:pPr>
        <w:pStyle w:val="FootnoteText"/>
      </w:pPr>
      <w:r>
        <w:rPr>
          <w:rStyle w:val="FootnoteReference"/>
        </w:rPr>
        <w:footnoteRef/>
      </w:r>
      <w:r>
        <w:t xml:space="preserve"> </w:t>
      </w:r>
      <w:r>
        <w:t xml:space="preserve">圣托马斯·阿奎那，</w:t>
      </w:r>
      <w:r>
        <w:rPr>
          <w:i/>
          <w:iCs/>
        </w:rPr>
        <w:t xml:space="preserve">Summa theologiae</w:t>
      </w:r>
      <w:r>
        <w:t xml:space="preserve"> </w:t>
      </w:r>
      <w:r>
        <w:t xml:space="preserve">II-II，109，3 ad 1。</w:t>
      </w:r>
    </w:p>
  </w:footnote>
  <w:footnote w:id="3664">
    <w:p>
      <w:pPr>
        <w:pStyle w:val="FootnoteText"/>
      </w:pPr>
      <w:r>
        <w:rPr>
          <w:rStyle w:val="FootnoteReference"/>
        </w:rPr>
        <w:footnoteRef/>
      </w:r>
      <w:r>
        <w:t xml:space="preserve"> </w:t>
      </w:r>
      <w:r>
        <w:t xml:space="preserve">约壹 1:6。</w:t>
      </w:r>
    </w:p>
  </w:footnote>
  <w:footnote w:id="3666">
    <w:p>
      <w:pPr>
        <w:pStyle w:val="FootnoteText"/>
      </w:pPr>
      <w:r>
        <w:rPr>
          <w:rStyle w:val="FootnoteReference"/>
        </w:rPr>
        <w:footnoteRef/>
      </w:r>
      <w:r>
        <w:t xml:space="preserve"> </w:t>
      </w:r>
      <w:r>
        <w:t xml:space="preserve">约 18:37。</w:t>
      </w:r>
    </w:p>
  </w:footnote>
  <w:footnote w:id="3667">
    <w:p>
      <w:pPr>
        <w:pStyle w:val="FootnoteText"/>
      </w:pPr>
      <w:r>
        <w:rPr>
          <w:rStyle w:val="FootnoteReference"/>
        </w:rPr>
        <w:footnoteRef/>
      </w:r>
      <w:r>
        <w:t xml:space="preserve"> </w:t>
      </w:r>
      <w:r>
        <w:t xml:space="preserve">提后 1:8。</w:t>
      </w:r>
    </w:p>
  </w:footnote>
  <w:footnote w:id="3668">
    <w:p>
      <w:pPr>
        <w:pStyle w:val="FootnoteText"/>
      </w:pPr>
      <w:r>
        <w:rPr>
          <w:rStyle w:val="FootnoteReference"/>
        </w:rPr>
        <w:footnoteRef/>
      </w:r>
      <w:r>
        <w:t xml:space="preserve"> </w:t>
      </w:r>
      <w:r>
        <w:t xml:space="preserve">徒 24:16。</w:t>
      </w:r>
    </w:p>
  </w:footnote>
  <w:footnote w:id="3669">
    <w:p>
      <w:pPr>
        <w:pStyle w:val="FootnoteText"/>
      </w:pPr>
      <w:r>
        <w:rPr>
          <w:rStyle w:val="FootnoteReference"/>
        </w:rPr>
        <w:footnoteRef/>
      </w:r>
      <w:r>
        <w:t xml:space="preserve"> </w:t>
      </w:r>
      <w:r>
        <w:t xml:space="preserve">参太 18:16。</w:t>
      </w:r>
    </w:p>
  </w:footnote>
  <w:footnote w:id="3670">
    <w:p>
      <w:pPr>
        <w:pStyle w:val="FootnoteText"/>
      </w:pPr>
      <w:r>
        <w:rPr>
          <w:rStyle w:val="FootnoteReference"/>
        </w:rPr>
        <w:footnoteRef/>
      </w:r>
      <w:r>
        <w:t xml:space="preserve"> </w:t>
      </w:r>
      <w:r>
        <w:t xml:space="preserve">AA 13 § 1。</w:t>
      </w:r>
    </w:p>
  </w:footnote>
  <w:footnote w:id="3671">
    <w:p>
      <w:pPr>
        <w:pStyle w:val="FootnoteText"/>
      </w:pPr>
      <w:r>
        <w:rPr>
          <w:rStyle w:val="FootnoteReference"/>
        </w:rPr>
        <w:footnoteRef/>
      </w:r>
      <w:r>
        <w:t xml:space="preserve"> </w:t>
      </w:r>
      <w:r>
        <w:t xml:space="preserve">圣安提阿的依纳爵，</w:t>
      </w:r>
      <w:r>
        <w:rPr>
          <w:i/>
          <w:iCs/>
        </w:rPr>
        <w:t xml:space="preserve">Ad Romanos</w:t>
      </w:r>
      <w:r>
        <w:t xml:space="preserve"> </w:t>
      </w:r>
      <w:r>
        <w:t xml:space="preserve">4，1：SCh 10，110。</w:t>
      </w:r>
    </w:p>
  </w:footnote>
  <w:footnote w:id="3672">
    <w:p>
      <w:pPr>
        <w:pStyle w:val="FootnoteText"/>
      </w:pPr>
      <w:r>
        <w:rPr>
          <w:rStyle w:val="FootnoteReference"/>
        </w:rPr>
        <w:footnoteRef/>
      </w:r>
      <w:r>
        <w:t xml:space="preserve"> </w:t>
      </w:r>
      <w:r>
        <w:t xml:space="preserve">圣安提阿的依纳爵，</w:t>
      </w:r>
      <w:r>
        <w:rPr>
          <w:i/>
          <w:iCs/>
        </w:rPr>
        <w:t xml:space="preserve">Ad Romanos</w:t>
      </w:r>
      <w:r>
        <w:t xml:space="preserve"> </w:t>
      </w:r>
      <w:r>
        <w:t xml:space="preserve">6，1：SCh 10，114。</w:t>
      </w:r>
    </w:p>
  </w:footnote>
  <w:footnote w:id="3673">
    <w:p>
      <w:pPr>
        <w:pStyle w:val="FootnoteText"/>
      </w:pPr>
      <w:r>
        <w:rPr>
          <w:rStyle w:val="FootnoteReference"/>
        </w:rPr>
        <w:footnoteRef/>
      </w:r>
      <w:r>
        <w:t xml:space="preserve"> </w:t>
      </w:r>
      <w:r>
        <w:rPr>
          <w:i/>
          <w:iCs/>
        </w:rPr>
        <w:t xml:space="preserve">Martyrium Polycarpi</w:t>
      </w:r>
      <w:r>
        <w:t xml:space="preserve"> </w:t>
      </w:r>
      <w:r>
        <w:t xml:space="preserve">14：</w:t>
      </w:r>
      <w:r>
        <w:rPr>
          <w:i/>
          <w:iCs/>
        </w:rPr>
        <w:t xml:space="preserve">Apostolic Fathers</w:t>
      </w:r>
      <w:r>
        <w:t xml:space="preserve">，II/3，396。</w:t>
      </w:r>
    </w:p>
  </w:footnote>
  <w:footnote w:id="3675">
    <w:p>
      <w:pPr>
        <w:pStyle w:val="FootnoteText"/>
      </w:pPr>
      <w:r>
        <w:rPr>
          <w:rStyle w:val="FootnoteReference"/>
        </w:rPr>
        <w:footnoteRef/>
      </w:r>
      <w:r>
        <w:t xml:space="preserve"> </w:t>
      </w:r>
      <w:r>
        <w:t xml:space="preserve">弗 4:24。</w:t>
      </w:r>
    </w:p>
  </w:footnote>
  <w:footnote w:id="3676">
    <w:p>
      <w:pPr>
        <w:pStyle w:val="FootnoteText"/>
      </w:pPr>
      <w:r>
        <w:rPr>
          <w:rStyle w:val="FootnoteReference"/>
        </w:rPr>
        <w:footnoteRef/>
      </w:r>
      <w:r>
        <w:t xml:space="preserve"> </w:t>
      </w:r>
      <w:r>
        <w:t xml:space="preserve">弗 4:25；彼前 2:1。</w:t>
      </w:r>
    </w:p>
  </w:footnote>
  <w:footnote w:id="3677">
    <w:p>
      <w:pPr>
        <w:pStyle w:val="FootnoteText"/>
      </w:pPr>
      <w:r>
        <w:rPr>
          <w:rStyle w:val="FootnoteReference"/>
        </w:rPr>
        <w:footnoteRef/>
      </w:r>
      <w:r>
        <w:t xml:space="preserve"> </w:t>
      </w:r>
      <w:r>
        <w:t xml:space="preserve">参箴 19:9。</w:t>
      </w:r>
    </w:p>
  </w:footnote>
  <w:footnote w:id="3678">
    <w:p>
      <w:pPr>
        <w:pStyle w:val="FootnoteText"/>
      </w:pPr>
      <w:r>
        <w:rPr>
          <w:rStyle w:val="FootnoteReference"/>
        </w:rPr>
        <w:footnoteRef/>
      </w:r>
      <w:r>
        <w:t xml:space="preserve"> </w:t>
      </w:r>
      <w:r>
        <w:t xml:space="preserve">参箴 18:5。</w:t>
      </w:r>
    </w:p>
  </w:footnote>
  <w:footnote w:id="3679">
    <w:p>
      <w:pPr>
        <w:pStyle w:val="FootnoteText"/>
      </w:pPr>
      <w:r>
        <w:rPr>
          <w:rStyle w:val="FootnoteReference"/>
        </w:rPr>
        <w:footnoteRef/>
      </w:r>
      <w:r>
        <w:t xml:space="preserve"> </w:t>
      </w:r>
      <w:r>
        <w:t xml:space="preserve">参太 7:1-2。</w:t>
      </w:r>
    </w:p>
  </w:footnote>
  <w:footnote w:id="3680">
    <w:p>
      <w:pPr>
        <w:pStyle w:val="FootnoteText"/>
      </w:pPr>
      <w:r>
        <w:rPr>
          <w:rStyle w:val="FootnoteReference"/>
        </w:rPr>
        <w:footnoteRef/>
      </w:r>
      <w:r>
        <w:t xml:space="preserve"> </w:t>
      </w:r>
      <w:r>
        <w:t xml:space="preserve">参德 42:1-2。</w:t>
      </w:r>
    </w:p>
  </w:footnote>
  <w:footnote w:id="3681">
    <w:p>
      <w:pPr>
        <w:pStyle w:val="FootnoteText"/>
      </w:pPr>
      <w:r>
        <w:rPr>
          <w:rStyle w:val="FootnoteReference"/>
        </w:rPr>
        <w:footnoteRef/>
      </w:r>
      <w:r>
        <w:t xml:space="preserve"> </w:t>
      </w:r>
      <w:r>
        <w:t xml:space="preserve">圣依纳爵·罗耀拉，</w:t>
      </w:r>
      <w:r>
        <w:rPr>
          <w:i/>
          <w:iCs/>
        </w:rPr>
        <w:t xml:space="preserve">Spiritual Exercises</w:t>
      </w:r>
      <w:r>
        <w:t xml:space="preserve"> </w:t>
      </w:r>
      <w:r>
        <w:t xml:space="preserve">22。</w:t>
      </w:r>
    </w:p>
  </w:footnote>
  <w:footnote w:id="3682">
    <w:p>
      <w:pPr>
        <w:pStyle w:val="FootnoteText"/>
      </w:pPr>
      <w:r>
        <w:rPr>
          <w:rStyle w:val="FootnoteReference"/>
        </w:rPr>
        <w:footnoteRef/>
      </w:r>
      <w:r>
        <w:t xml:space="preserve"> </w:t>
      </w:r>
      <w:r>
        <w:t xml:space="preserve">圣奥古斯丁，</w:t>
      </w:r>
      <w:r>
        <w:rPr>
          <w:i/>
          <w:iCs/>
        </w:rPr>
        <w:t xml:space="preserve">De mendacio</w:t>
      </w:r>
      <w:r>
        <w:t xml:space="preserve"> </w:t>
      </w:r>
      <w:r>
        <w:t xml:space="preserve">4，5：PL 40，491。</w:t>
      </w:r>
    </w:p>
  </w:footnote>
  <w:footnote w:id="3683">
    <w:p>
      <w:pPr>
        <w:pStyle w:val="FootnoteText"/>
      </w:pPr>
      <w:r>
        <w:rPr>
          <w:rStyle w:val="FootnoteReference"/>
        </w:rPr>
        <w:footnoteRef/>
      </w:r>
      <w:r>
        <w:t xml:space="preserve"> </w:t>
      </w:r>
      <w:r>
        <w:t xml:space="preserve">约 8:44。</w:t>
      </w:r>
    </w:p>
  </w:footnote>
  <w:footnote w:id="3685">
    <w:p>
      <w:pPr>
        <w:pStyle w:val="FootnoteText"/>
      </w:pPr>
      <w:r>
        <w:rPr>
          <w:rStyle w:val="FootnoteReference"/>
        </w:rPr>
        <w:footnoteRef/>
      </w:r>
      <w:r>
        <w:t xml:space="preserve"> </w:t>
      </w:r>
      <w:r>
        <w:t xml:space="preserve">参德 27:16；箴 25:9-10。</w:t>
      </w:r>
    </w:p>
  </w:footnote>
  <w:footnote w:id="3686">
    <w:p>
      <w:pPr>
        <w:pStyle w:val="FootnoteText"/>
      </w:pPr>
      <w:r>
        <w:rPr>
          <w:rStyle w:val="FootnoteReference"/>
        </w:rPr>
        <w:footnoteRef/>
      </w:r>
      <w:r>
        <w:t xml:space="preserve"> </w:t>
      </w:r>
      <w:r>
        <w:t xml:space="preserve">《教会法典》第983条1项。</w:t>
      </w:r>
    </w:p>
  </w:footnote>
  <w:footnote w:id="3688">
    <w:p>
      <w:pPr>
        <w:pStyle w:val="FootnoteText"/>
      </w:pPr>
      <w:r>
        <w:rPr>
          <w:rStyle w:val="FootnoteReference"/>
        </w:rPr>
        <w:footnoteRef/>
      </w:r>
      <w:r>
        <w:t xml:space="preserve"> </w:t>
      </w:r>
      <w:r>
        <w:t xml:space="preserve">参 IM 11。</w:t>
      </w:r>
    </w:p>
  </w:footnote>
  <w:footnote w:id="3689">
    <w:p>
      <w:pPr>
        <w:pStyle w:val="FootnoteText"/>
      </w:pPr>
      <w:r>
        <w:rPr>
          <w:rStyle w:val="FootnoteReference"/>
        </w:rPr>
        <w:footnoteRef/>
      </w:r>
      <w:r>
        <w:t xml:space="preserve"> </w:t>
      </w:r>
      <w:r>
        <w:t xml:space="preserve">IM 5 § 2。</w:t>
      </w:r>
    </w:p>
  </w:footnote>
  <w:footnote w:id="3690">
    <w:p>
      <w:pPr>
        <w:pStyle w:val="FootnoteText"/>
      </w:pPr>
      <w:r>
        <w:rPr>
          <w:rStyle w:val="FootnoteReference"/>
        </w:rPr>
        <w:footnoteRef/>
      </w:r>
      <w:r>
        <w:t xml:space="preserve"> </w:t>
      </w:r>
      <w:r>
        <w:t xml:space="preserve">IM 8。</w:t>
      </w:r>
    </w:p>
  </w:footnote>
  <w:footnote w:id="3691">
    <w:p>
      <w:pPr>
        <w:pStyle w:val="FootnoteText"/>
      </w:pPr>
      <w:r>
        <w:rPr>
          <w:rStyle w:val="FootnoteReference"/>
        </w:rPr>
        <w:footnoteRef/>
      </w:r>
      <w:r>
        <w:t xml:space="preserve"> </w:t>
      </w:r>
      <w:r>
        <w:t xml:space="preserve">IM 12。</w:t>
      </w:r>
    </w:p>
  </w:footnote>
  <w:footnote w:id="3692">
    <w:p>
      <w:pPr>
        <w:pStyle w:val="FootnoteText"/>
      </w:pPr>
      <w:r>
        <w:rPr>
          <w:rStyle w:val="FootnoteReference"/>
        </w:rPr>
        <w:footnoteRef/>
      </w:r>
      <w:r>
        <w:t xml:space="preserve"> </w:t>
      </w:r>
      <w:r>
        <w:t xml:space="preserve">IM 12 § 2。</w:t>
      </w:r>
    </w:p>
  </w:footnote>
  <w:footnote w:id="3694">
    <w:p>
      <w:pPr>
        <w:pStyle w:val="FootnoteText"/>
      </w:pPr>
      <w:r>
        <w:rPr>
          <w:rStyle w:val="FootnoteReference"/>
        </w:rPr>
        <w:footnoteRef/>
      </w:r>
      <w:r>
        <w:t xml:space="preserve"> </w:t>
      </w:r>
      <w:r>
        <w:t xml:space="preserve">智 13:3，5。</w:t>
      </w:r>
    </w:p>
  </w:footnote>
  <w:footnote w:id="3695">
    <w:p>
      <w:pPr>
        <w:pStyle w:val="FootnoteText"/>
      </w:pPr>
      <w:r>
        <w:rPr>
          <w:rStyle w:val="FootnoteReference"/>
        </w:rPr>
        <w:footnoteRef/>
      </w:r>
      <w:r>
        <w:t xml:space="preserve"> </w:t>
      </w:r>
      <w:r>
        <w:t xml:space="preserve">智 7:25-26。</w:t>
      </w:r>
    </w:p>
  </w:footnote>
  <w:footnote w:id="3696">
    <w:p>
      <w:pPr>
        <w:pStyle w:val="FootnoteText"/>
      </w:pPr>
      <w:r>
        <w:rPr>
          <w:rStyle w:val="FootnoteReference"/>
        </w:rPr>
        <w:footnoteRef/>
      </w:r>
      <w:r>
        <w:t xml:space="preserve"> </w:t>
      </w:r>
      <w:r>
        <w:t xml:space="preserve">智 7:29-30。</w:t>
      </w:r>
    </w:p>
  </w:footnote>
  <w:footnote w:id="3697">
    <w:p>
      <w:pPr>
        <w:pStyle w:val="FootnoteText"/>
      </w:pPr>
      <w:r>
        <w:rPr>
          <w:rStyle w:val="FootnoteReference"/>
        </w:rPr>
        <w:footnoteRef/>
      </w:r>
      <w:r>
        <w:t xml:space="preserve"> </w:t>
      </w:r>
      <w:r>
        <w:t xml:space="preserve">智 8:2。</w:t>
      </w:r>
    </w:p>
  </w:footnote>
  <w:footnote w:id="3698">
    <w:p>
      <w:pPr>
        <w:pStyle w:val="FootnoteText"/>
      </w:pPr>
      <w:r>
        <w:rPr>
          <w:rStyle w:val="FootnoteReference"/>
        </w:rPr>
        <w:footnoteRef/>
      </w:r>
      <w:r>
        <w:t xml:space="preserve"> </w:t>
      </w:r>
      <w:r>
        <w:t xml:space="preserve">创 1:26。</w:t>
      </w:r>
    </w:p>
  </w:footnote>
  <w:footnote w:id="3699">
    <w:p>
      <w:pPr>
        <w:pStyle w:val="FootnoteText"/>
      </w:pPr>
      <w:r>
        <w:rPr>
          <w:rStyle w:val="FootnoteReference"/>
        </w:rPr>
        <w:footnoteRef/>
      </w:r>
      <w:r>
        <w:t xml:space="preserve"> </w:t>
      </w:r>
      <w:r>
        <w:t xml:space="preserve">参智 7:16-17。</w:t>
      </w:r>
    </w:p>
  </w:footnote>
  <w:footnote w:id="3700">
    <w:p>
      <w:pPr>
        <w:pStyle w:val="FootnoteText"/>
      </w:pPr>
      <w:r>
        <w:rPr>
          <w:rStyle w:val="FootnoteReference"/>
        </w:rPr>
        <w:footnoteRef/>
      </w:r>
      <w:r>
        <w:t xml:space="preserve"> </w:t>
      </w:r>
      <w:r>
        <w:t xml:space="preserve">参庇护十二世，</w:t>
      </w:r>
      <w:r>
        <w:rPr>
          <w:i/>
          <w:iCs/>
        </w:rPr>
        <w:t xml:space="preserve">Musicae sacrae disciplina</w:t>
      </w:r>
      <w:r>
        <w:t xml:space="preserve">；1950年9月3日与12月25日的讲话。</w:t>
      </w:r>
    </w:p>
  </w:footnote>
  <w:footnote w:id="3701">
    <w:p>
      <w:pPr>
        <w:pStyle w:val="FootnoteText"/>
      </w:pPr>
      <w:r>
        <w:rPr>
          <w:rStyle w:val="FootnoteReference"/>
        </w:rPr>
        <w:footnoteRef/>
      </w:r>
      <w:r>
        <w:t xml:space="preserve"> </w:t>
      </w:r>
      <w:r>
        <w:t xml:space="preserve">来 1:3；西 2:9。</w:t>
      </w:r>
    </w:p>
  </w:footnote>
  <w:footnote w:id="3702">
    <w:p>
      <w:pPr>
        <w:pStyle w:val="FootnoteText"/>
      </w:pPr>
      <w:r>
        <w:rPr>
          <w:rStyle w:val="FootnoteReference"/>
        </w:rPr>
        <w:footnoteRef/>
      </w:r>
      <w:r>
        <w:t xml:space="preserve"> </w:t>
      </w:r>
      <w:r>
        <w:t xml:space="preserve">参 SC 122-127。</w:t>
      </w:r>
    </w:p>
  </w:footnote>
  <w:footnote w:id="3706">
    <w:p>
      <w:pPr>
        <w:pStyle w:val="FootnoteText"/>
      </w:pPr>
      <w:r>
        <w:rPr>
          <w:rStyle w:val="FootnoteReference"/>
        </w:rPr>
        <w:footnoteRef/>
      </w:r>
      <w:r>
        <w:t xml:space="preserve"> </w:t>
      </w:r>
      <w:r>
        <w:t xml:space="preserve">出 20:17。</w:t>
      </w:r>
    </w:p>
  </w:footnote>
  <w:footnote w:id="3707">
    <w:p>
      <w:pPr>
        <w:pStyle w:val="FootnoteText"/>
      </w:pPr>
      <w:r>
        <w:rPr>
          <w:rStyle w:val="FootnoteReference"/>
        </w:rPr>
        <w:footnoteRef/>
      </w:r>
      <w:r>
        <w:t xml:space="preserve"> </w:t>
      </w:r>
      <w:r>
        <w:t xml:space="preserve">太 5:28。</w:t>
      </w:r>
    </w:p>
  </w:footnote>
  <w:footnote w:id="3708">
    <w:p>
      <w:pPr>
        <w:pStyle w:val="FootnoteText"/>
      </w:pPr>
      <w:r>
        <w:rPr>
          <w:rStyle w:val="FootnoteReference"/>
        </w:rPr>
        <w:footnoteRef/>
      </w:r>
      <w:r>
        <w:t xml:space="preserve"> </w:t>
      </w:r>
      <w:r>
        <w:t xml:space="preserve">参约壹 2:16。</w:t>
      </w:r>
    </w:p>
  </w:footnote>
  <w:footnote w:id="3709">
    <w:p>
      <w:pPr>
        <w:pStyle w:val="FootnoteText"/>
      </w:pPr>
      <w:r>
        <w:rPr>
          <w:rStyle w:val="FootnoteReference"/>
        </w:rPr>
        <w:footnoteRef/>
      </w:r>
      <w:r>
        <w:t xml:space="preserve"> </w:t>
      </w:r>
      <w:r>
        <w:t xml:space="preserve">参加 5:16、17、24；弗 2:3。</w:t>
      </w:r>
    </w:p>
  </w:footnote>
  <w:footnote w:id="3710">
    <w:p>
      <w:pPr>
        <w:pStyle w:val="FootnoteText"/>
      </w:pPr>
      <w:r>
        <w:rPr>
          <w:rStyle w:val="FootnoteReference"/>
        </w:rPr>
        <w:footnoteRef/>
      </w:r>
      <w:r>
        <w:t xml:space="preserve"> </w:t>
      </w:r>
      <w:r>
        <w:t xml:space="preserve">参创 3:11；特利腾会议：DS 1515。</w:t>
      </w:r>
    </w:p>
  </w:footnote>
  <w:footnote w:id="3711">
    <w:p>
      <w:pPr>
        <w:pStyle w:val="FootnoteText"/>
      </w:pPr>
      <w:r>
        <w:rPr>
          <w:rStyle w:val="FootnoteReference"/>
        </w:rPr>
        <w:footnoteRef/>
      </w:r>
      <w:r>
        <w:t xml:space="preserve"> </w:t>
      </w:r>
      <w:r>
        <w:t xml:space="preserve">圣若望保禄二世，</w:t>
      </w:r>
      <w:r>
        <w:rPr>
          <w:i/>
          <w:iCs/>
        </w:rPr>
        <w:t xml:space="preserve">Dominum et vivificantem</w:t>
      </w:r>
      <w:r>
        <w:t xml:space="preserve"> </w:t>
      </w:r>
      <w:r>
        <w:t xml:space="preserve">55；参加 5:25。</w:t>
      </w:r>
    </w:p>
  </w:footnote>
  <w:footnote w:id="3712">
    <w:p>
      <w:pPr>
        <w:pStyle w:val="FootnoteText"/>
      </w:pPr>
      <w:r>
        <w:rPr>
          <w:rStyle w:val="FootnoteReference"/>
        </w:rPr>
        <w:footnoteRef/>
      </w:r>
      <w:r>
        <w:t xml:space="preserve"> </w:t>
      </w:r>
      <w:r>
        <w:t xml:space="preserve">太 15:19。</w:t>
      </w:r>
    </w:p>
  </w:footnote>
  <w:footnote w:id="3713">
    <w:p>
      <w:pPr>
        <w:pStyle w:val="FootnoteText"/>
      </w:pPr>
      <w:r>
        <w:rPr>
          <w:rStyle w:val="FootnoteReference"/>
        </w:rPr>
        <w:footnoteRef/>
      </w:r>
      <w:r>
        <w:t xml:space="preserve"> </w:t>
      </w:r>
      <w:r>
        <w:t xml:space="preserve">《赫马牧人》，</w:t>
      </w:r>
      <w:r>
        <w:rPr>
          <w:i/>
          <w:iCs/>
        </w:rPr>
        <w:t xml:space="preserve">Mandate</w:t>
      </w:r>
      <w:r>
        <w:t xml:space="preserve"> </w:t>
      </w:r>
      <w:r>
        <w:t xml:space="preserve">2，1：PG 2，916。</w:t>
      </w:r>
    </w:p>
  </w:footnote>
  <w:footnote w:id="3714">
    <w:p>
      <w:pPr>
        <w:pStyle w:val="FootnoteText"/>
      </w:pPr>
      <w:r>
        <w:rPr>
          <w:rStyle w:val="FootnoteReference"/>
        </w:rPr>
        <w:footnoteRef/>
      </w:r>
      <w:r>
        <w:t xml:space="preserve"> </w:t>
      </w:r>
      <w:r>
        <w:t xml:space="preserve">太 5:8。</w:t>
      </w:r>
    </w:p>
  </w:footnote>
  <w:footnote w:id="3715">
    <w:p>
      <w:pPr>
        <w:pStyle w:val="FootnoteText"/>
      </w:pPr>
      <w:r>
        <w:rPr>
          <w:rStyle w:val="FootnoteReference"/>
        </w:rPr>
        <w:footnoteRef/>
      </w:r>
      <w:r>
        <w:t xml:space="preserve"> </w:t>
      </w:r>
      <w:r>
        <w:t xml:space="preserve">参提前 4:3-9；提后 2:22。</w:t>
      </w:r>
    </w:p>
  </w:footnote>
  <w:footnote w:id="3716">
    <w:p>
      <w:pPr>
        <w:pStyle w:val="FootnoteText"/>
      </w:pPr>
      <w:r>
        <w:rPr>
          <w:rStyle w:val="FootnoteReference"/>
        </w:rPr>
        <w:footnoteRef/>
      </w:r>
      <w:r>
        <w:t xml:space="preserve"> </w:t>
      </w:r>
      <w:r>
        <w:t xml:space="preserve">参帖前 4:7；西 3:5；弗 4:19。</w:t>
      </w:r>
    </w:p>
  </w:footnote>
  <w:footnote w:id="3717">
    <w:p>
      <w:pPr>
        <w:pStyle w:val="FootnoteText"/>
      </w:pPr>
      <w:r>
        <w:rPr>
          <w:rStyle w:val="FootnoteReference"/>
        </w:rPr>
        <w:footnoteRef/>
      </w:r>
      <w:r>
        <w:t xml:space="preserve"> </w:t>
      </w:r>
      <w:r>
        <w:t xml:space="preserve">参多 1:15；提前 1:3-4；提后 2:23-26。</w:t>
      </w:r>
    </w:p>
  </w:footnote>
  <w:footnote w:id="3718">
    <w:p>
      <w:pPr>
        <w:pStyle w:val="FootnoteText"/>
      </w:pPr>
      <w:r>
        <w:rPr>
          <w:rStyle w:val="FootnoteReference"/>
        </w:rPr>
        <w:footnoteRef/>
      </w:r>
      <w:r>
        <w:t xml:space="preserve"> </w:t>
      </w:r>
      <w:r>
        <w:t xml:space="preserve">圣奥古斯丁，</w:t>
      </w:r>
      <w:r>
        <w:rPr>
          <w:i/>
          <w:iCs/>
        </w:rPr>
        <w:t xml:space="preserve">De fide et symbolo</w:t>
      </w:r>
      <w:r>
        <w:t xml:space="preserve"> </w:t>
      </w:r>
      <w:r>
        <w:t xml:space="preserve">10，25：PL 40，196。</w:t>
      </w:r>
    </w:p>
  </w:footnote>
  <w:footnote w:id="3719">
    <w:p>
      <w:pPr>
        <w:pStyle w:val="FootnoteText"/>
      </w:pPr>
      <w:r>
        <w:rPr>
          <w:rStyle w:val="FootnoteReference"/>
        </w:rPr>
        <w:footnoteRef/>
      </w:r>
      <w:r>
        <w:t xml:space="preserve"> </w:t>
      </w:r>
      <w:r>
        <w:t xml:space="preserve">参林前 13:12；约壹 3:2。</w:t>
      </w:r>
    </w:p>
  </w:footnote>
  <w:footnote w:id="3721">
    <w:p>
      <w:pPr>
        <w:pStyle w:val="FootnoteText"/>
      </w:pPr>
      <w:r>
        <w:rPr>
          <w:rStyle w:val="FootnoteReference"/>
        </w:rPr>
        <w:footnoteRef/>
      </w:r>
      <w:r>
        <w:t xml:space="preserve"> </w:t>
      </w:r>
      <w:r>
        <w:t xml:space="preserve">参罗 12:2；西 1:10。</w:t>
      </w:r>
    </w:p>
  </w:footnote>
  <w:footnote w:id="3722">
    <w:p>
      <w:pPr>
        <w:pStyle w:val="FootnoteText"/>
      </w:pPr>
      <w:r>
        <w:rPr>
          <w:rStyle w:val="FootnoteReference"/>
        </w:rPr>
        <w:footnoteRef/>
      </w:r>
      <w:r>
        <w:t xml:space="preserve"> </w:t>
      </w:r>
      <w:r>
        <w:t xml:space="preserve">智 15:5。</w:t>
      </w:r>
    </w:p>
  </w:footnote>
  <w:footnote w:id="3723">
    <w:p>
      <w:pPr>
        <w:pStyle w:val="FootnoteText"/>
      </w:pPr>
      <w:r>
        <w:rPr>
          <w:rStyle w:val="FootnoteReference"/>
        </w:rPr>
        <w:footnoteRef/>
      </w:r>
      <w:r>
        <w:t xml:space="preserve"> </w:t>
      </w:r>
      <w:r>
        <w:t xml:space="preserve">圣奥古斯丁，</w:t>
      </w:r>
      <w:r>
        <w:rPr>
          <w:i/>
          <w:iCs/>
        </w:rPr>
        <w:t xml:space="preserve">Conf.</w:t>
      </w:r>
      <w:r>
        <w:t xml:space="preserve"> </w:t>
      </w:r>
      <w:r>
        <w:t xml:space="preserve">6，11，20：PL 32，729-730。</w:t>
      </w:r>
    </w:p>
  </w:footnote>
  <w:footnote w:id="3724">
    <w:p>
      <w:pPr>
        <w:pStyle w:val="FootnoteText"/>
      </w:pPr>
      <w:r>
        <w:rPr>
          <w:rStyle w:val="FootnoteReference"/>
        </w:rPr>
        <w:footnoteRef/>
      </w:r>
      <w:r>
        <w:t xml:space="preserve"> </w:t>
      </w:r>
      <w:r>
        <w:t xml:space="preserve">GS 58 § 4。</w:t>
      </w:r>
    </w:p>
  </w:footnote>
  <w:footnote w:id="3728">
    <w:p>
      <w:pPr>
        <w:pStyle w:val="FootnoteText"/>
      </w:pPr>
      <w:r>
        <w:rPr>
          <w:rStyle w:val="FootnoteReference"/>
        </w:rPr>
        <w:footnoteRef/>
      </w:r>
      <w:r>
        <w:t xml:space="preserve"> </w:t>
      </w:r>
      <w:r>
        <w:t xml:space="preserve">出 20:17；申 5:21。</w:t>
      </w:r>
    </w:p>
  </w:footnote>
  <w:footnote w:id="3729">
    <w:p>
      <w:pPr>
        <w:pStyle w:val="FootnoteText"/>
      </w:pPr>
      <w:r>
        <w:rPr>
          <w:rStyle w:val="FootnoteReference"/>
        </w:rPr>
        <w:footnoteRef/>
      </w:r>
      <w:r>
        <w:t xml:space="preserve"> </w:t>
      </w:r>
      <w:r>
        <w:t xml:space="preserve">太 6:21。</w:t>
      </w:r>
    </w:p>
  </w:footnote>
  <w:footnote w:id="3730">
    <w:p>
      <w:pPr>
        <w:pStyle w:val="FootnoteText"/>
      </w:pPr>
      <w:r>
        <w:rPr>
          <w:rStyle w:val="FootnoteReference"/>
        </w:rPr>
        <w:footnoteRef/>
      </w:r>
      <w:r>
        <w:t xml:space="preserve"> </w:t>
      </w:r>
      <w:r>
        <w:t xml:space="preserve">参约壹 2:16；弥 2:2。</w:t>
      </w:r>
    </w:p>
  </w:footnote>
  <w:footnote w:id="3731">
    <w:p>
      <w:pPr>
        <w:pStyle w:val="FootnoteText"/>
      </w:pPr>
      <w:r>
        <w:rPr>
          <w:rStyle w:val="FootnoteReference"/>
        </w:rPr>
        <w:footnoteRef/>
      </w:r>
      <w:r>
        <w:t xml:space="preserve"> </w:t>
      </w:r>
      <w:r>
        <w:t xml:space="preserve">参智 14:12。</w:t>
      </w:r>
    </w:p>
  </w:footnote>
  <w:footnote w:id="3732">
    <w:p>
      <w:pPr>
        <w:pStyle w:val="FootnoteText"/>
      </w:pPr>
      <w:r>
        <w:rPr>
          <w:rStyle w:val="FootnoteReference"/>
        </w:rPr>
        <w:footnoteRef/>
      </w:r>
      <w:r>
        <w:t xml:space="preserve"> </w:t>
      </w:r>
      <w:r>
        <w:t xml:space="preserve">《罗马教理》III，37；参德 5:8。</w:t>
      </w:r>
    </w:p>
  </w:footnote>
  <w:footnote w:id="3733">
    <w:p>
      <w:pPr>
        <w:pStyle w:val="FootnoteText"/>
      </w:pPr>
      <w:r>
        <w:rPr>
          <w:rStyle w:val="FootnoteReference"/>
        </w:rPr>
        <w:footnoteRef/>
      </w:r>
      <w:r>
        <w:t xml:space="preserve"> </w:t>
      </w:r>
      <w:r>
        <w:t xml:space="preserve">《罗马教理》III，37。</w:t>
      </w:r>
    </w:p>
  </w:footnote>
  <w:footnote w:id="3734">
    <w:p>
      <w:pPr>
        <w:pStyle w:val="FootnoteText"/>
      </w:pPr>
      <w:r>
        <w:rPr>
          <w:rStyle w:val="FootnoteReference"/>
        </w:rPr>
        <w:footnoteRef/>
      </w:r>
      <w:r>
        <w:t xml:space="preserve"> </w:t>
      </w:r>
      <w:r>
        <w:t xml:space="preserve">参2撒 12:14。</w:t>
      </w:r>
    </w:p>
  </w:footnote>
  <w:footnote w:id="3735">
    <w:p>
      <w:pPr>
        <w:pStyle w:val="FootnoteText"/>
      </w:pPr>
      <w:r>
        <w:rPr>
          <w:rStyle w:val="FootnoteReference"/>
        </w:rPr>
        <w:footnoteRef/>
      </w:r>
      <w:r>
        <w:t xml:space="preserve"> </w:t>
      </w:r>
      <w:r>
        <w:t xml:space="preserve">参创 4:3-7；1王 21:1-29。</w:t>
      </w:r>
    </w:p>
  </w:footnote>
  <w:footnote w:id="3736">
    <w:p>
      <w:pPr>
        <w:pStyle w:val="FootnoteText"/>
      </w:pPr>
      <w:r>
        <w:rPr>
          <w:rStyle w:val="FootnoteReference"/>
        </w:rPr>
        <w:footnoteRef/>
      </w:r>
      <w:r>
        <w:t xml:space="preserve"> </w:t>
      </w:r>
      <w:r>
        <w:t xml:space="preserve">智 2:24。</w:t>
      </w:r>
    </w:p>
  </w:footnote>
  <w:footnote w:id="3737">
    <w:p>
      <w:pPr>
        <w:pStyle w:val="FootnoteText"/>
      </w:pPr>
      <w:r>
        <w:rPr>
          <w:rStyle w:val="FootnoteReference"/>
        </w:rPr>
        <w:footnoteRef/>
      </w:r>
      <w:r>
        <w:t xml:space="preserve"> </w:t>
      </w:r>
      <w:r>
        <w:t xml:space="preserve">圣约翰·屈梭多模，</w:t>
      </w:r>
      <w:r>
        <w:rPr>
          <w:i/>
          <w:iCs/>
        </w:rPr>
        <w:t xml:space="preserve">Homiliae in Secondam ad Corinthios</w:t>
      </w:r>
      <w:r>
        <w:t xml:space="preserve"> </w:t>
      </w:r>
      <w:r>
        <w:t xml:space="preserve">27，3-4：PG 61，588。</w:t>
      </w:r>
    </w:p>
  </w:footnote>
  <w:footnote w:id="3738">
    <w:p>
      <w:pPr>
        <w:pStyle w:val="FootnoteText"/>
      </w:pPr>
      <w:r>
        <w:rPr>
          <w:rStyle w:val="FootnoteReference"/>
        </w:rPr>
        <w:footnoteRef/>
      </w:r>
      <w:r>
        <w:t xml:space="preserve"> </w:t>
      </w:r>
      <w:r>
        <w:t xml:space="preserve">参圣奥古斯丁，</w:t>
      </w:r>
      <w:r>
        <w:rPr>
          <w:i/>
          <w:iCs/>
        </w:rPr>
        <w:t xml:space="preserve">De catechizandis rudibus</w:t>
      </w:r>
      <w:r>
        <w:t xml:space="preserve"> </w:t>
      </w:r>
      <w:r>
        <w:t xml:space="preserve">4，8：PL 40，315-316。</w:t>
      </w:r>
    </w:p>
  </w:footnote>
  <w:footnote w:id="3739">
    <w:p>
      <w:pPr>
        <w:pStyle w:val="FootnoteText"/>
      </w:pPr>
      <w:r>
        <w:rPr>
          <w:rStyle w:val="FootnoteReference"/>
        </w:rPr>
        <w:footnoteRef/>
      </w:r>
      <w:r>
        <w:t xml:space="preserve"> </w:t>
      </w:r>
      <w:r>
        <w:t xml:space="preserve">圣额我略大帝，</w:t>
      </w:r>
      <w:r>
        <w:rPr>
          <w:i/>
          <w:iCs/>
        </w:rPr>
        <w:t xml:space="preserve">Moralia in Job</w:t>
      </w:r>
      <w:r>
        <w:t xml:space="preserve"> </w:t>
      </w:r>
      <w:r>
        <w:t xml:space="preserve">31，45：PL 76，621。</w:t>
      </w:r>
    </w:p>
  </w:footnote>
  <w:footnote w:id="3740">
    <w:p>
      <w:pPr>
        <w:pStyle w:val="FootnoteText"/>
      </w:pPr>
      <w:r>
        <w:rPr>
          <w:rStyle w:val="FootnoteReference"/>
        </w:rPr>
        <w:footnoteRef/>
      </w:r>
      <w:r>
        <w:t xml:space="preserve"> </w:t>
      </w:r>
      <w:r>
        <w:t xml:space="preserve">圣约翰·屈梭多模，</w:t>
      </w:r>
      <w:r>
        <w:rPr>
          <w:i/>
          <w:iCs/>
        </w:rPr>
        <w:t xml:space="preserve">Homiliae in Romanos</w:t>
      </w:r>
      <w:r>
        <w:t xml:space="preserve"> </w:t>
      </w:r>
      <w:r>
        <w:t xml:space="preserve">71，5：PG 60，448。</w:t>
      </w:r>
    </w:p>
  </w:footnote>
  <w:footnote w:id="3742">
    <w:p>
      <w:pPr>
        <w:pStyle w:val="FootnoteText"/>
      </w:pPr>
      <w:r>
        <w:rPr>
          <w:rStyle w:val="FootnoteReference"/>
        </w:rPr>
        <w:footnoteRef/>
      </w:r>
      <w:r>
        <w:t xml:space="preserve"> </w:t>
      </w:r>
      <w:r>
        <w:t xml:space="preserve">创 3:6。</w:t>
      </w:r>
    </w:p>
  </w:footnote>
  <w:footnote w:id="3743">
    <w:p>
      <w:pPr>
        <w:pStyle w:val="FootnoteText"/>
      </w:pPr>
      <w:r>
        <w:rPr>
          <w:rStyle w:val="FootnoteReference"/>
        </w:rPr>
        <w:footnoteRef/>
      </w:r>
      <w:r>
        <w:t xml:space="preserve"> </w:t>
      </w:r>
      <w:r>
        <w:t xml:space="preserve">参罗 7:7。</w:t>
      </w:r>
    </w:p>
  </w:footnote>
  <w:footnote w:id="3744">
    <w:p>
      <w:pPr>
        <w:pStyle w:val="FootnoteText"/>
      </w:pPr>
      <w:r>
        <w:rPr>
          <w:rStyle w:val="FootnoteReference"/>
        </w:rPr>
        <w:footnoteRef/>
      </w:r>
      <w:r>
        <w:t xml:space="preserve"> </w:t>
      </w:r>
      <w:r>
        <w:t xml:space="preserve">罗 7:23；参 7:10。</w:t>
      </w:r>
    </w:p>
  </w:footnote>
  <w:footnote w:id="3745">
    <w:p>
      <w:pPr>
        <w:pStyle w:val="FootnoteText"/>
      </w:pPr>
      <w:r>
        <w:rPr>
          <w:rStyle w:val="FootnoteReference"/>
        </w:rPr>
        <w:footnoteRef/>
      </w:r>
      <w:r>
        <w:t xml:space="preserve"> </w:t>
      </w:r>
      <w:r>
        <w:t xml:space="preserve">罗 3:21-22。</w:t>
      </w:r>
    </w:p>
  </w:footnote>
  <w:footnote w:id="3746">
    <w:p>
      <w:pPr>
        <w:pStyle w:val="FootnoteText"/>
      </w:pPr>
      <w:r>
        <w:rPr>
          <w:rStyle w:val="FootnoteReference"/>
        </w:rPr>
        <w:footnoteRef/>
      </w:r>
      <w:r>
        <w:t xml:space="preserve"> </w:t>
      </w:r>
      <w:r>
        <w:t xml:space="preserve">加 5:24；参罗 8:14、27。</w:t>
      </w:r>
    </w:p>
  </w:footnote>
  <w:footnote w:id="3748">
    <w:p>
      <w:pPr>
        <w:pStyle w:val="FootnoteText"/>
      </w:pPr>
      <w:r>
        <w:rPr>
          <w:rStyle w:val="FootnoteReference"/>
        </w:rPr>
        <w:footnoteRef/>
      </w:r>
      <w:r>
        <w:t xml:space="preserve"> </w:t>
      </w:r>
      <w:r>
        <w:t xml:space="preserve">路 14:33；参可 8:35。</w:t>
      </w:r>
    </w:p>
  </w:footnote>
  <w:footnote w:id="3749">
    <w:p>
      <w:pPr>
        <w:pStyle w:val="FootnoteText"/>
      </w:pPr>
      <w:r>
        <w:rPr>
          <w:rStyle w:val="FootnoteReference"/>
        </w:rPr>
        <w:footnoteRef/>
      </w:r>
      <w:r>
        <w:t xml:space="preserve"> </w:t>
      </w:r>
      <w:r>
        <w:t xml:space="preserve">参路 21:4。</w:t>
      </w:r>
    </w:p>
  </w:footnote>
  <w:footnote w:id="3750">
    <w:p>
      <w:pPr>
        <w:pStyle w:val="FootnoteText"/>
      </w:pPr>
      <w:r>
        <w:rPr>
          <w:rStyle w:val="FootnoteReference"/>
        </w:rPr>
        <w:footnoteRef/>
      </w:r>
      <w:r>
        <w:t xml:space="preserve"> </w:t>
      </w:r>
      <w:r>
        <w:t xml:space="preserve">LG 42 § 3。</w:t>
      </w:r>
    </w:p>
  </w:footnote>
  <w:footnote w:id="3751">
    <w:p>
      <w:pPr>
        <w:pStyle w:val="FootnoteText"/>
      </w:pPr>
      <w:r>
        <w:rPr>
          <w:rStyle w:val="FootnoteReference"/>
        </w:rPr>
        <w:footnoteRef/>
      </w:r>
      <w:r>
        <w:t xml:space="preserve"> </w:t>
      </w:r>
      <w:r>
        <w:t xml:space="preserve">太 5:3。</w:t>
      </w:r>
    </w:p>
  </w:footnote>
  <w:footnote w:id="3752">
    <w:p>
      <w:pPr>
        <w:pStyle w:val="FootnoteText"/>
      </w:pPr>
      <w:r>
        <w:rPr>
          <w:rStyle w:val="FootnoteReference"/>
        </w:rPr>
        <w:footnoteRef/>
      </w:r>
      <w:r>
        <w:t xml:space="preserve"> </w:t>
      </w:r>
      <w:r>
        <w:t xml:space="preserve">参路 6:20。</w:t>
      </w:r>
    </w:p>
  </w:footnote>
  <w:footnote w:id="3753">
    <w:p>
      <w:pPr>
        <w:pStyle w:val="FootnoteText"/>
      </w:pPr>
      <w:r>
        <w:rPr>
          <w:rStyle w:val="FootnoteReference"/>
        </w:rPr>
        <w:footnoteRef/>
      </w:r>
      <w:r>
        <w:t xml:space="preserve"> </w:t>
      </w:r>
      <w:r>
        <w:t xml:space="preserve">圣额我略·尼撒，</w:t>
      </w:r>
      <w:r>
        <w:rPr>
          <w:i/>
          <w:iCs/>
        </w:rPr>
        <w:t xml:space="preserve">De beatitudinibus</w:t>
      </w:r>
      <w:r>
        <w:t xml:space="preserve"> </w:t>
      </w:r>
      <w:r>
        <w:t xml:space="preserve">1：PG 44，1200D；参2林 8:9。</w:t>
      </w:r>
    </w:p>
  </w:footnote>
  <w:footnote w:id="3754">
    <w:p>
      <w:pPr>
        <w:pStyle w:val="FootnoteText"/>
      </w:pPr>
      <w:r>
        <w:rPr>
          <w:rStyle w:val="FootnoteReference"/>
        </w:rPr>
        <w:footnoteRef/>
      </w:r>
      <w:r>
        <w:t xml:space="preserve"> </w:t>
      </w:r>
      <w:r>
        <w:t xml:space="preserve">路 6:24。</w:t>
      </w:r>
    </w:p>
  </w:footnote>
  <w:footnote w:id="3755">
    <w:p>
      <w:pPr>
        <w:pStyle w:val="FootnoteText"/>
      </w:pPr>
      <w:r>
        <w:rPr>
          <w:rStyle w:val="FootnoteReference"/>
        </w:rPr>
        <w:footnoteRef/>
      </w:r>
      <w:r>
        <w:t xml:space="preserve"> </w:t>
      </w:r>
      <w:r>
        <w:t xml:space="preserve">圣奥古斯丁，</w:t>
      </w:r>
      <w:r>
        <w:rPr>
          <w:i/>
          <w:iCs/>
        </w:rPr>
        <w:t xml:space="preserve">De sermone Domini in monte</w:t>
      </w:r>
      <w:r>
        <w:t xml:space="preserve"> </w:t>
      </w:r>
      <w:r>
        <w:t xml:space="preserve">1，1，3：PL 34，1232。</w:t>
      </w:r>
    </w:p>
  </w:footnote>
  <w:footnote w:id="3756">
    <w:p>
      <w:pPr>
        <w:pStyle w:val="FootnoteText"/>
      </w:pPr>
      <w:r>
        <w:rPr>
          <w:rStyle w:val="FootnoteReference"/>
        </w:rPr>
        <w:footnoteRef/>
      </w:r>
      <w:r>
        <w:t xml:space="preserve"> </w:t>
      </w:r>
      <w:r>
        <w:t xml:space="preserve">参太 6:25-34。</w:t>
      </w:r>
    </w:p>
  </w:footnote>
  <w:footnote w:id="3758">
    <w:p>
      <w:pPr>
        <w:pStyle w:val="FootnoteText"/>
      </w:pPr>
      <w:r>
        <w:rPr>
          <w:rStyle w:val="FootnoteReference"/>
        </w:rPr>
        <w:footnoteRef/>
      </w:r>
      <w:r>
        <w:t xml:space="preserve"> </w:t>
      </w:r>
      <w:r>
        <w:t xml:space="preserve">圣额我略·尼撒，</w:t>
      </w:r>
      <w:r>
        <w:rPr>
          <w:i/>
          <w:iCs/>
        </w:rPr>
        <w:t xml:space="preserve">De beatitudinibus</w:t>
      </w:r>
      <w:r>
        <w:t xml:space="preserve"> </w:t>
      </w:r>
      <w:r>
        <w:t xml:space="preserve">6：PG 44，1265A。</w:t>
      </w:r>
    </w:p>
  </w:footnote>
  <w:footnote w:id="3759">
    <w:p>
      <w:pPr>
        <w:pStyle w:val="FootnoteText"/>
      </w:pPr>
      <w:r>
        <w:rPr>
          <w:rStyle w:val="FootnoteReference"/>
        </w:rPr>
        <w:footnoteRef/>
      </w:r>
      <w:r>
        <w:t xml:space="preserve"> </w:t>
      </w:r>
      <w:r>
        <w:t xml:space="preserve">参启 22:17。</w:t>
      </w:r>
    </w:p>
  </w:footnote>
  <w:footnote w:id="3760">
    <w:p>
      <w:pPr>
        <w:pStyle w:val="FootnoteText"/>
      </w:pPr>
      <w:r>
        <w:rPr>
          <w:rStyle w:val="FootnoteReference"/>
        </w:rPr>
        <w:footnoteRef/>
      </w:r>
      <w:r>
        <w:t xml:space="preserve"> </w:t>
      </w:r>
      <w:r>
        <w:t xml:space="preserve">圣奥古斯丁，</w:t>
      </w:r>
      <w:r>
        <w:rPr>
          <w:i/>
          <w:iCs/>
        </w:rPr>
        <w:t xml:space="preserve">De civitate Dei</w:t>
      </w:r>
      <w:r>
        <w:t xml:space="preserve"> </w:t>
      </w:r>
      <w:r>
        <w:t xml:space="preserve">22，30：PL 41，801-802；参利 26:12；参1林 15:28。</w:t>
      </w:r>
    </w:p>
  </w:footnote>
  <w:footnote w:id="3763">
    <w:p>
      <w:pPr>
        <w:pStyle w:val="FootnoteText"/>
      </w:pPr>
      <w:r>
        <w:rPr>
          <w:rStyle w:val="FootnoteReference"/>
        </w:rPr>
        <w:footnoteRef/>
      </w:r>
      <w:r>
        <w:t xml:space="preserve"> </w:t>
      </w:r>
      <w:r>
        <w:t xml:space="preserve">太 6:21。</w:t>
      </w:r>
    </w:p>
  </w:footnote>
  <w:footnote w:id="3768">
    <w:p>
      <w:pPr>
        <w:pStyle w:val="FootnoteText"/>
      </w:pPr>
      <w:r>
        <w:rPr>
          <w:rStyle w:val="FootnoteReference"/>
        </w:rPr>
        <w:footnoteRef/>
      </w:r>
      <w:r>
        <w:t xml:space="preserve"> </w:t>
      </w:r>
      <w:r>
        <w:t xml:space="preserve">里修的圣德兰，</w:t>
      </w:r>
      <w:r>
        <w:rPr>
          <w:i/>
          <w:iCs/>
        </w:rPr>
        <w:t xml:space="preserve">Manuscrits autobiographiques</w:t>
      </w:r>
      <w:r>
        <w:t xml:space="preserve">，C 25r。</w:t>
      </w:r>
    </w:p>
  </w:footnote>
  <w:footnote w:id="3769">
    <w:p>
      <w:pPr>
        <w:pStyle w:val="FootnoteText"/>
      </w:pPr>
      <w:r>
        <w:rPr>
          <w:rStyle w:val="FootnoteReference"/>
        </w:rPr>
        <w:footnoteRef/>
      </w:r>
      <w:r>
        <w:t xml:space="preserve"> </w:t>
      </w:r>
      <w:r>
        <w:t xml:space="preserve">大马士革的圣约翰，</w:t>
      </w:r>
      <w:r>
        <w:rPr>
          <w:i/>
          <w:iCs/>
        </w:rPr>
        <w:t xml:space="preserve">De fide orth.</w:t>
      </w:r>
      <w:r>
        <w:t xml:space="preserve"> </w:t>
      </w:r>
      <w:r>
        <w:t xml:space="preserve">3，24：PG 94，1089C。</w:t>
      </w:r>
    </w:p>
  </w:footnote>
  <w:footnote w:id="3770">
    <w:p>
      <w:pPr>
        <w:pStyle w:val="FootnoteText"/>
      </w:pPr>
      <w:r>
        <w:rPr>
          <w:rStyle w:val="FootnoteReference"/>
        </w:rPr>
        <w:footnoteRef/>
      </w:r>
      <w:r>
        <w:t xml:space="preserve"> </w:t>
      </w:r>
      <w:r>
        <w:t xml:space="preserve">诗 130:1。</w:t>
      </w:r>
    </w:p>
  </w:footnote>
  <w:footnote w:id="3771">
    <w:p>
      <w:pPr>
        <w:pStyle w:val="FootnoteText"/>
      </w:pPr>
      <w:r>
        <w:rPr>
          <w:rStyle w:val="FootnoteReference"/>
        </w:rPr>
        <w:footnoteRef/>
      </w:r>
      <w:r>
        <w:t xml:space="preserve"> </w:t>
      </w:r>
      <w:r>
        <w:t xml:space="preserve">参路 18:9-14。</w:t>
      </w:r>
    </w:p>
  </w:footnote>
  <w:footnote w:id="3772">
    <w:p>
      <w:pPr>
        <w:pStyle w:val="FootnoteText"/>
      </w:pPr>
      <w:r>
        <w:rPr>
          <w:rStyle w:val="FootnoteReference"/>
        </w:rPr>
        <w:footnoteRef/>
      </w:r>
      <w:r>
        <w:t xml:space="preserve"> </w:t>
      </w:r>
      <w:r>
        <w:t xml:space="preserve">罗 8:26。</w:t>
      </w:r>
    </w:p>
  </w:footnote>
  <w:footnote w:id="3773">
    <w:p>
      <w:pPr>
        <w:pStyle w:val="FootnoteText"/>
      </w:pPr>
      <w:r>
        <w:rPr>
          <w:rStyle w:val="FootnoteReference"/>
        </w:rPr>
        <w:footnoteRef/>
      </w:r>
      <w:r>
        <w:t xml:space="preserve"> </w:t>
      </w:r>
      <w:r>
        <w:t xml:space="preserve">圣奥古斯丁，</w:t>
      </w:r>
      <w:r>
        <w:rPr>
          <w:i/>
          <w:iCs/>
        </w:rPr>
        <w:t xml:space="preserve">Sermo</w:t>
      </w:r>
      <w:r>
        <w:t xml:space="preserve"> </w:t>
      </w:r>
      <w:r>
        <w:t xml:space="preserve">56，6，9：PL 38，381。</w:t>
      </w:r>
    </w:p>
  </w:footnote>
  <w:footnote w:id="3774">
    <w:p>
      <w:pPr>
        <w:pStyle w:val="FootnoteText"/>
      </w:pPr>
      <w:r>
        <w:rPr>
          <w:rStyle w:val="FootnoteReference"/>
        </w:rPr>
        <w:footnoteRef/>
      </w:r>
      <w:r>
        <w:t xml:space="preserve"> </w:t>
      </w:r>
      <w:r>
        <w:t xml:space="preserve">约 4:10。</w:t>
      </w:r>
    </w:p>
  </w:footnote>
  <w:footnote w:id="3775">
    <w:p>
      <w:pPr>
        <w:pStyle w:val="FootnoteText"/>
      </w:pPr>
      <w:r>
        <w:rPr>
          <w:rStyle w:val="FootnoteReference"/>
        </w:rPr>
        <w:footnoteRef/>
      </w:r>
      <w:r>
        <w:t xml:space="preserve"> </w:t>
      </w:r>
      <w:r>
        <w:t xml:space="preserve">参圣奥古斯丁，</w:t>
      </w:r>
      <w:r>
        <w:rPr>
          <w:i/>
          <w:iCs/>
        </w:rPr>
        <w:t xml:space="preserve">De diversis quaestionibus octoginta tribus</w:t>
      </w:r>
      <w:r>
        <w:t xml:space="preserve"> </w:t>
      </w:r>
      <w:r>
        <w:t xml:space="preserve">64，4：PL 40，56。</w:t>
      </w:r>
    </w:p>
  </w:footnote>
  <w:footnote w:id="3776">
    <w:p>
      <w:pPr>
        <w:pStyle w:val="FootnoteText"/>
      </w:pPr>
      <w:r>
        <w:rPr>
          <w:rStyle w:val="FootnoteReference"/>
        </w:rPr>
        <w:footnoteRef/>
      </w:r>
      <w:r>
        <w:t xml:space="preserve"> </w:t>
      </w:r>
      <w:r>
        <w:t xml:space="preserve">约 4:10。</w:t>
      </w:r>
    </w:p>
  </w:footnote>
  <w:footnote w:id="3777">
    <w:p>
      <w:pPr>
        <w:pStyle w:val="FootnoteText"/>
      </w:pPr>
      <w:r>
        <w:rPr>
          <w:rStyle w:val="FootnoteReference"/>
        </w:rPr>
        <w:footnoteRef/>
      </w:r>
      <w:r>
        <w:t xml:space="preserve"> </w:t>
      </w:r>
      <w:r>
        <w:t xml:space="preserve">耶 2:13。</w:t>
      </w:r>
    </w:p>
  </w:footnote>
  <w:footnote w:id="3778">
    <w:p>
      <w:pPr>
        <w:pStyle w:val="FootnoteText"/>
      </w:pPr>
      <w:r>
        <w:rPr>
          <w:rStyle w:val="FootnoteReference"/>
        </w:rPr>
        <w:footnoteRef/>
      </w:r>
      <w:r>
        <w:t xml:space="preserve"> </w:t>
      </w:r>
      <w:r>
        <w:t xml:space="preserve">参约 7:37-39；19:28；赛 12:3；51:1；亚 12:10；13:1。</w:t>
      </w:r>
    </w:p>
  </w:footnote>
  <w:footnote w:id="3779">
    <w:p>
      <w:pPr>
        <w:pStyle w:val="FootnoteText"/>
      </w:pPr>
      <w:r>
        <w:rPr>
          <w:rStyle w:val="FootnoteReference"/>
        </w:rPr>
        <w:footnoteRef/>
      </w:r>
      <w:r>
        <w:t xml:space="preserve"> </w:t>
      </w:r>
      <w:r>
        <w:t xml:space="preserve">圣额我略·纳齐安，</w:t>
      </w:r>
      <w:r>
        <w:rPr>
          <w:i/>
          <w:iCs/>
        </w:rPr>
        <w:t xml:space="preserve">Oratio</w:t>
      </w:r>
      <w:r>
        <w:t xml:space="preserve"> </w:t>
      </w:r>
      <w:r>
        <w:t xml:space="preserve">16，9：PG 35，945。</w:t>
      </w:r>
    </w:p>
  </w:footnote>
  <w:footnote w:id="3780">
    <w:p>
      <w:pPr>
        <w:pStyle w:val="FootnoteText"/>
      </w:pPr>
      <w:r>
        <w:rPr>
          <w:rStyle w:val="FootnoteReference"/>
        </w:rPr>
        <w:footnoteRef/>
      </w:r>
      <w:r>
        <w:t xml:space="preserve"> </w:t>
      </w:r>
      <w:r>
        <w:t xml:space="preserve">参罗 6:5。</w:t>
      </w:r>
    </w:p>
  </w:footnote>
  <w:footnote w:id="3781">
    <w:p>
      <w:pPr>
        <w:pStyle w:val="FootnoteText"/>
      </w:pPr>
      <w:r>
        <w:rPr>
          <w:rStyle w:val="FootnoteReference"/>
        </w:rPr>
        <w:footnoteRef/>
      </w:r>
      <w:r>
        <w:t xml:space="preserve"> </w:t>
      </w:r>
      <w:r>
        <w:t xml:space="preserve">参弗 3:18-21。</w:t>
      </w:r>
    </w:p>
  </w:footnote>
  <w:footnote w:id="3783">
    <w:p>
      <w:pPr>
        <w:pStyle w:val="FootnoteText"/>
      </w:pPr>
      <w:r>
        <w:rPr>
          <w:rStyle w:val="FootnoteReference"/>
        </w:rPr>
        <w:footnoteRef/>
      </w:r>
      <w:r>
        <w:t xml:space="preserve"> </w:t>
      </w:r>
      <w:r>
        <w:t xml:space="preserve">诗 8:5；8:1。</w:t>
      </w:r>
    </w:p>
  </w:footnote>
  <w:footnote w:id="3784">
    <w:p>
      <w:pPr>
        <w:pStyle w:val="FootnoteText"/>
      </w:pPr>
      <w:r>
        <w:rPr>
          <w:rStyle w:val="FootnoteReference"/>
        </w:rPr>
        <w:footnoteRef/>
      </w:r>
      <w:r>
        <w:t xml:space="preserve"> </w:t>
      </w:r>
      <w:r>
        <w:t xml:space="preserve">参徒 17:27。</w:t>
      </w:r>
    </w:p>
  </w:footnote>
  <w:footnote w:id="3785">
    <w:p>
      <w:pPr>
        <w:pStyle w:val="FootnoteText"/>
      </w:pPr>
      <w:r>
        <w:rPr>
          <w:rStyle w:val="FootnoteReference"/>
        </w:rPr>
        <w:footnoteRef/>
      </w:r>
      <w:r>
        <w:t xml:space="preserve"> </w:t>
      </w:r>
      <w:r>
        <w:t xml:space="preserve">创 3:9、13。</w:t>
      </w:r>
    </w:p>
  </w:footnote>
  <w:footnote w:id="3786">
    <w:p>
      <w:pPr>
        <w:pStyle w:val="FootnoteText"/>
      </w:pPr>
      <w:r>
        <w:rPr>
          <w:rStyle w:val="FootnoteReference"/>
        </w:rPr>
        <w:footnoteRef/>
      </w:r>
      <w:r>
        <w:t xml:space="preserve"> </w:t>
      </w:r>
      <w:r>
        <w:t xml:space="preserve">来 10:5-7。</w:t>
      </w:r>
    </w:p>
  </w:footnote>
  <w:footnote w:id="3787">
    <w:p>
      <w:pPr>
        <w:pStyle w:val="FootnoteText"/>
      </w:pPr>
      <w:r>
        <w:rPr>
          <w:rStyle w:val="FootnoteReference"/>
        </w:rPr>
        <w:footnoteRef/>
      </w:r>
      <w:r>
        <w:t xml:space="preserve"> </w:t>
      </w:r>
      <w:r>
        <w:t xml:space="preserve">参创 4:4、26；5:24。</w:t>
      </w:r>
    </w:p>
  </w:footnote>
  <w:footnote w:id="3788">
    <w:p>
      <w:pPr>
        <w:pStyle w:val="FootnoteText"/>
      </w:pPr>
      <w:r>
        <w:rPr>
          <w:rStyle w:val="FootnoteReference"/>
        </w:rPr>
        <w:footnoteRef/>
      </w:r>
      <w:r>
        <w:t xml:space="preserve"> </w:t>
      </w:r>
      <w:r>
        <w:t xml:space="preserve">创 6:9；8:20-9:17。</w:t>
      </w:r>
    </w:p>
  </w:footnote>
  <w:footnote w:id="3789">
    <w:p>
      <w:pPr>
        <w:pStyle w:val="FootnoteText"/>
      </w:pPr>
      <w:r>
        <w:rPr>
          <w:rStyle w:val="FootnoteReference"/>
        </w:rPr>
        <w:footnoteRef/>
      </w:r>
      <w:r>
        <w:t xml:space="preserve"> </w:t>
      </w:r>
      <w:r>
        <w:t xml:space="preserve">创 9:8-16。</w:t>
      </w:r>
    </w:p>
  </w:footnote>
  <w:footnote w:id="3790">
    <w:p>
      <w:pPr>
        <w:pStyle w:val="FootnoteText"/>
      </w:pPr>
      <w:r>
        <w:rPr>
          <w:rStyle w:val="FootnoteReference"/>
        </w:rPr>
        <w:footnoteRef/>
      </w:r>
      <w:r>
        <w:t xml:space="preserve"> </w:t>
      </w:r>
      <w:r>
        <w:t xml:space="preserve">创 12:4。</w:t>
      </w:r>
    </w:p>
  </w:footnote>
  <w:footnote w:id="3791">
    <w:p>
      <w:pPr>
        <w:pStyle w:val="FootnoteText"/>
      </w:pPr>
      <w:r>
        <w:rPr>
          <w:rStyle w:val="FootnoteReference"/>
        </w:rPr>
        <w:footnoteRef/>
      </w:r>
      <w:r>
        <w:t xml:space="preserve"> </w:t>
      </w:r>
      <w:r>
        <w:t xml:space="preserve">参创 15:2 起。</w:t>
      </w:r>
    </w:p>
  </w:footnote>
  <w:footnote w:id="3792">
    <w:p>
      <w:pPr>
        <w:pStyle w:val="FootnoteText"/>
      </w:pPr>
      <w:r>
        <w:rPr>
          <w:rStyle w:val="FootnoteReference"/>
        </w:rPr>
        <w:footnoteRef/>
      </w:r>
      <w:r>
        <w:t xml:space="preserve"> </w:t>
      </w:r>
      <w:r>
        <w:t xml:space="preserve">参创 15:6；17:1 起。</w:t>
      </w:r>
    </w:p>
  </w:footnote>
  <w:footnote w:id="3793">
    <w:p>
      <w:pPr>
        <w:pStyle w:val="FootnoteText"/>
      </w:pPr>
      <w:r>
        <w:rPr>
          <w:rStyle w:val="FootnoteReference"/>
        </w:rPr>
        <w:footnoteRef/>
      </w:r>
      <w:r>
        <w:t xml:space="preserve"> </w:t>
      </w:r>
      <w:r>
        <w:t xml:space="preserve">参创 18:1-15；路 1:26-38。</w:t>
      </w:r>
    </w:p>
  </w:footnote>
  <w:footnote w:id="3794">
    <w:p>
      <w:pPr>
        <w:pStyle w:val="FootnoteText"/>
      </w:pPr>
      <w:r>
        <w:rPr>
          <w:rStyle w:val="FootnoteReference"/>
        </w:rPr>
        <w:footnoteRef/>
      </w:r>
      <w:r>
        <w:t xml:space="preserve"> </w:t>
      </w:r>
      <w:r>
        <w:t xml:space="preserve">参创 18:16-33。</w:t>
      </w:r>
    </w:p>
  </w:footnote>
  <w:footnote w:id="3795">
    <w:p>
      <w:pPr>
        <w:pStyle w:val="FootnoteText"/>
      </w:pPr>
      <w:r>
        <w:rPr>
          <w:rStyle w:val="FootnoteReference"/>
        </w:rPr>
        <w:footnoteRef/>
      </w:r>
      <w:r>
        <w:t xml:space="preserve"> </w:t>
      </w:r>
      <w:r>
        <w:t xml:space="preserve">来 11:17。</w:t>
      </w:r>
    </w:p>
  </w:footnote>
  <w:footnote w:id="3796">
    <w:p>
      <w:pPr>
        <w:pStyle w:val="FootnoteText"/>
      </w:pPr>
      <w:r>
        <w:rPr>
          <w:rStyle w:val="FootnoteReference"/>
        </w:rPr>
        <w:footnoteRef/>
      </w:r>
      <w:r>
        <w:t xml:space="preserve"> </w:t>
      </w:r>
      <w:r>
        <w:t xml:space="preserve">创 22:8；来 11:19。</w:t>
      </w:r>
    </w:p>
  </w:footnote>
  <w:footnote w:id="3797">
    <w:p>
      <w:pPr>
        <w:pStyle w:val="FootnoteText"/>
      </w:pPr>
      <w:r>
        <w:rPr>
          <w:rStyle w:val="FootnoteReference"/>
        </w:rPr>
        <w:footnoteRef/>
      </w:r>
      <w:r>
        <w:t xml:space="preserve"> </w:t>
      </w:r>
      <w:r>
        <w:t xml:space="preserve">罗 8:32。</w:t>
      </w:r>
    </w:p>
  </w:footnote>
  <w:footnote w:id="3798">
    <w:p>
      <w:pPr>
        <w:pStyle w:val="FootnoteText"/>
      </w:pPr>
      <w:r>
        <w:rPr>
          <w:rStyle w:val="FootnoteReference"/>
        </w:rPr>
        <w:footnoteRef/>
      </w:r>
      <w:r>
        <w:t xml:space="preserve"> </w:t>
      </w:r>
      <w:r>
        <w:t xml:space="preserve">参罗 8:16-21。</w:t>
      </w:r>
    </w:p>
  </w:footnote>
  <w:footnote w:id="3799">
    <w:p>
      <w:pPr>
        <w:pStyle w:val="FootnoteText"/>
      </w:pPr>
      <w:r>
        <w:rPr>
          <w:rStyle w:val="FootnoteReference"/>
        </w:rPr>
        <w:footnoteRef/>
      </w:r>
      <w:r>
        <w:t xml:space="preserve"> </w:t>
      </w:r>
      <w:r>
        <w:t xml:space="preserve">参创 28:10-22。</w:t>
      </w:r>
    </w:p>
  </w:footnote>
  <w:footnote w:id="3800">
    <w:p>
      <w:pPr>
        <w:pStyle w:val="FootnoteText"/>
      </w:pPr>
      <w:r>
        <w:rPr>
          <w:rStyle w:val="FootnoteReference"/>
        </w:rPr>
        <w:footnoteRef/>
      </w:r>
      <w:r>
        <w:t xml:space="preserve"> </w:t>
      </w:r>
      <w:r>
        <w:t xml:space="preserve">参创 32:24-30；路 18:1-8。</w:t>
      </w:r>
    </w:p>
  </w:footnote>
  <w:footnote w:id="3801">
    <w:p>
      <w:pPr>
        <w:pStyle w:val="FootnoteText"/>
      </w:pPr>
      <w:r>
        <w:rPr>
          <w:rStyle w:val="FootnoteReference"/>
        </w:rPr>
        <w:footnoteRef/>
      </w:r>
      <w:r>
        <w:t xml:space="preserve"> </w:t>
      </w:r>
      <w:r>
        <w:t xml:space="preserve">1提 2:5。</w:t>
      </w:r>
    </w:p>
  </w:footnote>
  <w:footnote w:id="3802">
    <w:p>
      <w:pPr>
        <w:pStyle w:val="FootnoteText"/>
      </w:pPr>
      <w:r>
        <w:rPr>
          <w:rStyle w:val="FootnoteReference"/>
        </w:rPr>
        <w:footnoteRef/>
      </w:r>
      <w:r>
        <w:t xml:space="preserve"> </w:t>
      </w:r>
      <w:r>
        <w:t xml:space="preserve">出 3:1-10。</w:t>
      </w:r>
    </w:p>
  </w:footnote>
  <w:footnote w:id="3803">
    <w:p>
      <w:pPr>
        <w:pStyle w:val="FootnoteText"/>
      </w:pPr>
      <w:r>
        <w:rPr>
          <w:rStyle w:val="FootnoteReference"/>
        </w:rPr>
        <w:footnoteRef/>
      </w:r>
      <w:r>
        <w:t xml:space="preserve"> </w:t>
      </w:r>
      <w:r>
        <w:t xml:space="preserve">出 33:11。</w:t>
      </w:r>
    </w:p>
  </w:footnote>
  <w:footnote w:id="3804">
    <w:p>
      <w:pPr>
        <w:pStyle w:val="FootnoteText"/>
      </w:pPr>
      <w:r>
        <w:rPr>
          <w:rStyle w:val="FootnoteReference"/>
        </w:rPr>
        <w:footnoteRef/>
      </w:r>
      <w:r>
        <w:t xml:space="preserve"> </w:t>
      </w:r>
      <w:r>
        <w:t xml:space="preserve">民 12:3、7-8。</w:t>
      </w:r>
    </w:p>
  </w:footnote>
  <w:footnote w:id="3805">
    <w:p>
      <w:pPr>
        <w:pStyle w:val="FootnoteText"/>
      </w:pPr>
      <w:r>
        <w:rPr>
          <w:rStyle w:val="FootnoteReference"/>
        </w:rPr>
        <w:footnoteRef/>
      </w:r>
      <w:r>
        <w:t xml:space="preserve"> </w:t>
      </w:r>
      <w:r>
        <w:t xml:space="preserve">参出 34:6。</w:t>
      </w:r>
    </w:p>
  </w:footnote>
  <w:footnote w:id="3806">
    <w:p>
      <w:pPr>
        <w:pStyle w:val="FootnoteText"/>
      </w:pPr>
      <w:r>
        <w:rPr>
          <w:rStyle w:val="FootnoteReference"/>
        </w:rPr>
        <w:footnoteRef/>
      </w:r>
      <w:r>
        <w:t xml:space="preserve"> </w:t>
      </w:r>
      <w:r>
        <w:t xml:space="preserve">参出 17:8-12；民 12:13-14。</w:t>
      </w:r>
    </w:p>
  </w:footnote>
  <w:footnote w:id="3807">
    <w:p>
      <w:pPr>
        <w:pStyle w:val="FootnoteText"/>
      </w:pPr>
      <w:r>
        <w:rPr>
          <w:rStyle w:val="FootnoteReference"/>
        </w:rPr>
        <w:footnoteRef/>
      </w:r>
      <w:r>
        <w:t xml:space="preserve"> </w:t>
      </w:r>
      <w:r>
        <w:t xml:space="preserve">诗 106:23；参出 32:1-34:9。</w:t>
      </w:r>
    </w:p>
  </w:footnote>
  <w:footnote w:id="3808">
    <w:p>
      <w:pPr>
        <w:pStyle w:val="FootnoteText"/>
      </w:pPr>
      <w:r>
        <w:rPr>
          <w:rStyle w:val="FootnoteReference"/>
        </w:rPr>
        <w:footnoteRef/>
      </w:r>
      <w:r>
        <w:t xml:space="preserve"> </w:t>
      </w:r>
      <w:r>
        <w:t xml:space="preserve">1撒 3:9-10；参 1:9-18。</w:t>
      </w:r>
    </w:p>
  </w:footnote>
  <w:footnote w:id="3809">
    <w:p>
      <w:pPr>
        <w:pStyle w:val="FootnoteText"/>
      </w:pPr>
      <w:r>
        <w:rPr>
          <w:rStyle w:val="FootnoteReference"/>
        </w:rPr>
        <w:footnoteRef/>
      </w:r>
      <w:r>
        <w:t xml:space="preserve"> </w:t>
      </w:r>
      <w:r>
        <w:t xml:space="preserve">1撒 12:23。</w:t>
      </w:r>
    </w:p>
  </w:footnote>
  <w:footnote w:id="3810">
    <w:p>
      <w:pPr>
        <w:pStyle w:val="FootnoteText"/>
      </w:pPr>
      <w:r>
        <w:rPr>
          <w:rStyle w:val="FootnoteReference"/>
        </w:rPr>
        <w:footnoteRef/>
      </w:r>
      <w:r>
        <w:t xml:space="preserve"> </w:t>
      </w:r>
      <w:r>
        <w:t xml:space="preserve">参2撒 7:18-29。</w:t>
      </w:r>
    </w:p>
  </w:footnote>
  <w:footnote w:id="3811">
    <w:p>
      <w:pPr>
        <w:pStyle w:val="FootnoteText"/>
      </w:pPr>
      <w:r>
        <w:rPr>
          <w:rStyle w:val="FootnoteReference"/>
        </w:rPr>
        <w:footnoteRef/>
      </w:r>
      <w:r>
        <w:t xml:space="preserve"> </w:t>
      </w:r>
      <w:r>
        <w:t xml:space="preserve">1王 8:10-61。</w:t>
      </w:r>
    </w:p>
  </w:footnote>
  <w:footnote w:id="3812">
    <w:p>
      <w:pPr>
        <w:pStyle w:val="FootnoteText"/>
      </w:pPr>
      <w:r>
        <w:rPr>
          <w:rStyle w:val="FootnoteReference"/>
        </w:rPr>
        <w:footnoteRef/>
      </w:r>
      <w:r>
        <w:t xml:space="preserve"> </w:t>
      </w:r>
      <w:r>
        <w:t xml:space="preserve">诗 24:6。</w:t>
      </w:r>
    </w:p>
  </w:footnote>
  <w:footnote w:id="3813">
    <w:p>
      <w:pPr>
        <w:pStyle w:val="FootnoteText"/>
      </w:pPr>
      <w:r>
        <w:rPr>
          <w:rStyle w:val="FootnoteReference"/>
        </w:rPr>
        <w:footnoteRef/>
      </w:r>
      <w:r>
        <w:t xml:space="preserve"> </w:t>
      </w:r>
      <w:r>
        <w:t xml:space="preserve">1王 18:39。</w:t>
      </w:r>
    </w:p>
  </w:footnote>
  <w:footnote w:id="3814">
    <w:p>
      <w:pPr>
        <w:pStyle w:val="FootnoteText"/>
      </w:pPr>
      <w:r>
        <w:rPr>
          <w:rStyle w:val="FootnoteReference"/>
        </w:rPr>
        <w:footnoteRef/>
      </w:r>
      <w:r>
        <w:t xml:space="preserve"> </w:t>
      </w:r>
      <w:r>
        <w:t xml:space="preserve">雅 5:16b-18。</w:t>
      </w:r>
    </w:p>
  </w:footnote>
  <w:footnote w:id="3815">
    <w:p>
      <w:pPr>
        <w:pStyle w:val="FootnoteText"/>
      </w:pPr>
      <w:r>
        <w:rPr>
          <w:rStyle w:val="FootnoteReference"/>
        </w:rPr>
        <w:footnoteRef/>
      </w:r>
      <w:r>
        <w:t xml:space="preserve"> </w:t>
      </w:r>
      <w:r>
        <w:t xml:space="preserve">参1王 17:7-24。</w:t>
      </w:r>
    </w:p>
  </w:footnote>
  <w:footnote w:id="3816">
    <w:p>
      <w:pPr>
        <w:pStyle w:val="FootnoteText"/>
      </w:pPr>
      <w:r>
        <w:rPr>
          <w:rStyle w:val="FootnoteReference"/>
        </w:rPr>
        <w:footnoteRef/>
      </w:r>
      <w:r>
        <w:t xml:space="preserve"> </w:t>
      </w:r>
      <w:r>
        <w:t xml:space="preserve">参1王 19:1-14；参出 33:19-23。</w:t>
      </w:r>
    </w:p>
  </w:footnote>
  <w:footnote w:id="3817">
    <w:p>
      <w:pPr>
        <w:pStyle w:val="FootnoteText"/>
      </w:pPr>
      <w:r>
        <w:rPr>
          <w:rStyle w:val="FootnoteReference"/>
        </w:rPr>
        <w:footnoteRef/>
      </w:r>
      <w:r>
        <w:t xml:space="preserve"> </w:t>
      </w:r>
      <w:r>
        <w:t xml:space="preserve">2林 4:6；参路 9:30-35。</w:t>
      </w:r>
    </w:p>
  </w:footnote>
  <w:footnote w:id="3818">
    <w:p>
      <w:pPr>
        <w:pStyle w:val="FootnoteText"/>
      </w:pPr>
      <w:r>
        <w:rPr>
          <w:rStyle w:val="FootnoteReference"/>
        </w:rPr>
        <w:footnoteRef/>
      </w:r>
      <w:r>
        <w:t xml:space="preserve"> </w:t>
      </w:r>
      <w:r>
        <w:t xml:space="preserve">参摩 7:2、5；赛 6:5、8、11；耶 1:6；15:15-18；20:7-18。</w:t>
      </w:r>
    </w:p>
  </w:footnote>
  <w:footnote w:id="3819">
    <w:p>
      <w:pPr>
        <w:pStyle w:val="FootnoteText"/>
      </w:pPr>
      <w:r>
        <w:rPr>
          <w:rStyle w:val="FootnoteReference"/>
        </w:rPr>
        <w:footnoteRef/>
      </w:r>
      <w:r>
        <w:t xml:space="preserve"> </w:t>
      </w:r>
      <w:r>
        <w:t xml:space="preserve">拉 9:6-15；尼 1:4-11；拿 2:3-10；多 3:11-16；友 9:2-14。</w:t>
      </w:r>
    </w:p>
  </w:footnote>
  <w:footnote w:id="3820">
    <w:p>
      <w:pPr>
        <w:pStyle w:val="FootnoteText"/>
      </w:pPr>
      <w:r>
        <w:rPr>
          <w:rStyle w:val="FootnoteReference"/>
        </w:rPr>
        <w:footnoteRef/>
      </w:r>
      <w:r>
        <w:t xml:space="preserve"> </w:t>
      </w:r>
      <w:r>
        <w:t xml:space="preserve">参GILH，nn. 100-109。</w:t>
      </w:r>
    </w:p>
  </w:footnote>
  <w:footnote w:id="3821">
    <w:p>
      <w:pPr>
        <w:pStyle w:val="FootnoteText"/>
      </w:pPr>
      <w:r>
        <w:rPr>
          <w:rStyle w:val="FootnoteReference"/>
        </w:rPr>
        <w:footnoteRef/>
      </w:r>
      <w:r>
        <w:t xml:space="preserve"> </w:t>
      </w:r>
      <w:r>
        <w:t xml:space="preserve">DV 2。</w:t>
      </w:r>
    </w:p>
  </w:footnote>
  <w:footnote w:id="3822">
    <w:p>
      <w:pPr>
        <w:pStyle w:val="FootnoteText"/>
      </w:pPr>
      <w:r>
        <w:rPr>
          <w:rStyle w:val="FootnoteReference"/>
        </w:rPr>
        <w:footnoteRef/>
      </w:r>
      <w:r>
        <w:t xml:space="preserve"> </w:t>
      </w:r>
      <w:r>
        <w:t xml:space="preserve">圣安波罗修，</w:t>
      </w:r>
      <w:r>
        <w:rPr>
          <w:i/>
          <w:iCs/>
        </w:rPr>
        <w:t xml:space="preserve">In psalmum 1 enarratio</w:t>
      </w:r>
      <w:r>
        <w:t xml:space="preserve"> </w:t>
      </w:r>
      <w:r>
        <w:t xml:space="preserve">1，9：PL 14，924；LH，Saturday，week 10，OR。</w:t>
      </w:r>
    </w:p>
  </w:footnote>
  <w:footnote w:id="3825">
    <w:p>
      <w:pPr>
        <w:pStyle w:val="FootnoteText"/>
      </w:pPr>
      <w:r>
        <w:rPr>
          <w:rStyle w:val="FootnoteReference"/>
        </w:rPr>
        <w:footnoteRef/>
      </w:r>
      <w:r>
        <w:t xml:space="preserve"> </w:t>
      </w:r>
      <w:r>
        <w:t xml:space="preserve">参路 1:49；2:19；2:51。</w:t>
      </w:r>
    </w:p>
  </w:footnote>
  <w:footnote w:id="3826">
    <w:p>
      <w:pPr>
        <w:pStyle w:val="FootnoteText"/>
      </w:pPr>
      <w:r>
        <w:rPr>
          <w:rStyle w:val="FootnoteReference"/>
        </w:rPr>
        <w:footnoteRef/>
      </w:r>
      <w:r>
        <w:t xml:space="preserve"> </w:t>
      </w:r>
      <w:r>
        <w:t xml:space="preserve">路 2:49。</w:t>
      </w:r>
    </w:p>
  </w:footnote>
  <w:footnote w:id="3827">
    <w:p>
      <w:pPr>
        <w:pStyle w:val="FootnoteText"/>
      </w:pPr>
      <w:r>
        <w:rPr>
          <w:rStyle w:val="FootnoteReference"/>
        </w:rPr>
        <w:footnoteRef/>
      </w:r>
      <w:r>
        <w:t xml:space="preserve"> </w:t>
      </w:r>
      <w:r>
        <w:t xml:space="preserve">参路 3:21；9:28；22:41-44。</w:t>
      </w:r>
    </w:p>
  </w:footnote>
  <w:footnote w:id="3828">
    <w:p>
      <w:pPr>
        <w:pStyle w:val="FootnoteText"/>
      </w:pPr>
      <w:r>
        <w:rPr>
          <w:rStyle w:val="FootnoteReference"/>
        </w:rPr>
        <w:footnoteRef/>
      </w:r>
      <w:r>
        <w:t xml:space="preserve"> </w:t>
      </w:r>
      <w:r>
        <w:t xml:space="preserve">参路 6:12；9:18-20；22:32。</w:t>
      </w:r>
    </w:p>
  </w:footnote>
  <w:footnote w:id="3829">
    <w:p>
      <w:pPr>
        <w:pStyle w:val="FootnoteText"/>
      </w:pPr>
      <w:r>
        <w:rPr>
          <w:rStyle w:val="FootnoteReference"/>
        </w:rPr>
        <w:footnoteRef/>
      </w:r>
      <w:r>
        <w:t xml:space="preserve"> </w:t>
      </w:r>
      <w:r>
        <w:t xml:space="preserve">路 11:1。</w:t>
      </w:r>
    </w:p>
  </w:footnote>
  <w:footnote w:id="3830">
    <w:p>
      <w:pPr>
        <w:pStyle w:val="FootnoteText"/>
      </w:pPr>
      <w:r>
        <w:rPr>
          <w:rStyle w:val="FootnoteReference"/>
        </w:rPr>
        <w:footnoteRef/>
      </w:r>
      <w:r>
        <w:t xml:space="preserve"> </w:t>
      </w:r>
      <w:r>
        <w:t xml:space="preserve">参可 1:35；6:46；路 5:16。</w:t>
      </w:r>
    </w:p>
  </w:footnote>
  <w:footnote w:id="3831">
    <w:p>
      <w:pPr>
        <w:pStyle w:val="FootnoteText"/>
      </w:pPr>
      <w:r>
        <w:rPr>
          <w:rStyle w:val="FootnoteReference"/>
        </w:rPr>
        <w:footnoteRef/>
      </w:r>
      <w:r>
        <w:t xml:space="preserve"> </w:t>
      </w:r>
      <w:r>
        <w:t xml:space="preserve">参来 2:12、15；4:15。</w:t>
      </w:r>
    </w:p>
  </w:footnote>
  <w:footnote w:id="3832">
    <w:p>
      <w:pPr>
        <w:pStyle w:val="FootnoteText"/>
      </w:pPr>
      <w:r>
        <w:rPr>
          <w:rStyle w:val="FootnoteReference"/>
        </w:rPr>
        <w:footnoteRef/>
      </w:r>
      <w:r>
        <w:t xml:space="preserve"> </w:t>
      </w:r>
      <w:r>
        <w:t xml:space="preserve">参太 11:25-27；路 10:21-23。</w:t>
      </w:r>
    </w:p>
  </w:footnote>
  <w:footnote w:id="3833">
    <w:p>
      <w:pPr>
        <w:pStyle w:val="FootnoteText"/>
      </w:pPr>
      <w:r>
        <w:rPr>
          <w:rStyle w:val="FootnoteReference"/>
        </w:rPr>
        <w:footnoteRef/>
      </w:r>
      <w:r>
        <w:t xml:space="preserve"> </w:t>
      </w:r>
      <w:r>
        <w:t xml:space="preserve">参弗 1:9。</w:t>
      </w:r>
    </w:p>
  </w:footnote>
  <w:footnote w:id="3834">
    <w:p>
      <w:pPr>
        <w:pStyle w:val="FootnoteText"/>
      </w:pPr>
      <w:r>
        <w:rPr>
          <w:rStyle w:val="FootnoteReference"/>
        </w:rPr>
        <w:footnoteRef/>
      </w:r>
      <w:r>
        <w:t xml:space="preserve"> </w:t>
      </w:r>
      <w:r>
        <w:t xml:space="preserve">参约 11:41-42。</w:t>
      </w:r>
    </w:p>
  </w:footnote>
  <w:footnote w:id="3835">
    <w:p>
      <w:pPr>
        <w:pStyle w:val="FootnoteText"/>
      </w:pPr>
      <w:r>
        <w:rPr>
          <w:rStyle w:val="FootnoteReference"/>
        </w:rPr>
        <w:footnoteRef/>
      </w:r>
      <w:r>
        <w:t xml:space="preserve"> </w:t>
      </w:r>
      <w:r>
        <w:t xml:space="preserve">太 6:21、33。</w:t>
      </w:r>
    </w:p>
  </w:footnote>
  <w:footnote w:id="3836">
    <w:p>
      <w:pPr>
        <w:pStyle w:val="FootnoteText"/>
      </w:pPr>
      <w:r>
        <w:rPr>
          <w:rStyle w:val="FootnoteReference"/>
        </w:rPr>
        <w:footnoteRef/>
      </w:r>
      <w:r>
        <w:t xml:space="preserve"> </w:t>
      </w:r>
      <w:r>
        <w:t xml:space="preserve">路 22:42。</w:t>
      </w:r>
    </w:p>
  </w:footnote>
  <w:footnote w:id="3837">
    <w:p>
      <w:pPr>
        <w:pStyle w:val="FootnoteText"/>
      </w:pPr>
      <w:r>
        <w:rPr>
          <w:rStyle w:val="FootnoteReference"/>
        </w:rPr>
        <w:footnoteRef/>
      </w:r>
      <w:r>
        <w:t xml:space="preserve"> </w:t>
      </w:r>
      <w:r>
        <w:t xml:space="preserve">路 23:34。</w:t>
      </w:r>
    </w:p>
  </w:footnote>
  <w:footnote w:id="3838">
    <w:p>
      <w:pPr>
        <w:pStyle w:val="FootnoteText"/>
      </w:pPr>
      <w:r>
        <w:rPr>
          <w:rStyle w:val="FootnoteReference"/>
        </w:rPr>
        <w:footnoteRef/>
      </w:r>
      <w:r>
        <w:t xml:space="preserve"> </w:t>
      </w:r>
      <w:r>
        <w:t xml:space="preserve">路 23:43。</w:t>
      </w:r>
    </w:p>
  </w:footnote>
  <w:footnote w:id="3839">
    <w:p>
      <w:pPr>
        <w:pStyle w:val="FootnoteText"/>
      </w:pPr>
      <w:r>
        <w:rPr>
          <w:rStyle w:val="FootnoteReference"/>
        </w:rPr>
        <w:footnoteRef/>
      </w:r>
      <w:r>
        <w:t xml:space="preserve"> </w:t>
      </w:r>
      <w:r>
        <w:t xml:space="preserve">约 19:26-27。</w:t>
      </w:r>
    </w:p>
  </w:footnote>
  <w:footnote w:id="3840">
    <w:p>
      <w:pPr>
        <w:pStyle w:val="FootnoteText"/>
      </w:pPr>
      <w:r>
        <w:rPr>
          <w:rStyle w:val="FootnoteReference"/>
        </w:rPr>
        <w:footnoteRef/>
      </w:r>
      <w:r>
        <w:t xml:space="preserve"> </w:t>
      </w:r>
      <w:r>
        <w:t xml:space="preserve">约 19:28。</w:t>
      </w:r>
    </w:p>
  </w:footnote>
  <w:footnote w:id="3841">
    <w:p>
      <w:pPr>
        <w:pStyle w:val="FootnoteText"/>
      </w:pPr>
      <w:r>
        <w:rPr>
          <w:rStyle w:val="FootnoteReference"/>
        </w:rPr>
        <w:footnoteRef/>
      </w:r>
      <w:r>
        <w:t xml:space="preserve"> </w:t>
      </w:r>
      <w:r>
        <w:t xml:space="preserve">可 15:34；参诗 22:2。</w:t>
      </w:r>
    </w:p>
  </w:footnote>
  <w:footnote w:id="3842">
    <w:p>
      <w:pPr>
        <w:pStyle w:val="FootnoteText"/>
      </w:pPr>
      <w:r>
        <w:rPr>
          <w:rStyle w:val="FootnoteReference"/>
        </w:rPr>
        <w:footnoteRef/>
      </w:r>
      <w:r>
        <w:t xml:space="preserve"> </w:t>
      </w:r>
      <w:r>
        <w:t xml:space="preserve">约 19:30。</w:t>
      </w:r>
    </w:p>
  </w:footnote>
  <w:footnote w:id="3843">
    <w:p>
      <w:pPr>
        <w:pStyle w:val="FootnoteText"/>
      </w:pPr>
      <w:r>
        <w:rPr>
          <w:rStyle w:val="FootnoteReference"/>
        </w:rPr>
        <w:footnoteRef/>
      </w:r>
      <w:r>
        <w:t xml:space="preserve"> </w:t>
      </w:r>
      <w:r>
        <w:t xml:space="preserve">路 23:46。</w:t>
      </w:r>
    </w:p>
  </w:footnote>
  <w:footnote w:id="3844">
    <w:p>
      <w:pPr>
        <w:pStyle w:val="FootnoteText"/>
      </w:pPr>
      <w:r>
        <w:rPr>
          <w:rStyle w:val="FootnoteReference"/>
        </w:rPr>
        <w:footnoteRef/>
      </w:r>
      <w:r>
        <w:t xml:space="preserve"> </w:t>
      </w:r>
      <w:r>
        <w:t xml:space="preserve">参可 15:37；约 19:30b。</w:t>
      </w:r>
    </w:p>
  </w:footnote>
  <w:footnote w:id="3845">
    <w:p>
      <w:pPr>
        <w:pStyle w:val="FootnoteText"/>
      </w:pPr>
      <w:r>
        <w:rPr>
          <w:rStyle w:val="FootnoteReference"/>
        </w:rPr>
        <w:footnoteRef/>
      </w:r>
      <w:r>
        <w:t xml:space="preserve"> </w:t>
      </w:r>
      <w:r>
        <w:t xml:space="preserve">来 5:7-9。</w:t>
      </w:r>
    </w:p>
  </w:footnote>
  <w:footnote w:id="3846">
    <w:p>
      <w:pPr>
        <w:pStyle w:val="FootnoteText"/>
      </w:pPr>
      <w:r>
        <w:rPr>
          <w:rStyle w:val="FootnoteReference"/>
        </w:rPr>
        <w:footnoteRef/>
      </w:r>
      <w:r>
        <w:t xml:space="preserve"> </w:t>
      </w:r>
      <w:r>
        <w:t xml:space="preserve">参太 5:23-24、44-45；6:7、14-15、21、25、33。</w:t>
      </w:r>
    </w:p>
  </w:footnote>
  <w:footnote w:id="3847">
    <w:p>
      <w:pPr>
        <w:pStyle w:val="FootnoteText"/>
      </w:pPr>
      <w:r>
        <w:rPr>
          <w:rStyle w:val="FootnoteReference"/>
        </w:rPr>
        <w:footnoteRef/>
      </w:r>
      <w:r>
        <w:t xml:space="preserve"> </w:t>
      </w:r>
      <w:r>
        <w:t xml:space="preserve">参太 7:7-11、13-14。</w:t>
      </w:r>
    </w:p>
  </w:footnote>
  <w:footnote w:id="3848">
    <w:p>
      <w:pPr>
        <w:pStyle w:val="FootnoteText"/>
      </w:pPr>
      <w:r>
        <w:rPr>
          <w:rStyle w:val="FootnoteReference"/>
        </w:rPr>
        <w:footnoteRef/>
      </w:r>
      <w:r>
        <w:t xml:space="preserve"> </w:t>
      </w:r>
      <w:r>
        <w:t xml:space="preserve">可 11:24。</w:t>
      </w:r>
    </w:p>
  </w:footnote>
  <w:footnote w:id="3849">
    <w:p>
      <w:pPr>
        <w:pStyle w:val="FootnoteText"/>
      </w:pPr>
      <w:r>
        <w:rPr>
          <w:rStyle w:val="FootnoteReference"/>
        </w:rPr>
        <w:footnoteRef/>
      </w:r>
      <w:r>
        <w:t xml:space="preserve"> </w:t>
      </w:r>
      <w:r>
        <w:t xml:space="preserve">可 9:23；参太 21:22。</w:t>
      </w:r>
    </w:p>
  </w:footnote>
  <w:footnote w:id="3850">
    <w:p>
      <w:pPr>
        <w:pStyle w:val="FootnoteText"/>
      </w:pPr>
      <w:r>
        <w:rPr>
          <w:rStyle w:val="FootnoteReference"/>
        </w:rPr>
        <w:footnoteRef/>
      </w:r>
      <w:r>
        <w:t xml:space="preserve"> </w:t>
      </w:r>
      <w:r>
        <w:t xml:space="preserve">参可 6:6；太 8:26。</w:t>
      </w:r>
    </w:p>
  </w:footnote>
  <w:footnote w:id="3851">
    <w:p>
      <w:pPr>
        <w:pStyle w:val="FootnoteText"/>
      </w:pPr>
      <w:r>
        <w:rPr>
          <w:rStyle w:val="FootnoteReference"/>
        </w:rPr>
        <w:footnoteRef/>
      </w:r>
      <w:r>
        <w:t xml:space="preserve"> </w:t>
      </w:r>
      <w:r>
        <w:t xml:space="preserve">参太 8:10；15:28。</w:t>
      </w:r>
    </w:p>
  </w:footnote>
  <w:footnote w:id="3852">
    <w:p>
      <w:pPr>
        <w:pStyle w:val="FootnoteText"/>
      </w:pPr>
      <w:r>
        <w:rPr>
          <w:rStyle w:val="FootnoteReference"/>
        </w:rPr>
        <w:footnoteRef/>
      </w:r>
      <w:r>
        <w:t xml:space="preserve"> </w:t>
      </w:r>
      <w:r>
        <w:t xml:space="preserve">参太 7:21。</w:t>
      </w:r>
    </w:p>
  </w:footnote>
  <w:footnote w:id="3853">
    <w:p>
      <w:pPr>
        <w:pStyle w:val="FootnoteText"/>
      </w:pPr>
      <w:r>
        <w:rPr>
          <w:rStyle w:val="FootnoteReference"/>
        </w:rPr>
        <w:footnoteRef/>
      </w:r>
      <w:r>
        <w:t xml:space="preserve"> </w:t>
      </w:r>
      <w:r>
        <w:t xml:space="preserve">参太 9:38；路 10:2；约 4:34。</w:t>
      </w:r>
    </w:p>
  </w:footnote>
  <w:footnote w:id="3854">
    <w:p>
      <w:pPr>
        <w:pStyle w:val="FootnoteText"/>
      </w:pPr>
      <w:r>
        <w:rPr>
          <w:rStyle w:val="FootnoteReference"/>
        </w:rPr>
        <w:footnoteRef/>
      </w:r>
      <w:r>
        <w:t xml:space="preserve"> </w:t>
      </w:r>
      <w:r>
        <w:t xml:space="preserve">可 1:15。</w:t>
      </w:r>
    </w:p>
  </w:footnote>
  <w:footnote w:id="3855">
    <w:p>
      <w:pPr>
        <w:pStyle w:val="FootnoteText"/>
      </w:pPr>
      <w:r>
        <w:rPr>
          <w:rStyle w:val="FootnoteReference"/>
        </w:rPr>
        <w:footnoteRef/>
      </w:r>
      <w:r>
        <w:t xml:space="preserve"> </w:t>
      </w:r>
      <w:r>
        <w:t xml:space="preserve">参可 13；路 21:34-36。</w:t>
      </w:r>
    </w:p>
  </w:footnote>
  <w:footnote w:id="3856">
    <w:p>
      <w:pPr>
        <w:pStyle w:val="FootnoteText"/>
      </w:pPr>
      <w:r>
        <w:rPr>
          <w:rStyle w:val="FootnoteReference"/>
        </w:rPr>
        <w:footnoteRef/>
      </w:r>
      <w:r>
        <w:t xml:space="preserve"> </w:t>
      </w:r>
      <w:r>
        <w:t xml:space="preserve">参路 22:40、46。</w:t>
      </w:r>
    </w:p>
  </w:footnote>
  <w:footnote w:id="3857">
    <w:p>
      <w:pPr>
        <w:pStyle w:val="FootnoteText"/>
      </w:pPr>
      <w:r>
        <w:rPr>
          <w:rStyle w:val="FootnoteReference"/>
        </w:rPr>
        <w:footnoteRef/>
      </w:r>
      <w:r>
        <w:t xml:space="preserve"> </w:t>
      </w:r>
      <w:r>
        <w:t xml:space="preserve">参路 11:5-13。</w:t>
      </w:r>
    </w:p>
  </w:footnote>
  <w:footnote w:id="3858">
    <w:p>
      <w:pPr>
        <w:pStyle w:val="FootnoteText"/>
      </w:pPr>
      <w:r>
        <w:rPr>
          <w:rStyle w:val="FootnoteReference"/>
        </w:rPr>
        <w:footnoteRef/>
      </w:r>
      <w:r>
        <w:t xml:space="preserve"> </w:t>
      </w:r>
      <w:r>
        <w:t xml:space="preserve">参路 18:1-8。</w:t>
      </w:r>
    </w:p>
  </w:footnote>
  <w:footnote w:id="3859">
    <w:p>
      <w:pPr>
        <w:pStyle w:val="FootnoteText"/>
      </w:pPr>
      <w:r>
        <w:rPr>
          <w:rStyle w:val="FootnoteReference"/>
        </w:rPr>
        <w:footnoteRef/>
      </w:r>
      <w:r>
        <w:t xml:space="preserve"> </w:t>
      </w:r>
      <w:r>
        <w:t xml:space="preserve">参路 18:9-14。</w:t>
      </w:r>
    </w:p>
  </w:footnote>
  <w:footnote w:id="3860">
    <w:p>
      <w:pPr>
        <w:pStyle w:val="FootnoteText"/>
      </w:pPr>
      <w:r>
        <w:rPr>
          <w:rStyle w:val="FootnoteReference"/>
        </w:rPr>
        <w:footnoteRef/>
      </w:r>
      <w:r>
        <w:t xml:space="preserve"> </w:t>
      </w:r>
      <w:r>
        <w:t xml:space="preserve">约 14:13。</w:t>
      </w:r>
    </w:p>
  </w:footnote>
  <w:footnote w:id="3861">
    <w:p>
      <w:pPr>
        <w:pStyle w:val="FootnoteText"/>
      </w:pPr>
      <w:r>
        <w:rPr>
          <w:rStyle w:val="FootnoteReference"/>
        </w:rPr>
        <w:footnoteRef/>
      </w:r>
      <w:r>
        <w:t xml:space="preserve"> </w:t>
      </w:r>
      <w:r>
        <w:t xml:space="preserve">约 14:6。</w:t>
      </w:r>
    </w:p>
  </w:footnote>
  <w:footnote w:id="3862">
    <w:p>
      <w:pPr>
        <w:pStyle w:val="FootnoteText"/>
      </w:pPr>
      <w:r>
        <w:rPr>
          <w:rStyle w:val="FootnoteReference"/>
        </w:rPr>
        <w:footnoteRef/>
      </w:r>
      <w:r>
        <w:t xml:space="preserve"> </w:t>
      </w:r>
      <w:r>
        <w:t xml:space="preserve">参约 14:13-14。</w:t>
      </w:r>
    </w:p>
  </w:footnote>
  <w:footnote w:id="3863">
    <w:p>
      <w:pPr>
        <w:pStyle w:val="FootnoteText"/>
      </w:pPr>
      <w:r>
        <w:rPr>
          <w:rStyle w:val="FootnoteReference"/>
        </w:rPr>
        <w:footnoteRef/>
      </w:r>
      <w:r>
        <w:t xml:space="preserve"> </w:t>
      </w:r>
      <w:r>
        <w:t xml:space="preserve">约 14:16-17。</w:t>
      </w:r>
    </w:p>
  </w:footnote>
  <w:footnote w:id="3864">
    <w:p>
      <w:pPr>
        <w:pStyle w:val="FootnoteText"/>
      </w:pPr>
      <w:r>
        <w:rPr>
          <w:rStyle w:val="FootnoteReference"/>
        </w:rPr>
        <w:footnoteRef/>
      </w:r>
      <w:r>
        <w:t xml:space="preserve"> </w:t>
      </w:r>
      <w:r>
        <w:t xml:space="preserve">参约 14:23-26；15:7、16；16:13-15；16:23-27。</w:t>
      </w:r>
    </w:p>
  </w:footnote>
  <w:footnote w:id="3865">
    <w:p>
      <w:pPr>
        <w:pStyle w:val="FootnoteText"/>
      </w:pPr>
      <w:r>
        <w:rPr>
          <w:rStyle w:val="FootnoteReference"/>
        </w:rPr>
        <w:footnoteRef/>
      </w:r>
      <w:r>
        <w:t xml:space="preserve"> </w:t>
      </w:r>
      <w:r>
        <w:t xml:space="preserve">约 16:24。</w:t>
      </w:r>
    </w:p>
  </w:footnote>
  <w:footnote w:id="3866">
    <w:p>
      <w:pPr>
        <w:pStyle w:val="FootnoteText"/>
      </w:pPr>
      <w:r>
        <w:rPr>
          <w:rStyle w:val="FootnoteReference"/>
        </w:rPr>
        <w:footnoteRef/>
      </w:r>
      <w:r>
        <w:t xml:space="preserve"> </w:t>
      </w:r>
      <w:r>
        <w:t xml:space="preserve">参可 1:40-41；5:36；7:29；参路 23:39-43。</w:t>
      </w:r>
    </w:p>
  </w:footnote>
  <w:footnote w:id="3867">
    <w:p>
      <w:pPr>
        <w:pStyle w:val="FootnoteText"/>
      </w:pPr>
      <w:r>
        <w:rPr>
          <w:rStyle w:val="FootnoteReference"/>
        </w:rPr>
        <w:footnoteRef/>
      </w:r>
      <w:r>
        <w:t xml:space="preserve"> </w:t>
      </w:r>
      <w:r>
        <w:t xml:space="preserve">参可 2:5；5:28；路 7:37-38。</w:t>
      </w:r>
    </w:p>
  </w:footnote>
  <w:footnote w:id="3868">
    <w:p>
      <w:pPr>
        <w:pStyle w:val="FootnoteText"/>
      </w:pPr>
      <w:r>
        <w:rPr>
          <w:rStyle w:val="FootnoteReference"/>
        </w:rPr>
        <w:footnoteRef/>
      </w:r>
      <w:r>
        <w:t xml:space="preserve"> </w:t>
      </w:r>
      <w:r>
        <w:t xml:space="preserve">太 9:27；可 10:48。</w:t>
      </w:r>
    </w:p>
  </w:footnote>
  <w:footnote w:id="3869">
    <w:p>
      <w:pPr>
        <w:pStyle w:val="FootnoteText"/>
      </w:pPr>
      <w:r>
        <w:rPr>
          <w:rStyle w:val="FootnoteReference"/>
        </w:rPr>
        <w:footnoteRef/>
      </w:r>
      <w:r>
        <w:t xml:space="preserve"> </w:t>
      </w:r>
      <w:r>
        <w:t xml:space="preserve">圣奥古斯丁，</w:t>
      </w:r>
      <w:r>
        <w:rPr>
          <w:i/>
          <w:iCs/>
        </w:rPr>
        <w:t xml:space="preserve">Enarrationes in Psalmos</w:t>
      </w:r>
      <w:r>
        <w:t xml:space="preserve"> </w:t>
      </w:r>
      <w:r>
        <w:t xml:space="preserve">85，1：PL 37，1081；参GILH 7。</w:t>
      </w:r>
    </w:p>
  </w:footnote>
  <w:footnote w:id="3870">
    <w:p>
      <w:pPr>
        <w:pStyle w:val="FootnoteText"/>
      </w:pPr>
      <w:r>
        <w:rPr>
          <w:rStyle w:val="FootnoteReference"/>
        </w:rPr>
        <w:footnoteRef/>
      </w:r>
      <w:r>
        <w:t xml:space="preserve"> </w:t>
      </w:r>
      <w:r>
        <w:t xml:space="preserve">参路 1:38；徒 1:14。</w:t>
      </w:r>
    </w:p>
  </w:footnote>
  <w:footnote w:id="3871">
    <w:p>
      <w:pPr>
        <w:pStyle w:val="FootnoteText"/>
      </w:pPr>
      <w:r>
        <w:rPr>
          <w:rStyle w:val="FootnoteReference"/>
        </w:rPr>
        <w:footnoteRef/>
      </w:r>
      <w:r>
        <w:t xml:space="preserve"> </w:t>
      </w:r>
      <w:r>
        <w:t xml:space="preserve">参约 2:1-12。</w:t>
      </w:r>
    </w:p>
  </w:footnote>
  <w:footnote w:id="3872">
    <w:p>
      <w:pPr>
        <w:pStyle w:val="FootnoteText"/>
      </w:pPr>
      <w:r>
        <w:rPr>
          <w:rStyle w:val="FootnoteReference"/>
        </w:rPr>
        <w:footnoteRef/>
      </w:r>
      <w:r>
        <w:t xml:space="preserve"> </w:t>
      </w:r>
      <w:r>
        <w:t xml:space="preserve">参约 19:25-27。</w:t>
      </w:r>
    </w:p>
  </w:footnote>
  <w:footnote w:id="3873">
    <w:p>
      <w:pPr>
        <w:pStyle w:val="FootnoteText"/>
      </w:pPr>
      <w:r>
        <w:rPr>
          <w:rStyle w:val="FootnoteReference"/>
        </w:rPr>
        <w:footnoteRef/>
      </w:r>
      <w:r>
        <w:t xml:space="preserve"> </w:t>
      </w:r>
      <w:r>
        <w:t xml:space="preserve">参路 1:46-55。</w:t>
      </w:r>
    </w:p>
  </w:footnote>
  <w:footnote w:id="3876">
    <w:p>
      <w:pPr>
        <w:pStyle w:val="FootnoteText"/>
      </w:pPr>
      <w:r>
        <w:rPr>
          <w:rStyle w:val="FootnoteReference"/>
        </w:rPr>
        <w:footnoteRef/>
      </w:r>
      <w:r>
        <w:t xml:space="preserve"> </w:t>
      </w:r>
      <w:r>
        <w:t xml:space="preserve">徒 2:1。</w:t>
      </w:r>
    </w:p>
  </w:footnote>
  <w:footnote w:id="3877">
    <w:p>
      <w:pPr>
        <w:pStyle w:val="FootnoteText"/>
      </w:pPr>
      <w:r>
        <w:rPr>
          <w:rStyle w:val="FootnoteReference"/>
        </w:rPr>
        <w:footnoteRef/>
      </w:r>
      <w:r>
        <w:t xml:space="preserve"> </w:t>
      </w:r>
      <w:r>
        <w:t xml:space="preserve">徒 1:14。</w:t>
      </w:r>
    </w:p>
  </w:footnote>
  <w:footnote w:id="3878">
    <w:p>
      <w:pPr>
        <w:pStyle w:val="FootnoteText"/>
      </w:pPr>
      <w:r>
        <w:rPr>
          <w:rStyle w:val="FootnoteReference"/>
        </w:rPr>
        <w:footnoteRef/>
      </w:r>
      <w:r>
        <w:t xml:space="preserve"> </w:t>
      </w:r>
      <w:r>
        <w:t xml:space="preserve">参约 14:26。</w:t>
      </w:r>
    </w:p>
  </w:footnote>
  <w:footnote w:id="3879">
    <w:p>
      <w:pPr>
        <w:pStyle w:val="FootnoteText"/>
      </w:pPr>
      <w:r>
        <w:rPr>
          <w:rStyle w:val="FootnoteReference"/>
        </w:rPr>
        <w:footnoteRef/>
      </w:r>
      <w:r>
        <w:t xml:space="preserve"> </w:t>
      </w:r>
      <w:r>
        <w:t xml:space="preserve">徒 2:42。</w:t>
      </w:r>
    </w:p>
  </w:footnote>
  <w:footnote w:id="3880">
    <w:p>
      <w:pPr>
        <w:pStyle w:val="FootnoteText"/>
      </w:pPr>
      <w:r>
        <w:rPr>
          <w:rStyle w:val="FootnoteReference"/>
        </w:rPr>
        <w:footnoteRef/>
      </w:r>
      <w:r>
        <w:t xml:space="preserve"> </w:t>
      </w:r>
      <w:r>
        <w:t xml:space="preserve">参路 24:27、44。</w:t>
      </w:r>
    </w:p>
  </w:footnote>
  <w:footnote w:id="3881">
    <w:p>
      <w:pPr>
        <w:pStyle w:val="FootnoteText"/>
      </w:pPr>
      <w:r>
        <w:rPr>
          <w:rStyle w:val="FootnoteReference"/>
        </w:rPr>
        <w:footnoteRef/>
      </w:r>
      <w:r>
        <w:t xml:space="preserve"> </w:t>
      </w:r>
      <w:r>
        <w:t xml:space="preserve">参弗 1:3-14；林后 1:3-7；彼前 1:3-9。</w:t>
      </w:r>
    </w:p>
  </w:footnote>
  <w:footnote w:id="3882">
    <w:p>
      <w:pPr>
        <w:pStyle w:val="FootnoteText"/>
      </w:pPr>
      <w:r>
        <w:rPr>
          <w:rStyle w:val="FootnoteReference"/>
        </w:rPr>
        <w:footnoteRef/>
      </w:r>
      <w:r>
        <w:t xml:space="preserve"> </w:t>
      </w:r>
      <w:r>
        <w:t xml:space="preserve">参林后 13:14；罗 15:5-6、13；弗 6:23-24。</w:t>
      </w:r>
    </w:p>
  </w:footnote>
  <w:footnote w:id="3883">
    <w:p>
      <w:pPr>
        <w:pStyle w:val="FootnoteText"/>
      </w:pPr>
      <w:r>
        <w:rPr>
          <w:rStyle w:val="FootnoteReference"/>
        </w:rPr>
        <w:footnoteRef/>
      </w:r>
      <w:r>
        <w:t xml:space="preserve"> </w:t>
      </w:r>
      <w:r>
        <w:t xml:space="preserve">参诗 95:1-6。</w:t>
      </w:r>
    </w:p>
  </w:footnote>
  <w:footnote w:id="3884">
    <w:p>
      <w:pPr>
        <w:pStyle w:val="FootnoteText"/>
      </w:pPr>
      <w:r>
        <w:rPr>
          <w:rStyle w:val="FootnoteReference"/>
        </w:rPr>
        <w:footnoteRef/>
      </w:r>
      <w:r>
        <w:t xml:space="preserve"> </w:t>
      </w:r>
      <w:r>
        <w:t xml:space="preserve">诗 24:9-10。</w:t>
      </w:r>
    </w:p>
  </w:footnote>
  <w:footnote w:id="3885">
    <w:p>
      <w:pPr>
        <w:pStyle w:val="FootnoteText"/>
      </w:pPr>
      <w:r>
        <w:rPr>
          <w:rStyle w:val="FootnoteReference"/>
        </w:rPr>
        <w:footnoteRef/>
      </w:r>
      <w:r>
        <w:t xml:space="preserve"> </w:t>
      </w:r>
      <w:r>
        <w:t xml:space="preserve">参圣奥古斯丁，</w:t>
      </w:r>
      <w:r>
        <w:rPr>
          <w:i/>
          <w:iCs/>
        </w:rPr>
        <w:t xml:space="preserve">Enarrationes in Psalmos</w:t>
      </w:r>
      <w:r>
        <w:t xml:space="preserve"> </w:t>
      </w:r>
      <w:r>
        <w:t xml:space="preserve">62，16：PL 36，757-758。</w:t>
      </w:r>
    </w:p>
  </w:footnote>
  <w:footnote w:id="3887">
    <w:p>
      <w:pPr>
        <w:pStyle w:val="FootnoteText"/>
      </w:pPr>
      <w:r>
        <w:rPr>
          <w:rStyle w:val="FootnoteReference"/>
        </w:rPr>
        <w:footnoteRef/>
      </w:r>
      <w:r>
        <w:t xml:space="preserve"> </w:t>
      </w:r>
      <w:r>
        <w:t xml:space="preserve">参罗 15:30；西 4:12。</w:t>
      </w:r>
    </w:p>
  </w:footnote>
  <w:footnote w:id="3888">
    <w:p>
      <w:pPr>
        <w:pStyle w:val="FootnoteText"/>
      </w:pPr>
      <w:r>
        <w:rPr>
          <w:rStyle w:val="FootnoteReference"/>
        </w:rPr>
        <w:footnoteRef/>
      </w:r>
      <w:r>
        <w:t xml:space="preserve"> </w:t>
      </w:r>
      <w:r>
        <w:t xml:space="preserve">罗 8:22-24。</w:t>
      </w:r>
    </w:p>
  </w:footnote>
  <w:footnote w:id="3889">
    <w:p>
      <w:pPr>
        <w:pStyle w:val="FootnoteText"/>
      </w:pPr>
      <w:r>
        <w:rPr>
          <w:rStyle w:val="FootnoteReference"/>
        </w:rPr>
        <w:footnoteRef/>
      </w:r>
      <w:r>
        <w:t xml:space="preserve"> </w:t>
      </w:r>
      <w:r>
        <w:t xml:space="preserve">罗 8:26。</w:t>
      </w:r>
    </w:p>
  </w:footnote>
  <w:footnote w:id="3890">
    <w:p>
      <w:pPr>
        <w:pStyle w:val="FootnoteText"/>
      </w:pPr>
      <w:r>
        <w:rPr>
          <w:rStyle w:val="FootnoteReference"/>
        </w:rPr>
        <w:footnoteRef/>
      </w:r>
      <w:r>
        <w:t xml:space="preserve"> </w:t>
      </w:r>
      <w:r>
        <w:t xml:space="preserve">路 18:13。</w:t>
      </w:r>
    </w:p>
  </w:footnote>
  <w:footnote w:id="3891">
    <w:p>
      <w:pPr>
        <w:pStyle w:val="FootnoteText"/>
      </w:pPr>
      <w:r>
        <w:rPr>
          <w:rStyle w:val="FootnoteReference"/>
        </w:rPr>
        <w:footnoteRef/>
      </w:r>
      <w:r>
        <w:t xml:space="preserve"> </w:t>
      </w:r>
      <w:r>
        <w:t xml:space="preserve">约壹 3:22；参约壹 1:7-2:2。</w:t>
      </w:r>
    </w:p>
  </w:footnote>
  <w:footnote w:id="3892">
    <w:p>
      <w:pPr>
        <w:pStyle w:val="FootnoteText"/>
      </w:pPr>
      <w:r>
        <w:rPr>
          <w:rStyle w:val="FootnoteReference"/>
        </w:rPr>
        <w:footnoteRef/>
      </w:r>
      <w:r>
        <w:t xml:space="preserve"> </w:t>
      </w:r>
      <w:r>
        <w:t xml:space="preserve">参太 6:10、33；路 11:2、13。</w:t>
      </w:r>
    </w:p>
  </w:footnote>
  <w:footnote w:id="3893">
    <w:p>
      <w:pPr>
        <w:pStyle w:val="FootnoteText"/>
      </w:pPr>
      <w:r>
        <w:rPr>
          <w:rStyle w:val="FootnoteReference"/>
        </w:rPr>
        <w:footnoteRef/>
      </w:r>
      <w:r>
        <w:t xml:space="preserve"> </w:t>
      </w:r>
      <w:r>
        <w:t xml:space="preserve">参徒 6:6；13:3。</w:t>
      </w:r>
    </w:p>
  </w:footnote>
  <w:footnote w:id="3894">
    <w:p>
      <w:pPr>
        <w:pStyle w:val="FootnoteText"/>
      </w:pPr>
      <w:r>
        <w:rPr>
          <w:rStyle w:val="FootnoteReference"/>
        </w:rPr>
        <w:footnoteRef/>
      </w:r>
      <w:r>
        <w:t xml:space="preserve"> </w:t>
      </w:r>
      <w:r>
        <w:t xml:space="preserve">参罗 10:1；弗 1:16-23；腓 1:9-11；西 1:3-6；4:3-4、12。</w:t>
      </w:r>
    </w:p>
  </w:footnote>
  <w:footnote w:id="3895">
    <w:p>
      <w:pPr>
        <w:pStyle w:val="FootnoteText"/>
      </w:pPr>
      <w:r>
        <w:rPr>
          <w:rStyle w:val="FootnoteReference"/>
        </w:rPr>
        <w:footnoteRef/>
      </w:r>
      <w:r>
        <w:t xml:space="preserve"> </w:t>
      </w:r>
      <w:r>
        <w:t xml:space="preserve">参约 14:13。</w:t>
      </w:r>
    </w:p>
  </w:footnote>
  <w:footnote w:id="3896">
    <w:p>
      <w:pPr>
        <w:pStyle w:val="FootnoteText"/>
      </w:pPr>
      <w:r>
        <w:rPr>
          <w:rStyle w:val="FootnoteReference"/>
        </w:rPr>
        <w:footnoteRef/>
      </w:r>
      <w:r>
        <w:t xml:space="preserve"> </w:t>
      </w:r>
      <w:r>
        <w:t xml:space="preserve">参雅 1:5-8；弗 5:20；腓 4:6-7；西 3:16-17；帖前 5:17-18。</w:t>
      </w:r>
    </w:p>
  </w:footnote>
  <w:footnote w:id="3898">
    <w:p>
      <w:pPr>
        <w:pStyle w:val="FootnoteText"/>
      </w:pPr>
      <w:r>
        <w:rPr>
          <w:rStyle w:val="FootnoteReference"/>
        </w:rPr>
        <w:footnoteRef/>
      </w:r>
      <w:r>
        <w:t xml:space="preserve"> </w:t>
      </w:r>
      <w:r>
        <w:t xml:space="preserve">参罗 8:34；约壹 2:1；1提 2:5-8。</w:t>
      </w:r>
    </w:p>
  </w:footnote>
  <w:footnote w:id="3899">
    <w:p>
      <w:pPr>
        <w:pStyle w:val="FootnoteText"/>
      </w:pPr>
      <w:r>
        <w:rPr>
          <w:rStyle w:val="FootnoteReference"/>
        </w:rPr>
        <w:footnoteRef/>
      </w:r>
      <w:r>
        <w:t xml:space="preserve"> </w:t>
      </w:r>
      <w:r>
        <w:t xml:space="preserve">来 7:25。</w:t>
      </w:r>
    </w:p>
  </w:footnote>
  <w:footnote w:id="3900">
    <w:p>
      <w:pPr>
        <w:pStyle w:val="FootnoteText"/>
      </w:pPr>
      <w:r>
        <w:rPr>
          <w:rStyle w:val="FootnoteReference"/>
        </w:rPr>
        <w:footnoteRef/>
      </w:r>
      <w:r>
        <w:t xml:space="preserve"> </w:t>
      </w:r>
      <w:r>
        <w:t xml:space="preserve">罗 8:26-27。</w:t>
      </w:r>
    </w:p>
  </w:footnote>
  <w:footnote w:id="3901">
    <w:p>
      <w:pPr>
        <w:pStyle w:val="FootnoteText"/>
      </w:pPr>
      <w:r>
        <w:rPr>
          <w:rStyle w:val="FootnoteReference"/>
        </w:rPr>
        <w:footnoteRef/>
      </w:r>
      <w:r>
        <w:t xml:space="preserve"> </w:t>
      </w:r>
      <w:r>
        <w:t xml:space="preserve">腓 2:4；参徒 7:60；路 23:28、34。</w:t>
      </w:r>
    </w:p>
  </w:footnote>
  <w:footnote w:id="3902">
    <w:p>
      <w:pPr>
        <w:pStyle w:val="FootnoteText"/>
      </w:pPr>
      <w:r>
        <w:rPr>
          <w:rStyle w:val="FootnoteReference"/>
        </w:rPr>
        <w:footnoteRef/>
      </w:r>
      <w:r>
        <w:t xml:space="preserve"> </w:t>
      </w:r>
      <w:r>
        <w:t xml:space="preserve">参徒 12:5；20:36；21:5；林后 9:14。</w:t>
      </w:r>
    </w:p>
  </w:footnote>
  <w:footnote w:id="3903">
    <w:p>
      <w:pPr>
        <w:pStyle w:val="FootnoteText"/>
      </w:pPr>
      <w:r>
        <w:rPr>
          <w:rStyle w:val="FootnoteReference"/>
        </w:rPr>
        <w:footnoteRef/>
      </w:r>
      <w:r>
        <w:t xml:space="preserve"> </w:t>
      </w:r>
      <w:r>
        <w:t xml:space="preserve">参弗 6:18-20；西 4:3-4；帖前 5:25。</w:t>
      </w:r>
    </w:p>
  </w:footnote>
  <w:footnote w:id="3904">
    <w:p>
      <w:pPr>
        <w:pStyle w:val="FootnoteText"/>
      </w:pPr>
      <w:r>
        <w:rPr>
          <w:rStyle w:val="FootnoteReference"/>
        </w:rPr>
        <w:footnoteRef/>
      </w:r>
      <w:r>
        <w:t xml:space="preserve"> </w:t>
      </w:r>
      <w:r>
        <w:t xml:space="preserve">参帖后 1:11；西 1:3；腓 1:3-4。</w:t>
      </w:r>
    </w:p>
  </w:footnote>
  <w:footnote w:id="3905">
    <w:p>
      <w:pPr>
        <w:pStyle w:val="FootnoteText"/>
      </w:pPr>
      <w:r>
        <w:rPr>
          <w:rStyle w:val="FootnoteReference"/>
        </w:rPr>
        <w:footnoteRef/>
      </w:r>
      <w:r>
        <w:t xml:space="preserve"> </w:t>
      </w:r>
      <w:r>
        <w:t xml:space="preserve">2提 2:1；参罗 12:14；10:1。</w:t>
      </w:r>
    </w:p>
  </w:footnote>
  <w:footnote w:id="3907">
    <w:p>
      <w:pPr>
        <w:pStyle w:val="FootnoteText"/>
      </w:pPr>
      <w:r>
        <w:rPr>
          <w:rStyle w:val="FootnoteReference"/>
        </w:rPr>
        <w:footnoteRef/>
      </w:r>
      <w:r>
        <w:t xml:space="preserve"> </w:t>
      </w:r>
      <w:r>
        <w:t xml:space="preserve">帖前 5:18；西 4:2。</w:t>
      </w:r>
    </w:p>
  </w:footnote>
  <w:footnote w:id="3909">
    <w:p>
      <w:pPr>
        <w:pStyle w:val="FootnoteText"/>
      </w:pPr>
      <w:r>
        <w:rPr>
          <w:rStyle w:val="FootnoteReference"/>
        </w:rPr>
        <w:footnoteRef/>
      </w:r>
      <w:r>
        <w:t xml:space="preserve"> </w:t>
      </w:r>
      <w:r>
        <w:t xml:space="preserve">参罗 8:16。</w:t>
      </w:r>
    </w:p>
  </w:footnote>
  <w:footnote w:id="3910">
    <w:p>
      <w:pPr>
        <w:pStyle w:val="FootnoteText"/>
      </w:pPr>
      <w:r>
        <w:rPr>
          <w:rStyle w:val="FootnoteReference"/>
        </w:rPr>
        <w:footnoteRef/>
      </w:r>
      <w:r>
        <w:t xml:space="preserve"> </w:t>
      </w:r>
      <w:r>
        <w:t xml:space="preserve">林前 8:6。</w:t>
      </w:r>
    </w:p>
  </w:footnote>
  <w:footnote w:id="3911">
    <w:p>
      <w:pPr>
        <w:pStyle w:val="FootnoteText"/>
      </w:pPr>
      <w:r>
        <w:rPr>
          <w:rStyle w:val="FootnoteReference"/>
        </w:rPr>
        <w:footnoteRef/>
      </w:r>
      <w:r>
        <w:t xml:space="preserve"> </w:t>
      </w:r>
      <w:r>
        <w:t xml:space="preserve">徒 2:47；3:9；4:21；13:48。</w:t>
      </w:r>
    </w:p>
  </w:footnote>
  <w:footnote w:id="3912">
    <w:p>
      <w:pPr>
        <w:pStyle w:val="FootnoteText"/>
      </w:pPr>
      <w:r>
        <w:rPr>
          <w:rStyle w:val="FootnoteReference"/>
        </w:rPr>
        <w:footnoteRef/>
      </w:r>
      <w:r>
        <w:t xml:space="preserve"> </w:t>
      </w:r>
      <w:r>
        <w:t xml:space="preserve">弗 5:19；西 3:16。</w:t>
      </w:r>
    </w:p>
  </w:footnote>
  <w:footnote w:id="3913">
    <w:p>
      <w:pPr>
        <w:pStyle w:val="FootnoteText"/>
      </w:pPr>
      <w:r>
        <w:rPr>
          <w:rStyle w:val="FootnoteReference"/>
        </w:rPr>
        <w:footnoteRef/>
      </w:r>
      <w:r>
        <w:t xml:space="preserve"> </w:t>
      </w:r>
      <w:r>
        <w:t xml:space="preserve">参腓 2:6-11；西 1:15-20；弗 5:14；提前 3:16；6:15-16；提后 2:11-13。</w:t>
      </w:r>
    </w:p>
  </w:footnote>
  <w:footnote w:id="3914">
    <w:p>
      <w:pPr>
        <w:pStyle w:val="FootnoteText"/>
      </w:pPr>
      <w:r>
        <w:rPr>
          <w:rStyle w:val="FootnoteReference"/>
        </w:rPr>
        <w:footnoteRef/>
      </w:r>
      <w:r>
        <w:t xml:space="preserve"> </w:t>
      </w:r>
      <w:r>
        <w:t xml:space="preserve">参弗 1:3-14；罗 16:25-27；弗 3:20-21；犹 24-25。</w:t>
      </w:r>
    </w:p>
  </w:footnote>
  <w:footnote w:id="3915">
    <w:p>
      <w:pPr>
        <w:pStyle w:val="FootnoteText"/>
      </w:pPr>
      <w:r>
        <w:rPr>
          <w:rStyle w:val="FootnoteReference"/>
        </w:rPr>
        <w:footnoteRef/>
      </w:r>
      <w:r>
        <w:t xml:space="preserve"> </w:t>
      </w:r>
      <w:r>
        <w:t xml:space="preserve">参启 4:8-11；5:9-14；7:10-12。</w:t>
      </w:r>
    </w:p>
  </w:footnote>
  <w:footnote w:id="3916">
    <w:p>
      <w:pPr>
        <w:pStyle w:val="FootnoteText"/>
      </w:pPr>
      <w:r>
        <w:rPr>
          <w:rStyle w:val="FootnoteReference"/>
        </w:rPr>
        <w:footnoteRef/>
      </w:r>
      <w:r>
        <w:t xml:space="preserve"> </w:t>
      </w:r>
      <w:r>
        <w:t xml:space="preserve">启 6:10。</w:t>
      </w:r>
    </w:p>
  </w:footnote>
  <w:footnote w:id="3917">
    <w:p>
      <w:pPr>
        <w:pStyle w:val="FootnoteText"/>
      </w:pPr>
      <w:r>
        <w:rPr>
          <w:rStyle w:val="FootnoteReference"/>
        </w:rPr>
        <w:footnoteRef/>
      </w:r>
      <w:r>
        <w:t xml:space="preserve"> </w:t>
      </w:r>
      <w:r>
        <w:t xml:space="preserve">参启 18:24；19:1-8。</w:t>
      </w:r>
    </w:p>
  </w:footnote>
  <w:footnote w:id="3918">
    <w:p>
      <w:pPr>
        <w:pStyle w:val="FootnoteText"/>
      </w:pPr>
      <w:r>
        <w:rPr>
          <w:rStyle w:val="FootnoteReference"/>
        </w:rPr>
        <w:footnoteRef/>
      </w:r>
      <w:r>
        <w:t xml:space="preserve"> </w:t>
      </w:r>
      <w:r>
        <w:t xml:space="preserve">雅 1:17。</w:t>
      </w:r>
    </w:p>
  </w:footnote>
  <w:footnote w:id="3919">
    <w:p>
      <w:pPr>
        <w:pStyle w:val="FootnoteText"/>
      </w:pPr>
      <w:r>
        <w:rPr>
          <w:rStyle w:val="FootnoteReference"/>
        </w:rPr>
        <w:footnoteRef/>
      </w:r>
      <w:r>
        <w:t xml:space="preserve"> </w:t>
      </w:r>
      <w:r>
        <w:t xml:space="preserve">参玛 1:11。</w:t>
      </w:r>
    </w:p>
  </w:footnote>
  <w:footnote w:id="3924">
    <w:p>
      <w:pPr>
        <w:pStyle w:val="FootnoteText"/>
      </w:pPr>
      <w:r>
        <w:rPr>
          <w:rStyle w:val="FootnoteReference"/>
        </w:rPr>
        <w:footnoteRef/>
      </w:r>
      <w:r>
        <w:t xml:space="preserve"> </w:t>
      </w:r>
      <w:r>
        <w:t xml:space="preserve">DV 8。</w:t>
      </w:r>
    </w:p>
  </w:footnote>
  <w:footnote w:id="3925">
    <w:p>
      <w:pPr>
        <w:pStyle w:val="FootnoteText"/>
      </w:pPr>
      <w:r>
        <w:rPr>
          <w:rStyle w:val="FootnoteReference"/>
        </w:rPr>
        <w:footnoteRef/>
      </w:r>
      <w:r>
        <w:t xml:space="preserve"> </w:t>
      </w:r>
      <w:r>
        <w:t xml:space="preserve">参 DV 8。</w:t>
      </w:r>
    </w:p>
  </w:footnote>
  <w:footnote w:id="3926">
    <w:p>
      <w:pPr>
        <w:pStyle w:val="FootnoteText"/>
      </w:pPr>
      <w:r>
        <w:rPr>
          <w:rStyle w:val="FootnoteReference"/>
        </w:rPr>
        <w:footnoteRef/>
      </w:r>
      <w:r>
        <w:t xml:space="preserve"> </w:t>
      </w:r>
      <w:r>
        <w:t xml:space="preserve">约 4:14。</w:t>
      </w:r>
    </w:p>
  </w:footnote>
  <w:footnote w:id="3927">
    <w:p>
      <w:pPr>
        <w:pStyle w:val="FootnoteText"/>
      </w:pPr>
      <w:r>
        <w:rPr>
          <w:rStyle w:val="FootnoteReference"/>
        </w:rPr>
        <w:footnoteRef/>
      </w:r>
      <w:r>
        <w:t xml:space="preserve"> </w:t>
      </w:r>
      <w:r>
        <w:t xml:space="preserve">DV 25；参腓 3:8；圣安波罗修，</w:t>
      </w:r>
      <w:r>
        <w:rPr>
          <w:i/>
          <w:iCs/>
        </w:rPr>
        <w:t xml:space="preserve">De officiis ministrorum</w:t>
      </w:r>
      <w:r>
        <w:t xml:space="preserve"> </w:t>
      </w:r>
      <w:r>
        <w:t xml:space="preserve">1，20，88：PL 16，50。</w:t>
      </w:r>
    </w:p>
  </w:footnote>
  <w:footnote w:id="3928">
    <w:p>
      <w:pPr>
        <w:pStyle w:val="FootnoteText"/>
      </w:pPr>
      <w:r>
        <w:rPr>
          <w:rStyle w:val="FootnoteReference"/>
        </w:rPr>
        <w:footnoteRef/>
      </w:r>
      <w:r>
        <w:t xml:space="preserve"> </w:t>
      </w:r>
      <w:r>
        <w:t xml:space="preserve">加尔都西会的吉戈，</w:t>
      </w:r>
      <w:r>
        <w:rPr>
          <w:i/>
          <w:iCs/>
        </w:rPr>
        <w:t xml:space="preserve">Scala Paradisi</w:t>
      </w:r>
      <w:r>
        <w:t xml:space="preserve">：PL 40，998。</w:t>
      </w:r>
    </w:p>
  </w:footnote>
  <w:footnote w:id="3929">
    <w:p>
      <w:pPr>
        <w:pStyle w:val="FootnoteText"/>
      </w:pPr>
      <w:r>
        <w:rPr>
          <w:rStyle w:val="FootnoteReference"/>
        </w:rPr>
        <w:footnoteRef/>
      </w:r>
      <w:r>
        <w:t xml:space="preserve"> </w:t>
      </w:r>
      <w:r>
        <w:t xml:space="preserve">参太 6:6。</w:t>
      </w:r>
    </w:p>
  </w:footnote>
  <w:footnote w:id="3930">
    <w:p>
      <w:pPr>
        <w:pStyle w:val="FootnoteText"/>
      </w:pPr>
      <w:r>
        <w:rPr>
          <w:rStyle w:val="FootnoteReference"/>
        </w:rPr>
        <w:footnoteRef/>
      </w:r>
      <w:r>
        <w:t xml:space="preserve"> </w:t>
      </w:r>
      <w:r>
        <w:t xml:space="preserve">GILH 9。</w:t>
      </w:r>
    </w:p>
  </w:footnote>
  <w:footnote w:id="3931">
    <w:p>
      <w:pPr>
        <w:pStyle w:val="FootnoteText"/>
      </w:pPr>
      <w:r>
        <w:rPr>
          <w:rStyle w:val="FootnoteReference"/>
        </w:rPr>
        <w:footnoteRef/>
      </w:r>
      <w:r>
        <w:t xml:space="preserve"> </w:t>
      </w:r>
      <w:r>
        <w:t xml:space="preserve">诗 40:2。</w:t>
      </w:r>
    </w:p>
  </w:footnote>
  <w:footnote w:id="3932">
    <w:p>
      <w:pPr>
        <w:pStyle w:val="FootnoteText"/>
      </w:pPr>
      <w:r>
        <w:rPr>
          <w:rStyle w:val="FootnoteReference"/>
        </w:rPr>
        <w:footnoteRef/>
      </w:r>
      <w:r>
        <w:t xml:space="preserve"> </w:t>
      </w:r>
      <w:r>
        <w:t xml:space="preserve">罗 15:13。</w:t>
      </w:r>
    </w:p>
  </w:footnote>
  <w:footnote w:id="3933">
    <w:p>
      <w:pPr>
        <w:pStyle w:val="FootnoteText"/>
      </w:pPr>
      <w:r>
        <w:rPr>
          <w:rStyle w:val="FootnoteReference"/>
        </w:rPr>
        <w:footnoteRef/>
      </w:r>
      <w:r>
        <w:t xml:space="preserve"> </w:t>
      </w:r>
      <w:r>
        <w:t xml:space="preserve">罗 5:5。</w:t>
      </w:r>
    </w:p>
  </w:footnote>
  <w:footnote w:id="3934">
    <w:p>
      <w:pPr>
        <w:pStyle w:val="FootnoteText"/>
      </w:pPr>
      <w:r>
        <w:rPr>
          <w:rStyle w:val="FootnoteReference"/>
        </w:rPr>
        <w:footnoteRef/>
      </w:r>
      <w:r>
        <w:t xml:space="preserve"> </w:t>
      </w:r>
      <w:r>
        <w:t xml:space="preserve">圣约翰·维雅纳，祈祷。</w:t>
      </w:r>
    </w:p>
  </w:footnote>
  <w:footnote w:id="3935">
    <w:p>
      <w:pPr>
        <w:pStyle w:val="FootnoteText"/>
      </w:pPr>
      <w:r>
        <w:rPr>
          <w:rStyle w:val="FootnoteReference"/>
        </w:rPr>
        <w:footnoteRef/>
      </w:r>
      <w:r>
        <w:t xml:space="preserve"> </w:t>
      </w:r>
      <w:r>
        <w:t xml:space="preserve">参太 6:11、34。</w:t>
      </w:r>
    </w:p>
  </w:footnote>
  <w:footnote w:id="3936">
    <w:p>
      <w:pPr>
        <w:pStyle w:val="FootnoteText"/>
      </w:pPr>
      <w:r>
        <w:rPr>
          <w:rStyle w:val="FootnoteReference"/>
        </w:rPr>
        <w:footnoteRef/>
      </w:r>
      <w:r>
        <w:t xml:space="preserve"> </w:t>
      </w:r>
      <w:r>
        <w:t xml:space="preserve">诗 95:7-8。</w:t>
      </w:r>
    </w:p>
  </w:footnote>
  <w:footnote w:id="3937">
    <w:p>
      <w:pPr>
        <w:pStyle w:val="FootnoteText"/>
      </w:pPr>
      <w:r>
        <w:rPr>
          <w:rStyle w:val="FootnoteReference"/>
        </w:rPr>
        <w:footnoteRef/>
      </w:r>
      <w:r>
        <w:t xml:space="preserve"> </w:t>
      </w:r>
      <w:r>
        <w:t xml:space="preserve">参路 13:20-21。</w:t>
      </w:r>
    </w:p>
  </w:footnote>
  <w:footnote w:id="3940">
    <w:p>
      <w:pPr>
        <w:pStyle w:val="FootnoteText"/>
      </w:pPr>
      <w:r>
        <w:rPr>
          <w:rStyle w:val="FootnoteReference"/>
        </w:rPr>
        <w:footnoteRef/>
      </w:r>
      <w:r>
        <w:t xml:space="preserve"> </w:t>
      </w:r>
      <w:r>
        <w:t xml:space="preserve">参 DV 10。</w:t>
      </w:r>
    </w:p>
  </w:footnote>
  <w:footnote w:id="3941">
    <w:p>
      <w:pPr>
        <w:pStyle w:val="FootnoteText"/>
      </w:pPr>
      <w:r>
        <w:rPr>
          <w:rStyle w:val="FootnoteReference"/>
        </w:rPr>
        <w:footnoteRef/>
      </w:r>
      <w:r>
        <w:t xml:space="preserve"> </w:t>
      </w:r>
      <w:r>
        <w:t xml:space="preserve">参出 3:14；33:19-23；太 1:21。</w:t>
      </w:r>
    </w:p>
  </w:footnote>
  <w:footnote w:id="3942">
    <w:p>
      <w:pPr>
        <w:pStyle w:val="FootnoteText"/>
      </w:pPr>
      <w:r>
        <w:rPr>
          <w:rStyle w:val="FootnoteReference"/>
        </w:rPr>
        <w:footnoteRef/>
      </w:r>
      <w:r>
        <w:t xml:space="preserve"> </w:t>
      </w:r>
      <w:r>
        <w:t xml:space="preserve">罗 10:13；徒 2:21；3:15-16；加 2:20。</w:t>
      </w:r>
    </w:p>
  </w:footnote>
  <w:footnote w:id="3943">
    <w:p>
      <w:pPr>
        <w:pStyle w:val="FootnoteText"/>
      </w:pPr>
      <w:r>
        <w:rPr>
          <w:rStyle w:val="FootnoteReference"/>
        </w:rPr>
        <w:footnoteRef/>
      </w:r>
      <w:r>
        <w:t xml:space="preserve"> </w:t>
      </w:r>
      <w:r>
        <w:t xml:space="preserve">参可 10:46-52；路 18:13。</w:t>
      </w:r>
    </w:p>
  </w:footnote>
  <w:footnote w:id="3944">
    <w:p>
      <w:pPr>
        <w:pStyle w:val="FootnoteText"/>
      </w:pPr>
      <w:r>
        <w:rPr>
          <w:rStyle w:val="FootnoteReference"/>
        </w:rPr>
        <w:footnoteRef/>
      </w:r>
      <w:r>
        <w:t xml:space="preserve"> </w:t>
      </w:r>
      <w:r>
        <w:t xml:space="preserve">参太 6:7。</w:t>
      </w:r>
    </w:p>
  </w:footnote>
  <w:footnote w:id="3945">
    <w:p>
      <w:pPr>
        <w:pStyle w:val="FootnoteText"/>
      </w:pPr>
      <w:r>
        <w:rPr>
          <w:rStyle w:val="FootnoteReference"/>
        </w:rPr>
        <w:footnoteRef/>
      </w:r>
      <w:r>
        <w:t xml:space="preserve"> </w:t>
      </w:r>
      <w:r>
        <w:t xml:space="preserve">参路 8:15。</w:t>
      </w:r>
    </w:p>
  </w:footnote>
  <w:footnote w:id="3946">
    <w:p>
      <w:pPr>
        <w:pStyle w:val="FootnoteText"/>
      </w:pPr>
      <w:r>
        <w:rPr>
          <w:rStyle w:val="FootnoteReference"/>
        </w:rPr>
        <w:footnoteRef/>
      </w:r>
      <w:r>
        <w:t xml:space="preserve"> </w:t>
      </w:r>
      <w:r>
        <w:t xml:space="preserve">林前 12:3。</w:t>
      </w:r>
    </w:p>
  </w:footnote>
  <w:footnote w:id="3947">
    <w:p>
      <w:pPr>
        <w:pStyle w:val="FootnoteText"/>
      </w:pPr>
      <w:r>
        <w:rPr>
          <w:rStyle w:val="FootnoteReference"/>
        </w:rPr>
        <w:footnoteRef/>
      </w:r>
      <w:r>
        <w:t xml:space="preserve"> </w:t>
      </w:r>
      <w:r>
        <w:t xml:space="preserve">圣额我略·纳齐安，</w:t>
      </w:r>
      <w:r>
        <w:rPr>
          <w:i/>
          <w:iCs/>
        </w:rPr>
        <w:t xml:space="preserve">Oratio</w:t>
      </w:r>
      <w:r>
        <w:t xml:space="preserve"> </w:t>
      </w:r>
      <w:r>
        <w:t xml:space="preserve">31，28：PG 36，165。</w:t>
      </w:r>
    </w:p>
  </w:footnote>
  <w:footnote w:id="3948">
    <w:p>
      <w:pPr>
        <w:pStyle w:val="FootnoteText"/>
      </w:pPr>
      <w:r>
        <w:rPr>
          <w:rStyle w:val="FootnoteReference"/>
        </w:rPr>
        <w:footnoteRef/>
      </w:r>
      <w:r>
        <w:t xml:space="preserve"> </w:t>
      </w:r>
      <w:r>
        <w:t xml:space="preserve">参路 11:13。</w:t>
      </w:r>
    </w:p>
  </w:footnote>
  <w:footnote w:id="3949">
    <w:p>
      <w:pPr>
        <w:pStyle w:val="FootnoteText"/>
      </w:pPr>
      <w:r>
        <w:rPr>
          <w:rStyle w:val="FootnoteReference"/>
        </w:rPr>
        <w:footnoteRef/>
      </w:r>
      <w:r>
        <w:t xml:space="preserve"> </w:t>
      </w:r>
      <w:r>
        <w:t xml:space="preserve">参约 14:17；15:26；16:13。</w:t>
      </w:r>
    </w:p>
  </w:footnote>
  <w:footnote w:id="3950">
    <w:p>
      <w:pPr>
        <w:pStyle w:val="FootnoteText"/>
      </w:pPr>
      <w:r>
        <w:rPr>
          <w:rStyle w:val="FootnoteReference"/>
        </w:rPr>
        <w:footnoteRef/>
      </w:r>
      <w:r>
        <w:t xml:space="preserve"> </w:t>
      </w:r>
      <w:r>
        <w:t xml:space="preserve">《罗马弥撒经书》，五旬节继抒咏。</w:t>
      </w:r>
    </w:p>
  </w:footnote>
  <w:footnote w:id="3951">
    <w:p>
      <w:pPr>
        <w:pStyle w:val="FootnoteText"/>
      </w:pPr>
      <w:r>
        <w:rPr>
          <w:rStyle w:val="FootnoteReference"/>
        </w:rPr>
        <w:footnoteRef/>
      </w:r>
      <w:r>
        <w:t xml:space="preserve"> </w:t>
      </w:r>
      <w:r>
        <w:t xml:space="preserve">拜占庭礼仪，五旬节晚祷，短赞歌。</w:t>
      </w:r>
    </w:p>
  </w:footnote>
  <w:footnote w:id="3952">
    <w:p>
      <w:pPr>
        <w:pStyle w:val="FootnoteText"/>
      </w:pPr>
      <w:r>
        <w:rPr>
          <w:rStyle w:val="FootnoteReference"/>
        </w:rPr>
        <w:footnoteRef/>
      </w:r>
      <w:r>
        <w:t xml:space="preserve"> </w:t>
      </w:r>
      <w:r>
        <w:t xml:space="preserve">LG 62。</w:t>
      </w:r>
    </w:p>
  </w:footnote>
  <w:footnote w:id="3953">
    <w:p>
      <w:pPr>
        <w:pStyle w:val="FootnoteText"/>
      </w:pPr>
      <w:r>
        <w:rPr>
          <w:rStyle w:val="FootnoteReference"/>
        </w:rPr>
        <w:footnoteRef/>
      </w:r>
      <w:r>
        <w:t xml:space="preserve"> </w:t>
      </w:r>
      <w:r>
        <w:t xml:space="preserve">参路 1:46-55。</w:t>
      </w:r>
    </w:p>
  </w:footnote>
  <w:footnote w:id="3954">
    <w:p>
      <w:pPr>
        <w:pStyle w:val="FootnoteText"/>
      </w:pPr>
      <w:r>
        <w:rPr>
          <w:rStyle w:val="FootnoteReference"/>
        </w:rPr>
        <w:footnoteRef/>
      </w:r>
      <w:r>
        <w:t xml:space="preserve"> </w:t>
      </w:r>
      <w:r>
        <w:t xml:space="preserve">参路 1:48；番 3:17b。</w:t>
      </w:r>
    </w:p>
  </w:footnote>
  <w:footnote w:id="3955">
    <w:p>
      <w:pPr>
        <w:pStyle w:val="FootnoteText"/>
      </w:pPr>
      <w:r>
        <w:rPr>
          <w:rStyle w:val="FootnoteReference"/>
        </w:rPr>
        <w:footnoteRef/>
      </w:r>
      <w:r>
        <w:t xml:space="preserve"> </w:t>
      </w:r>
      <w:r>
        <w:t xml:space="preserve">番 3:14、17a。</w:t>
      </w:r>
    </w:p>
  </w:footnote>
  <w:footnote w:id="3956">
    <w:p>
      <w:pPr>
        <w:pStyle w:val="FootnoteText"/>
      </w:pPr>
      <w:r>
        <w:rPr>
          <w:rStyle w:val="FootnoteReference"/>
        </w:rPr>
        <w:footnoteRef/>
      </w:r>
      <w:r>
        <w:t xml:space="preserve"> </w:t>
      </w:r>
      <w:r>
        <w:t xml:space="preserve">启 21:3。</w:t>
      </w:r>
    </w:p>
  </w:footnote>
  <w:footnote w:id="3957">
    <w:p>
      <w:pPr>
        <w:pStyle w:val="FootnoteText"/>
      </w:pPr>
      <w:r>
        <w:rPr>
          <w:rStyle w:val="FootnoteReference"/>
        </w:rPr>
        <w:footnoteRef/>
      </w:r>
      <w:r>
        <w:t xml:space="preserve"> </w:t>
      </w:r>
      <w:r>
        <w:t xml:space="preserve">路 1:41、48。</w:t>
      </w:r>
    </w:p>
  </w:footnote>
  <w:footnote w:id="3958">
    <w:p>
      <w:pPr>
        <w:pStyle w:val="FootnoteText"/>
      </w:pPr>
      <w:r>
        <w:rPr>
          <w:rStyle w:val="FootnoteReference"/>
        </w:rPr>
        <w:footnoteRef/>
      </w:r>
      <w:r>
        <w:t xml:space="preserve"> </w:t>
      </w:r>
      <w:r>
        <w:t xml:space="preserve">路 1:45。</w:t>
      </w:r>
    </w:p>
  </w:footnote>
  <w:footnote w:id="3959">
    <w:p>
      <w:pPr>
        <w:pStyle w:val="FootnoteText"/>
      </w:pPr>
      <w:r>
        <w:rPr>
          <w:rStyle w:val="FootnoteReference"/>
        </w:rPr>
        <w:footnoteRef/>
      </w:r>
      <w:r>
        <w:t xml:space="preserve"> </w:t>
      </w:r>
      <w:r>
        <w:t xml:space="preserve">参创 12:3。</w:t>
      </w:r>
    </w:p>
  </w:footnote>
  <w:footnote w:id="3960">
    <w:p>
      <w:pPr>
        <w:pStyle w:val="FootnoteText"/>
      </w:pPr>
      <w:r>
        <w:rPr>
          <w:rStyle w:val="FootnoteReference"/>
        </w:rPr>
        <w:footnoteRef/>
      </w:r>
      <w:r>
        <w:t xml:space="preserve"> </w:t>
      </w:r>
      <w:r>
        <w:t xml:space="preserve">路 1:43。</w:t>
      </w:r>
    </w:p>
  </w:footnote>
  <w:footnote w:id="3961">
    <w:p>
      <w:pPr>
        <w:pStyle w:val="FootnoteText"/>
      </w:pPr>
      <w:r>
        <w:rPr>
          <w:rStyle w:val="FootnoteReference"/>
        </w:rPr>
        <w:footnoteRef/>
      </w:r>
      <w:r>
        <w:t xml:space="preserve"> </w:t>
      </w:r>
      <w:r>
        <w:t xml:space="preserve">路 1:38。</w:t>
      </w:r>
    </w:p>
  </w:footnote>
  <w:footnote w:id="3962">
    <w:p>
      <w:pPr>
        <w:pStyle w:val="FootnoteText"/>
      </w:pPr>
      <w:r>
        <w:rPr>
          <w:rStyle w:val="FootnoteReference"/>
        </w:rPr>
        <w:footnoteRef/>
      </w:r>
      <w:r>
        <w:t xml:space="preserve"> </w:t>
      </w:r>
      <w:r>
        <w:t xml:space="preserve">参约 19:27。</w:t>
      </w:r>
    </w:p>
  </w:footnote>
  <w:footnote w:id="3963">
    <w:p>
      <w:pPr>
        <w:pStyle w:val="FootnoteText"/>
      </w:pPr>
      <w:r>
        <w:rPr>
          <w:rStyle w:val="FootnoteReference"/>
        </w:rPr>
        <w:footnoteRef/>
      </w:r>
      <w:r>
        <w:t xml:space="preserve"> </w:t>
      </w:r>
      <w:r>
        <w:t xml:space="preserve">参约 19:27。</w:t>
      </w:r>
    </w:p>
  </w:footnote>
  <w:footnote w:id="3964">
    <w:p>
      <w:pPr>
        <w:pStyle w:val="FootnoteText"/>
      </w:pPr>
      <w:r>
        <w:rPr>
          <w:rStyle w:val="FootnoteReference"/>
        </w:rPr>
        <w:footnoteRef/>
      </w:r>
      <w:r>
        <w:t xml:space="preserve"> </w:t>
      </w:r>
      <w:r>
        <w:t xml:space="preserve">参 LG 68-69。</w:t>
      </w:r>
    </w:p>
  </w:footnote>
  <w:footnote w:id="3967">
    <w:p>
      <w:pPr>
        <w:pStyle w:val="FootnoteText"/>
      </w:pPr>
      <w:r>
        <w:rPr>
          <w:rStyle w:val="FootnoteReference"/>
        </w:rPr>
        <w:footnoteRef/>
      </w:r>
      <w:r>
        <w:t xml:space="preserve"> </w:t>
      </w:r>
      <w:r>
        <w:t xml:space="preserve">参来 12:1。</w:t>
      </w:r>
    </w:p>
  </w:footnote>
  <w:footnote w:id="3968">
    <w:p>
      <w:pPr>
        <w:pStyle w:val="FootnoteText"/>
      </w:pPr>
      <w:r>
        <w:rPr>
          <w:rStyle w:val="FootnoteReference"/>
        </w:rPr>
        <w:footnoteRef/>
      </w:r>
      <w:r>
        <w:t xml:space="preserve"> </w:t>
      </w:r>
      <w:r>
        <w:t xml:space="preserve">参太 25:21。</w:t>
      </w:r>
    </w:p>
  </w:footnote>
  <w:footnote w:id="3969">
    <w:p>
      <w:pPr>
        <w:pStyle w:val="FootnoteText"/>
      </w:pPr>
      <w:r>
        <w:rPr>
          <w:rStyle w:val="FootnoteReference"/>
        </w:rPr>
        <w:footnoteRef/>
      </w:r>
      <w:r>
        <w:t xml:space="preserve"> </w:t>
      </w:r>
      <w:r>
        <w:t xml:space="preserve">参2王 2:9；路 1:1；PC 2。</w:t>
      </w:r>
    </w:p>
  </w:footnote>
  <w:footnote w:id="3970">
    <w:p>
      <w:pPr>
        <w:pStyle w:val="FootnoteText"/>
      </w:pPr>
      <w:r>
        <w:rPr>
          <w:rStyle w:val="FootnoteReference"/>
        </w:rPr>
        <w:footnoteRef/>
      </w:r>
      <w:r>
        <w:t xml:space="preserve"> </w:t>
      </w:r>
      <w:r>
        <w:t xml:space="preserve">圣巴西略，</w:t>
      </w:r>
      <w:r>
        <w:rPr>
          <w:i/>
          <w:iCs/>
        </w:rPr>
        <w:t xml:space="preserve">De Spiritu Sancto</w:t>
      </w:r>
      <w:r>
        <w:t xml:space="preserve"> </w:t>
      </w:r>
      <w:r>
        <w:t xml:space="preserve">26，62：PG 32，184。</w:t>
      </w:r>
    </w:p>
  </w:footnote>
  <w:footnote w:id="3971">
    <w:p>
      <w:pPr>
        <w:pStyle w:val="FootnoteText"/>
      </w:pPr>
      <w:r>
        <w:rPr>
          <w:rStyle w:val="FootnoteReference"/>
        </w:rPr>
        <w:footnoteRef/>
      </w:r>
      <w:r>
        <w:t xml:space="preserve"> </w:t>
      </w:r>
      <w:r>
        <w:t xml:space="preserve">参 PO 4-6。</w:t>
      </w:r>
    </w:p>
  </w:footnote>
  <w:footnote w:id="3972">
    <w:p>
      <w:pPr>
        <w:pStyle w:val="FootnoteText"/>
      </w:pPr>
      <w:r>
        <w:rPr>
          <w:rStyle w:val="FootnoteReference"/>
        </w:rPr>
        <w:footnoteRef/>
      </w:r>
      <w:r>
        <w:t xml:space="preserve"> </w:t>
      </w:r>
      <w:r>
        <w:t xml:space="preserve">参 CT 54。</w:t>
      </w:r>
    </w:p>
  </w:footnote>
  <w:footnote w:id="3973">
    <w:p>
      <w:pPr>
        <w:pStyle w:val="FootnoteText"/>
      </w:pPr>
      <w:r>
        <w:rPr>
          <w:rStyle w:val="FootnoteReference"/>
        </w:rPr>
        <w:footnoteRef/>
      </w:r>
      <w:r>
        <w:t xml:space="preserve"> </w:t>
      </w:r>
      <w:r>
        <w:t xml:space="preserve">圣十字约翰，</w:t>
      </w:r>
      <w:r>
        <w:rPr>
          <w:i/>
          <w:iCs/>
        </w:rPr>
        <w:t xml:space="preserve">The Living Flame of Love</w:t>
      </w:r>
      <w:r>
        <w:t xml:space="preserve"> </w:t>
      </w:r>
      <w:r>
        <w:t xml:space="preserve">stanza 3，30，见</w:t>
      </w:r>
      <w:r>
        <w:rPr>
          <w:i/>
          <w:iCs/>
        </w:rPr>
        <w:t xml:space="preserve">The Collected Works of St. John of the Cross</w:t>
      </w:r>
      <w:r>
        <w:t xml:space="preserve">，编者 K. Kavanaugh，O.C.D.，与 O. Rodriguez，O.C.D.（Washington，DC：Institute of Carmelite Studies，1979），621。</w:t>
      </w:r>
    </w:p>
  </w:footnote>
  <w:footnote w:id="3974">
    <w:p>
      <w:pPr>
        <w:pStyle w:val="FootnoteText"/>
      </w:pPr>
      <w:r>
        <w:rPr>
          <w:rStyle w:val="FootnoteReference"/>
        </w:rPr>
        <w:footnoteRef/>
      </w:r>
      <w:r>
        <w:t xml:space="preserve"> </w:t>
      </w:r>
      <w:r>
        <w:t xml:space="preserve">参太 6:6。</w:t>
      </w:r>
    </w:p>
  </w:footnote>
  <w:footnote w:id="3975">
    <w:p>
      <w:pPr>
        <w:pStyle w:val="FootnoteText"/>
      </w:pPr>
      <w:r>
        <w:rPr>
          <w:rStyle w:val="FootnoteReference"/>
        </w:rPr>
        <w:footnoteRef/>
      </w:r>
      <w:r>
        <w:t xml:space="preserve"> </w:t>
      </w:r>
      <w:r>
        <w:t xml:space="preserve">参 PO 7。</w:t>
      </w:r>
    </w:p>
  </w:footnote>
  <w:footnote w:id="3979">
    <w:p>
      <w:pPr>
        <w:pStyle w:val="FootnoteText"/>
      </w:pPr>
      <w:r>
        <w:rPr>
          <w:rStyle w:val="FootnoteReference"/>
        </w:rPr>
        <w:footnoteRef/>
      </w:r>
      <w:r>
        <w:t xml:space="preserve"> </w:t>
      </w:r>
      <w:r>
        <w:t xml:space="preserve">圣额我略·纳齐安，</w:t>
      </w:r>
      <w:r>
        <w:rPr>
          <w:i/>
          <w:iCs/>
        </w:rPr>
        <w:t xml:space="preserve">Oratio theologica</w:t>
      </w:r>
      <w:r>
        <w:t xml:space="preserve"> </w:t>
      </w:r>
      <w:r>
        <w:t xml:space="preserve">27，1，4：PG 36，16。</w:t>
      </w:r>
    </w:p>
  </w:footnote>
  <w:footnote w:id="3980">
    <w:p>
      <w:pPr>
        <w:pStyle w:val="FootnoteText"/>
      </w:pPr>
      <w:r>
        <w:rPr>
          <w:rStyle w:val="FootnoteReference"/>
        </w:rPr>
        <w:footnoteRef/>
      </w:r>
      <w:r>
        <w:t xml:space="preserve"> </w:t>
      </w:r>
      <w:r>
        <w:t xml:space="preserve">圣约翰·屈梭多模，</w:t>
      </w:r>
      <w:r>
        <w:rPr>
          <w:i/>
          <w:iCs/>
        </w:rPr>
        <w:t xml:space="preserve">Ecloga de oratione</w:t>
      </w:r>
      <w:r>
        <w:t xml:space="preserve"> </w:t>
      </w:r>
      <w:r>
        <w:t xml:space="preserve">2：PG 63，585。</w:t>
      </w:r>
    </w:p>
  </w:footnote>
  <w:footnote w:id="3981">
    <w:p>
      <w:pPr>
        <w:pStyle w:val="FootnoteText"/>
      </w:pPr>
      <w:r>
        <w:rPr>
          <w:rStyle w:val="FootnoteReference"/>
        </w:rPr>
        <w:footnoteRef/>
      </w:r>
      <w:r>
        <w:t xml:space="preserve"> </w:t>
      </w:r>
      <w:r>
        <w:t xml:space="preserve">参太 11:25-26；可 14:36。</w:t>
      </w:r>
    </w:p>
  </w:footnote>
  <w:footnote w:id="3982">
    <w:p>
      <w:pPr>
        <w:pStyle w:val="FootnoteText"/>
      </w:pPr>
      <w:r>
        <w:rPr>
          <w:rStyle w:val="FootnoteReference"/>
        </w:rPr>
        <w:footnoteRef/>
      </w:r>
      <w:r>
        <w:t xml:space="preserve"> </w:t>
      </w:r>
      <w:r>
        <w:t xml:space="preserve">圣德兰，</w:t>
      </w:r>
      <w:r>
        <w:rPr>
          <w:i/>
          <w:iCs/>
        </w:rPr>
        <w:t xml:space="preserve">The Way of Perfection</w:t>
      </w:r>
      <w:r>
        <w:t xml:space="preserve"> </w:t>
      </w:r>
      <w:r>
        <w:t xml:space="preserve">26，9，见</w:t>
      </w:r>
      <w:r>
        <w:rPr>
          <w:i/>
          <w:iCs/>
        </w:rPr>
        <w:t xml:space="preserve">The Collected Works of St. Teresa of Avila</w:t>
      </w:r>
      <w:r>
        <w:t xml:space="preserve">，译者 K. Kavanaugh，O.C.D.，与 O. Rodriguez，O.C.D.（Washington，DC：Institute of Carmelite Studies，1980），II，136。</w:t>
      </w:r>
    </w:p>
  </w:footnote>
  <w:footnote w:id="3984">
    <w:p>
      <w:pPr>
        <w:pStyle w:val="FootnoteText"/>
      </w:pPr>
      <w:r>
        <w:rPr>
          <w:rStyle w:val="FootnoteReference"/>
        </w:rPr>
        <w:footnoteRef/>
      </w:r>
      <w:r>
        <w:t xml:space="preserve"> </w:t>
      </w:r>
      <w:r>
        <w:t xml:space="preserve">参可 4:4-7、15-19。</w:t>
      </w:r>
    </w:p>
  </w:footnote>
  <w:footnote w:id="3986">
    <w:p>
      <w:pPr>
        <w:pStyle w:val="FootnoteText"/>
      </w:pPr>
      <w:r>
        <w:rPr>
          <w:rStyle w:val="FootnoteReference"/>
        </w:rPr>
        <w:footnoteRef/>
      </w:r>
      <w:r>
        <w:t xml:space="preserve"> </w:t>
      </w:r>
      <w:r>
        <w:t xml:space="preserve">圣德兰，</w:t>
      </w:r>
      <w:r>
        <w:rPr>
          <w:i/>
          <w:iCs/>
        </w:rPr>
        <w:t xml:space="preserve">The Book of Her Life</w:t>
      </w:r>
      <w:r>
        <w:t xml:space="preserve"> </w:t>
      </w:r>
      <w:r>
        <w:t xml:space="preserve">8，5，见</w:t>
      </w:r>
      <w:r>
        <w:rPr>
          <w:i/>
          <w:iCs/>
        </w:rPr>
        <w:t xml:space="preserve">The Collected Works of St. Teresa of Avila</w:t>
      </w:r>
      <w:r>
        <w:t xml:space="preserve">，译者 K. Kavanaugh，O.C.D.，与 O. Rodriguez，O.C.D.（Washington，DC：Institute of Carmelite Studies，1976），I，67。</w:t>
      </w:r>
    </w:p>
  </w:footnote>
  <w:footnote w:id="3987">
    <w:p>
      <w:pPr>
        <w:pStyle w:val="FootnoteText"/>
      </w:pPr>
      <w:r>
        <w:rPr>
          <w:rStyle w:val="FootnoteReference"/>
        </w:rPr>
        <w:footnoteRef/>
      </w:r>
      <w:r>
        <w:t xml:space="preserve"> </w:t>
      </w:r>
      <w:r>
        <w:t xml:space="preserve">歌 1:7；参 3:1-4。</w:t>
      </w:r>
    </w:p>
  </w:footnote>
  <w:footnote w:id="3988">
    <w:p>
      <w:pPr>
        <w:pStyle w:val="FootnoteText"/>
      </w:pPr>
      <w:r>
        <w:rPr>
          <w:rStyle w:val="FootnoteReference"/>
        </w:rPr>
        <w:footnoteRef/>
      </w:r>
      <w:r>
        <w:t xml:space="preserve"> </w:t>
      </w:r>
      <w:r>
        <w:t xml:space="preserve">参路 7:36-50；19:1-10。</w:t>
      </w:r>
    </w:p>
  </w:footnote>
  <w:footnote w:id="3989">
    <w:p>
      <w:pPr>
        <w:pStyle w:val="FootnoteText"/>
      </w:pPr>
      <w:r>
        <w:rPr>
          <w:rStyle w:val="FootnoteReference"/>
        </w:rPr>
        <w:footnoteRef/>
      </w:r>
      <w:r>
        <w:t xml:space="preserve"> </w:t>
      </w:r>
      <w:r>
        <w:t xml:space="preserve">参耶 31:33。</w:t>
      </w:r>
    </w:p>
  </w:footnote>
  <w:footnote w:id="3990">
    <w:p>
      <w:pPr>
        <w:pStyle w:val="FootnoteText"/>
      </w:pPr>
      <w:r>
        <w:rPr>
          <w:rStyle w:val="FootnoteReference"/>
        </w:rPr>
        <w:footnoteRef/>
      </w:r>
      <w:r>
        <w:t xml:space="preserve"> </w:t>
      </w:r>
      <w:r>
        <w:t xml:space="preserve">参圣依纳爵·罗耀拉，</w:t>
      </w:r>
      <w:r>
        <w:rPr>
          <w:i/>
          <w:iCs/>
        </w:rPr>
        <w:t xml:space="preserve">Spiritual Exercises</w:t>
      </w:r>
      <w:r>
        <w:t xml:space="preserve"> </w:t>
      </w:r>
      <w:r>
        <w:t xml:space="preserve">104。</w:t>
      </w:r>
    </w:p>
  </w:footnote>
  <w:footnote w:id="3991">
    <w:p>
      <w:pPr>
        <w:pStyle w:val="FootnoteText"/>
      </w:pPr>
      <w:r>
        <w:rPr>
          <w:rStyle w:val="FootnoteReference"/>
        </w:rPr>
        <w:footnoteRef/>
      </w:r>
      <w:r>
        <w:t xml:space="preserve"> </w:t>
      </w:r>
      <w:r>
        <w:t xml:space="preserve">参圣尼尼微的以撒，</w:t>
      </w:r>
      <w:r>
        <w:rPr>
          <w:i/>
          <w:iCs/>
        </w:rPr>
        <w:t xml:space="preserve">Tractatus mysticus</w:t>
      </w:r>
      <w:r>
        <w:t xml:space="preserve"> </w:t>
      </w:r>
      <w:r>
        <w:t xml:space="preserve">66。</w:t>
      </w:r>
    </w:p>
  </w:footnote>
  <w:footnote w:id="3992">
    <w:p>
      <w:pPr>
        <w:pStyle w:val="FootnoteText"/>
      </w:pPr>
      <w:r>
        <w:rPr>
          <w:rStyle w:val="FootnoteReference"/>
        </w:rPr>
        <w:footnoteRef/>
      </w:r>
      <w:r>
        <w:t xml:space="preserve"> </w:t>
      </w:r>
      <w:r>
        <w:t xml:space="preserve">圣十字约翰，</w:t>
      </w:r>
      <w:r>
        <w:rPr>
          <w:i/>
          <w:iCs/>
        </w:rPr>
        <w:t xml:space="preserve">Maxims and Counsels</w:t>
      </w:r>
      <w:r>
        <w:t xml:space="preserve"> </w:t>
      </w:r>
      <w:r>
        <w:t xml:space="preserve">53，见</w:t>
      </w:r>
      <w:r>
        <w:rPr>
          <w:i/>
          <w:iCs/>
        </w:rPr>
        <w:t xml:space="preserve">The Collected Works of St. John of the Cross</w:t>
      </w:r>
      <w:r>
        <w:t xml:space="preserve">，译者 K. Kavanaugh，O.C.D.，与 O. Rodriguez，O.C.D.（Washington，DC：Institute of Carmelite Studies，1979），678。</w:t>
      </w:r>
    </w:p>
  </w:footnote>
  <w:footnote w:id="3993">
    <w:p>
      <w:pPr>
        <w:pStyle w:val="FootnoteText"/>
      </w:pPr>
      <w:r>
        <w:rPr>
          <w:rStyle w:val="FootnoteReference"/>
        </w:rPr>
        <w:footnoteRef/>
      </w:r>
      <w:r>
        <w:t xml:space="preserve"> </w:t>
      </w:r>
      <w:r>
        <w:t xml:space="preserve">参太 26:40。</w:t>
      </w:r>
    </w:p>
  </w:footnote>
  <w:footnote w:id="3997">
    <w:p>
      <w:pPr>
        <w:pStyle w:val="FootnoteText"/>
      </w:pPr>
      <w:r>
        <w:rPr>
          <w:rStyle w:val="FootnoteReference"/>
        </w:rPr>
        <w:footnoteRef/>
      </w:r>
      <w:r>
        <w:t xml:space="preserve"> </w:t>
      </w:r>
      <w:r>
        <w:t xml:space="preserve">参可 10:22。</w:t>
      </w:r>
    </w:p>
  </w:footnote>
  <w:footnote w:id="3999">
    <w:p>
      <w:pPr>
        <w:pStyle w:val="FootnoteText"/>
      </w:pPr>
      <w:r>
        <w:rPr>
          <w:rStyle w:val="FootnoteReference"/>
        </w:rPr>
        <w:footnoteRef/>
      </w:r>
      <w:r>
        <w:t xml:space="preserve"> </w:t>
      </w:r>
      <w:r>
        <w:t xml:space="preserve">参太 6:21、24。</w:t>
      </w:r>
    </w:p>
  </w:footnote>
  <w:footnote w:id="4000">
    <w:p>
      <w:pPr>
        <w:pStyle w:val="FootnoteText"/>
      </w:pPr>
      <w:r>
        <w:rPr>
          <w:rStyle w:val="FootnoteReference"/>
        </w:rPr>
        <w:footnoteRef/>
      </w:r>
      <w:r>
        <w:t xml:space="preserve"> </w:t>
      </w:r>
      <w:r>
        <w:t xml:space="preserve">诗 27:8。</w:t>
      </w:r>
    </w:p>
  </w:footnote>
  <w:footnote w:id="4001">
    <w:p>
      <w:pPr>
        <w:pStyle w:val="FootnoteText"/>
      </w:pPr>
      <w:r>
        <w:rPr>
          <w:rStyle w:val="FootnoteReference"/>
        </w:rPr>
        <w:footnoteRef/>
      </w:r>
      <w:r>
        <w:t xml:space="preserve"> </w:t>
      </w:r>
      <w:r>
        <w:t xml:space="preserve">约 12:24。</w:t>
      </w:r>
    </w:p>
  </w:footnote>
  <w:footnote w:id="4002">
    <w:p>
      <w:pPr>
        <w:pStyle w:val="FootnoteText"/>
      </w:pPr>
      <w:r>
        <w:rPr>
          <w:rStyle w:val="FootnoteReference"/>
        </w:rPr>
        <w:footnoteRef/>
      </w:r>
      <w:r>
        <w:t xml:space="preserve"> </w:t>
      </w:r>
      <w:r>
        <w:t xml:space="preserve">参路 8:6、13。</w:t>
      </w:r>
    </w:p>
  </w:footnote>
  <w:footnote w:id="4004">
    <w:p>
      <w:pPr>
        <w:pStyle w:val="FootnoteText"/>
      </w:pPr>
      <w:r>
        <w:rPr>
          <w:rStyle w:val="FootnoteReference"/>
        </w:rPr>
        <w:footnoteRef/>
      </w:r>
      <w:r>
        <w:t xml:space="preserve"> </w:t>
      </w:r>
      <w:r>
        <w:t xml:space="preserve">参太 6:8。</w:t>
      </w:r>
    </w:p>
  </w:footnote>
  <w:footnote w:id="4005">
    <w:p>
      <w:pPr>
        <w:pStyle w:val="FootnoteText"/>
      </w:pPr>
      <w:r>
        <w:rPr>
          <w:rStyle w:val="FootnoteReference"/>
        </w:rPr>
        <w:footnoteRef/>
      </w:r>
      <w:r>
        <w:t xml:space="preserve"> </w:t>
      </w:r>
      <w:r>
        <w:t xml:space="preserve">罗 8:26。</w:t>
      </w:r>
    </w:p>
  </w:footnote>
  <w:footnote w:id="4006">
    <w:p>
      <w:pPr>
        <w:pStyle w:val="FootnoteText"/>
      </w:pPr>
      <w:r>
        <w:rPr>
          <w:rStyle w:val="FootnoteReference"/>
        </w:rPr>
        <w:footnoteRef/>
      </w:r>
      <w:r>
        <w:t xml:space="preserve"> </w:t>
      </w:r>
      <w:r>
        <w:t xml:space="preserve">参罗 8:27。</w:t>
      </w:r>
    </w:p>
  </w:footnote>
  <w:footnote w:id="4007">
    <w:p>
      <w:pPr>
        <w:pStyle w:val="FootnoteText"/>
      </w:pPr>
      <w:r>
        <w:rPr>
          <w:rStyle w:val="FootnoteReference"/>
        </w:rPr>
        <w:footnoteRef/>
      </w:r>
      <w:r>
        <w:t xml:space="preserve"> </w:t>
      </w:r>
      <w:r>
        <w:t xml:space="preserve">雅 4:3；参上下文：雅 4:1-10；1:5-8；5:16。</w:t>
      </w:r>
    </w:p>
  </w:footnote>
  <w:footnote w:id="4008">
    <w:p>
      <w:pPr>
        <w:pStyle w:val="FootnoteText"/>
      </w:pPr>
      <w:r>
        <w:rPr>
          <w:rStyle w:val="FootnoteReference"/>
        </w:rPr>
        <w:footnoteRef/>
      </w:r>
      <w:r>
        <w:t xml:space="preserve"> </w:t>
      </w:r>
      <w:r>
        <w:t xml:space="preserve">雅 4:4。</w:t>
      </w:r>
    </w:p>
  </w:footnote>
  <w:footnote w:id="4009">
    <w:p>
      <w:pPr>
        <w:pStyle w:val="FootnoteText"/>
      </w:pPr>
      <w:r>
        <w:rPr>
          <w:rStyle w:val="FootnoteReference"/>
        </w:rPr>
        <w:footnoteRef/>
      </w:r>
      <w:r>
        <w:t xml:space="preserve"> </w:t>
      </w:r>
      <w:r>
        <w:t xml:space="preserve">雅 4:5。</w:t>
      </w:r>
    </w:p>
  </w:footnote>
  <w:footnote w:id="4010">
    <w:p>
      <w:pPr>
        <w:pStyle w:val="FootnoteText"/>
      </w:pPr>
      <w:r>
        <w:rPr>
          <w:rStyle w:val="FootnoteReference"/>
        </w:rPr>
        <w:footnoteRef/>
      </w:r>
      <w:r>
        <w:t xml:space="preserve"> </w:t>
      </w:r>
      <w:r>
        <w:t xml:space="preserve">庞都的埃瓦格里乌斯，</w:t>
      </w:r>
      <w:r>
        <w:rPr>
          <w:i/>
          <w:iCs/>
        </w:rPr>
        <w:t xml:space="preserve">De oratione</w:t>
      </w:r>
      <w:r>
        <w:t xml:space="preserve"> </w:t>
      </w:r>
      <w:r>
        <w:t xml:space="preserve">34：PG 79，1173。</w:t>
      </w:r>
    </w:p>
  </w:footnote>
  <w:footnote w:id="4011">
    <w:p>
      <w:pPr>
        <w:pStyle w:val="FootnoteText"/>
      </w:pPr>
      <w:r>
        <w:rPr>
          <w:rStyle w:val="FootnoteReference"/>
        </w:rPr>
        <w:footnoteRef/>
      </w:r>
      <w:r>
        <w:t xml:space="preserve"> </w:t>
      </w:r>
      <w:r>
        <w:t xml:space="preserve">圣奥古斯丁，</w:t>
      </w:r>
      <w:r>
        <w:rPr>
          <w:i/>
          <w:iCs/>
        </w:rPr>
        <w:t xml:space="preserve">Epistula</w:t>
      </w:r>
      <w:r>
        <w:t xml:space="preserve"> </w:t>
      </w:r>
      <w:r>
        <w:t xml:space="preserve">130，8，17：PL 33，500。</w:t>
      </w:r>
    </w:p>
  </w:footnote>
  <w:footnote w:id="4012">
    <w:p>
      <w:pPr>
        <w:pStyle w:val="FootnoteText"/>
      </w:pPr>
      <w:r>
        <w:rPr>
          <w:rStyle w:val="FootnoteReference"/>
        </w:rPr>
        <w:footnoteRef/>
      </w:r>
      <w:r>
        <w:t xml:space="preserve"> </w:t>
      </w:r>
      <w:r>
        <w:t xml:space="preserve">参罗 10:12-13；8:26-39。</w:t>
      </w:r>
    </w:p>
  </w:footnote>
  <w:footnote w:id="4013">
    <w:p>
      <w:pPr>
        <w:pStyle w:val="FootnoteText"/>
      </w:pPr>
      <w:r>
        <w:rPr>
          <w:rStyle w:val="FootnoteReference"/>
        </w:rPr>
        <w:footnoteRef/>
      </w:r>
      <w:r>
        <w:t xml:space="preserve"> </w:t>
      </w:r>
      <w:r>
        <w:t xml:space="preserve">参来 5:7；7:25；9:24。</w:t>
      </w:r>
    </w:p>
  </w:footnote>
  <w:footnote w:id="4015">
    <w:p>
      <w:pPr>
        <w:pStyle w:val="FootnoteText"/>
      </w:pPr>
      <w:r>
        <w:rPr>
          <w:rStyle w:val="FootnoteReference"/>
        </w:rPr>
        <w:footnoteRef/>
      </w:r>
      <w:r>
        <w:t xml:space="preserve"> </w:t>
      </w:r>
      <w:r>
        <w:t xml:space="preserve">帖前 5:17；弗 5:20。</w:t>
      </w:r>
    </w:p>
  </w:footnote>
  <w:footnote w:id="4016">
    <w:p>
      <w:pPr>
        <w:pStyle w:val="FootnoteText"/>
      </w:pPr>
      <w:r>
        <w:rPr>
          <w:rStyle w:val="FootnoteReference"/>
        </w:rPr>
        <w:footnoteRef/>
      </w:r>
      <w:r>
        <w:t xml:space="preserve"> </w:t>
      </w:r>
      <w:r>
        <w:t xml:space="preserve">弗 6:18。</w:t>
      </w:r>
    </w:p>
  </w:footnote>
  <w:footnote w:id="4017">
    <w:p>
      <w:pPr>
        <w:pStyle w:val="FootnoteText"/>
      </w:pPr>
      <w:r>
        <w:rPr>
          <w:rStyle w:val="FootnoteReference"/>
        </w:rPr>
        <w:footnoteRef/>
      </w:r>
      <w:r>
        <w:t xml:space="preserve"> </w:t>
      </w:r>
      <w:r>
        <w:t xml:space="preserve">庞都的埃瓦格里乌斯，</w:t>
      </w:r>
      <w:r>
        <w:rPr>
          <w:i/>
          <w:iCs/>
        </w:rPr>
        <w:t xml:space="preserve">Praktikos</w:t>
      </w:r>
      <w:r>
        <w:t xml:space="preserve"> </w:t>
      </w:r>
      <w:r>
        <w:t xml:space="preserve">49：PG 40，1245C。</w:t>
      </w:r>
    </w:p>
  </w:footnote>
  <w:footnote w:id="4018">
    <w:p>
      <w:pPr>
        <w:pStyle w:val="FootnoteText"/>
      </w:pPr>
      <w:r>
        <w:rPr>
          <w:rStyle w:val="FootnoteReference"/>
        </w:rPr>
        <w:footnoteRef/>
      </w:r>
      <w:r>
        <w:t xml:space="preserve"> </w:t>
      </w:r>
      <w:r>
        <w:t xml:space="preserve">参太 28:20；路 8:24。</w:t>
      </w:r>
    </w:p>
  </w:footnote>
  <w:footnote w:id="4019">
    <w:p>
      <w:pPr>
        <w:pStyle w:val="FootnoteText"/>
      </w:pPr>
      <w:r>
        <w:rPr>
          <w:rStyle w:val="FootnoteReference"/>
        </w:rPr>
        <w:footnoteRef/>
      </w:r>
      <w:r>
        <w:t xml:space="preserve"> </w:t>
      </w:r>
      <w:r>
        <w:t xml:space="preserve">圣约翰·屈梭多模，</w:t>
      </w:r>
      <w:r>
        <w:rPr>
          <w:i/>
          <w:iCs/>
        </w:rPr>
        <w:t xml:space="preserve">Ecloga de oratione</w:t>
      </w:r>
      <w:r>
        <w:t xml:space="preserve"> </w:t>
      </w:r>
      <w:r>
        <w:t xml:space="preserve">2：PG 63，585。</w:t>
      </w:r>
    </w:p>
  </w:footnote>
  <w:footnote w:id="4020">
    <w:p>
      <w:pPr>
        <w:pStyle w:val="FootnoteText"/>
      </w:pPr>
      <w:r>
        <w:rPr>
          <w:rStyle w:val="FootnoteReference"/>
        </w:rPr>
        <w:footnoteRef/>
      </w:r>
      <w:r>
        <w:t xml:space="preserve"> </w:t>
      </w:r>
      <w:r>
        <w:t xml:space="preserve">参加 5:16-25。</w:t>
      </w:r>
    </w:p>
  </w:footnote>
  <w:footnote w:id="4021">
    <w:p>
      <w:pPr>
        <w:pStyle w:val="FootnoteText"/>
      </w:pPr>
      <w:r>
        <w:rPr>
          <w:rStyle w:val="FootnoteReference"/>
        </w:rPr>
        <w:footnoteRef/>
      </w:r>
      <w:r>
        <w:t xml:space="preserve"> </w:t>
      </w:r>
      <w:r>
        <w:t xml:space="preserve">圣约翰·屈梭多模，</w:t>
      </w:r>
      <w:r>
        <w:rPr>
          <w:i/>
          <w:iCs/>
        </w:rPr>
        <w:t xml:space="preserve">De Anna</w:t>
      </w:r>
      <w:r>
        <w:t xml:space="preserve"> </w:t>
      </w:r>
      <w:r>
        <w:t xml:space="preserve">4，5：PG 54，666。</w:t>
      </w:r>
    </w:p>
  </w:footnote>
  <w:footnote w:id="4022">
    <w:p>
      <w:pPr>
        <w:pStyle w:val="FootnoteText"/>
      </w:pPr>
      <w:r>
        <w:rPr>
          <w:rStyle w:val="FootnoteReference"/>
        </w:rPr>
        <w:footnoteRef/>
      </w:r>
      <w:r>
        <w:t xml:space="preserve"> </w:t>
      </w:r>
      <w:r>
        <w:t xml:space="preserve">圣亚丰索·利古里，</w:t>
      </w:r>
      <w:r>
        <w:rPr>
          <w:i/>
          <w:iCs/>
        </w:rPr>
        <w:t xml:space="preserve">Del gran Mezzo della preghiera</w:t>
      </w:r>
      <w:r>
        <w:t xml:space="preserve">。</w:t>
      </w:r>
    </w:p>
  </w:footnote>
  <w:footnote w:id="4023">
    <w:p>
      <w:pPr>
        <w:pStyle w:val="FootnoteText"/>
      </w:pPr>
      <w:r>
        <w:rPr>
          <w:rStyle w:val="FootnoteReference"/>
        </w:rPr>
        <w:footnoteRef/>
      </w:r>
      <w:r>
        <w:t xml:space="preserve"> </w:t>
      </w:r>
      <w:r>
        <w:t xml:space="preserve">约 15:16-17。</w:t>
      </w:r>
    </w:p>
  </w:footnote>
  <w:footnote w:id="4024">
    <w:p>
      <w:pPr>
        <w:pStyle w:val="FootnoteText"/>
      </w:pPr>
      <w:r>
        <w:rPr>
          <w:rStyle w:val="FootnoteReference"/>
        </w:rPr>
        <w:footnoteRef/>
      </w:r>
      <w:r>
        <w:t xml:space="preserve"> </w:t>
      </w:r>
      <w:r>
        <w:t xml:space="preserve">俄利根，</w:t>
      </w:r>
      <w:r>
        <w:rPr>
          <w:i/>
          <w:iCs/>
        </w:rPr>
        <w:t xml:space="preserve">De oratione</w:t>
      </w:r>
      <w:r>
        <w:t xml:space="preserve"> </w:t>
      </w:r>
      <w:r>
        <w:t xml:space="preserve">12：PG 11，452C。</w:t>
      </w:r>
    </w:p>
  </w:footnote>
  <w:footnote w:id="4027">
    <w:p>
      <w:pPr>
        <w:pStyle w:val="FootnoteText"/>
      </w:pPr>
      <w:r>
        <w:rPr>
          <w:rStyle w:val="FootnoteReference"/>
        </w:rPr>
        <w:footnoteRef/>
      </w:r>
      <w:r>
        <w:t xml:space="preserve"> </w:t>
      </w:r>
      <w:r>
        <w:t xml:space="preserve">参约 17。</w:t>
      </w:r>
    </w:p>
  </w:footnote>
  <w:footnote w:id="4028">
    <w:p>
      <w:pPr>
        <w:pStyle w:val="FootnoteText"/>
      </w:pPr>
      <w:r>
        <w:rPr>
          <w:rStyle w:val="FootnoteReference"/>
        </w:rPr>
        <w:footnoteRef/>
      </w:r>
      <w:r>
        <w:t xml:space="preserve"> </w:t>
      </w:r>
      <w:r>
        <w:t xml:space="preserve">参约 17:11、13、19。</w:t>
      </w:r>
    </w:p>
  </w:footnote>
  <w:footnote w:id="4029">
    <w:p>
      <w:pPr>
        <w:pStyle w:val="FootnoteText"/>
      </w:pPr>
      <w:r>
        <w:rPr>
          <w:rStyle w:val="FootnoteReference"/>
        </w:rPr>
        <w:footnoteRef/>
      </w:r>
      <w:r>
        <w:t xml:space="preserve"> </w:t>
      </w:r>
      <w:r>
        <w:t xml:space="preserve">参弗 1:10。</w:t>
      </w:r>
    </w:p>
  </w:footnote>
  <w:footnote w:id="4030">
    <w:p>
      <w:pPr>
        <w:pStyle w:val="FootnoteText"/>
      </w:pPr>
      <w:r>
        <w:rPr>
          <w:rStyle w:val="FootnoteReference"/>
        </w:rPr>
        <w:footnoteRef/>
      </w:r>
      <w:r>
        <w:t xml:space="preserve"> </w:t>
      </w:r>
      <w:r>
        <w:t xml:space="preserve">参约 17:11、13、19、24。</w:t>
      </w:r>
    </w:p>
  </w:footnote>
  <w:footnote w:id="4031">
    <w:p>
      <w:pPr>
        <w:pStyle w:val="FootnoteText"/>
      </w:pPr>
      <w:r>
        <w:rPr>
          <w:rStyle w:val="FootnoteReference"/>
        </w:rPr>
        <w:footnoteRef/>
      </w:r>
      <w:r>
        <w:t xml:space="preserve"> </w:t>
      </w:r>
      <w:r>
        <w:t xml:space="preserve">参约 17:6、11、12、26。</w:t>
      </w:r>
    </w:p>
  </w:footnote>
  <w:footnote w:id="4032">
    <w:p>
      <w:pPr>
        <w:pStyle w:val="FootnoteText"/>
      </w:pPr>
      <w:r>
        <w:rPr>
          <w:rStyle w:val="FootnoteReference"/>
        </w:rPr>
        <w:footnoteRef/>
      </w:r>
      <w:r>
        <w:t xml:space="preserve"> </w:t>
      </w:r>
      <w:r>
        <w:t xml:space="preserve">参约 17:1、5、10、22、23-26。</w:t>
      </w:r>
    </w:p>
  </w:footnote>
  <w:footnote w:id="4033">
    <w:p>
      <w:pPr>
        <w:pStyle w:val="FootnoteText"/>
      </w:pPr>
      <w:r>
        <w:rPr>
          <w:rStyle w:val="FootnoteReference"/>
        </w:rPr>
        <w:footnoteRef/>
      </w:r>
      <w:r>
        <w:t xml:space="preserve"> </w:t>
      </w:r>
      <w:r>
        <w:t xml:space="preserve">参约 17:2、4、6、9、11、12、24。</w:t>
      </w:r>
    </w:p>
  </w:footnote>
  <w:footnote w:id="4034">
    <w:p>
      <w:pPr>
        <w:pStyle w:val="FootnoteText"/>
      </w:pPr>
      <w:r>
        <w:rPr>
          <w:rStyle w:val="FootnoteReference"/>
        </w:rPr>
        <w:footnoteRef/>
      </w:r>
      <w:r>
        <w:t xml:space="preserve"> </w:t>
      </w:r>
      <w:r>
        <w:t xml:space="preserve">参约 17:15。</w:t>
      </w:r>
    </w:p>
  </w:footnote>
  <w:footnote w:id="4035">
    <w:p>
      <w:pPr>
        <w:pStyle w:val="FootnoteText"/>
      </w:pPr>
      <w:r>
        <w:rPr>
          <w:rStyle w:val="FootnoteReference"/>
        </w:rPr>
        <w:footnoteRef/>
      </w:r>
      <w:r>
        <w:t xml:space="preserve"> </w:t>
      </w:r>
      <w:r>
        <w:t xml:space="preserve">参约 17:3、6-10、25。</w:t>
      </w:r>
    </w:p>
  </w:footnote>
  <w:footnote w:id="4040">
    <w:p>
      <w:pPr>
        <w:pStyle w:val="FootnoteText"/>
      </w:pPr>
      <w:r>
        <w:rPr>
          <w:rStyle w:val="FootnoteReference"/>
        </w:rPr>
        <w:footnoteRef/>
      </w:r>
      <w:r>
        <w:t xml:space="preserve"> </w:t>
      </w:r>
      <w:r>
        <w:t xml:space="preserve">路 11:1。</w:t>
      </w:r>
    </w:p>
  </w:footnote>
  <w:footnote w:id="4041">
    <w:p>
      <w:pPr>
        <w:pStyle w:val="FootnoteText"/>
      </w:pPr>
      <w:r>
        <w:rPr>
          <w:rStyle w:val="FootnoteReference"/>
        </w:rPr>
        <w:footnoteRef/>
      </w:r>
      <w:r>
        <w:t xml:space="preserve"> </w:t>
      </w:r>
      <w:r>
        <w:t xml:space="preserve">参路 11:2-4。</w:t>
      </w:r>
    </w:p>
  </w:footnote>
  <w:footnote w:id="4042">
    <w:p>
      <w:pPr>
        <w:pStyle w:val="FootnoteText"/>
      </w:pPr>
      <w:r>
        <w:rPr>
          <w:rStyle w:val="FootnoteReference"/>
        </w:rPr>
        <w:footnoteRef/>
      </w:r>
      <w:r>
        <w:t xml:space="preserve"> </w:t>
      </w:r>
      <w:r>
        <w:t xml:space="preserve">参太 6:9-13。</w:t>
      </w:r>
    </w:p>
  </w:footnote>
  <w:footnote w:id="4043">
    <w:p>
      <w:pPr>
        <w:pStyle w:val="FootnoteText"/>
      </w:pPr>
      <w:r>
        <w:rPr>
          <w:rStyle w:val="FootnoteReference"/>
        </w:rPr>
        <w:footnoteRef/>
      </w:r>
      <w:r>
        <w:t xml:space="preserve"> </w:t>
      </w:r>
      <w:r>
        <w:rPr>
          <w:i/>
          <w:iCs/>
        </w:rPr>
        <w:t xml:space="preserve">Didache</w:t>
      </w:r>
      <w:r>
        <w:t xml:space="preserve"> </w:t>
      </w:r>
      <w:r>
        <w:t xml:space="preserve">8，2：SCh 248，174。</w:t>
      </w:r>
    </w:p>
  </w:footnote>
  <w:footnote w:id="4044">
    <w:p>
      <w:pPr>
        <w:pStyle w:val="FootnoteText"/>
      </w:pPr>
      <w:r>
        <w:rPr>
          <w:rStyle w:val="FootnoteReference"/>
        </w:rPr>
        <w:footnoteRef/>
      </w:r>
      <w:r>
        <w:t xml:space="preserve"> </w:t>
      </w:r>
      <w:r>
        <w:rPr>
          <w:i/>
          <w:iCs/>
        </w:rPr>
        <w:t xml:space="preserve">Apostolic Constitutions</w:t>
      </w:r>
      <w:r>
        <w:t xml:space="preserve"> </w:t>
      </w:r>
      <w:r>
        <w:t xml:space="preserve">7，24，1：PG 1，1016。</w:t>
      </w:r>
    </w:p>
  </w:footnote>
  <w:footnote w:id="4045">
    <w:p>
      <w:pPr>
        <w:pStyle w:val="FootnoteText"/>
      </w:pPr>
      <w:r>
        <w:rPr>
          <w:rStyle w:val="FootnoteReference"/>
        </w:rPr>
        <w:footnoteRef/>
      </w:r>
      <w:r>
        <w:t xml:space="preserve"> </w:t>
      </w:r>
      <w:r>
        <w:t xml:space="preserve">多 2:13；参《罗马弥撒经书》22，主祷文后的补充经文。</w:t>
      </w:r>
    </w:p>
  </w:footnote>
  <w:footnote w:id="4046">
    <w:p>
      <w:pPr>
        <w:pStyle w:val="FootnoteText"/>
      </w:pPr>
      <w:r>
        <w:rPr>
          <w:rStyle w:val="FootnoteReference"/>
        </w:rPr>
        <w:footnoteRef/>
      </w:r>
      <w:r>
        <w:t xml:space="preserve"> </w:t>
      </w:r>
      <w:r>
        <w:t xml:space="preserve">特土良，</w:t>
      </w:r>
      <w:r>
        <w:rPr>
          <w:i/>
          <w:iCs/>
        </w:rPr>
        <w:t xml:space="preserve">De oratione</w:t>
      </w:r>
      <w:r>
        <w:t xml:space="preserve"> </w:t>
      </w:r>
      <w:r>
        <w:t xml:space="preserve">1：PL 1，1155。</w:t>
      </w:r>
    </w:p>
  </w:footnote>
  <w:footnote w:id="4047">
    <w:p>
      <w:pPr>
        <w:pStyle w:val="FootnoteText"/>
      </w:pPr>
      <w:r>
        <w:rPr>
          <w:rStyle w:val="FootnoteReference"/>
        </w:rPr>
        <w:footnoteRef/>
      </w:r>
      <w:r>
        <w:t xml:space="preserve"> </w:t>
      </w:r>
      <w:r>
        <w:t xml:space="preserve">特土良，</w:t>
      </w:r>
      <w:r>
        <w:rPr>
          <w:i/>
          <w:iCs/>
        </w:rPr>
        <w:t xml:space="preserve">De oratione</w:t>
      </w:r>
      <w:r>
        <w:t xml:space="preserve"> </w:t>
      </w:r>
      <w:r>
        <w:t xml:space="preserve">10：PL 1，1165；参路 11:9。</w:t>
      </w:r>
    </w:p>
  </w:footnote>
  <w:footnote w:id="4048">
    <w:p>
      <w:pPr>
        <w:pStyle w:val="FootnoteText"/>
      </w:pPr>
      <w:r>
        <w:rPr>
          <w:rStyle w:val="FootnoteReference"/>
        </w:rPr>
        <w:footnoteRef/>
      </w:r>
      <w:r>
        <w:t xml:space="preserve"> </w:t>
      </w:r>
      <w:r>
        <w:t xml:space="preserve">圣奥古斯丁，</w:t>
      </w:r>
      <w:r>
        <w:rPr>
          <w:i/>
          <w:iCs/>
        </w:rPr>
        <w:t xml:space="preserve">Epistula</w:t>
      </w:r>
      <w:r>
        <w:t xml:space="preserve"> </w:t>
      </w:r>
      <w:r>
        <w:t xml:space="preserve">130，12，22：PL 33，503。</w:t>
      </w:r>
    </w:p>
  </w:footnote>
  <w:footnote w:id="4049">
    <w:p>
      <w:pPr>
        <w:pStyle w:val="FootnoteText"/>
      </w:pPr>
      <w:r>
        <w:rPr>
          <w:rStyle w:val="FootnoteReference"/>
        </w:rPr>
        <w:footnoteRef/>
      </w:r>
      <w:r>
        <w:t xml:space="preserve"> </w:t>
      </w:r>
      <w:r>
        <w:t xml:space="preserve">参路 24:44。</w:t>
      </w:r>
    </w:p>
  </w:footnote>
  <w:footnote w:id="4050">
    <w:p>
      <w:pPr>
        <w:pStyle w:val="FootnoteText"/>
      </w:pPr>
      <w:r>
        <w:rPr>
          <w:rStyle w:val="FootnoteReference"/>
        </w:rPr>
        <w:footnoteRef/>
      </w:r>
      <w:r>
        <w:t xml:space="preserve"> </w:t>
      </w:r>
      <w:r>
        <w:t xml:space="preserve">参太 5-7。</w:t>
      </w:r>
    </w:p>
  </w:footnote>
  <w:footnote w:id="4051">
    <w:p>
      <w:pPr>
        <w:pStyle w:val="FootnoteText"/>
      </w:pPr>
      <w:r>
        <w:rPr>
          <w:rStyle w:val="FootnoteReference"/>
        </w:rPr>
        <w:footnoteRef/>
      </w:r>
      <w:r>
        <w:t xml:space="preserve"> </w:t>
      </w:r>
      <w:r>
        <w:t xml:space="preserve">圣托马斯·阿奎那，</w:t>
      </w:r>
      <w:r>
        <w:rPr>
          <w:i/>
          <w:iCs/>
        </w:rPr>
        <w:t xml:space="preserve">Summa theologiae</w:t>
      </w:r>
      <w:r>
        <w:t xml:space="preserve"> </w:t>
      </w:r>
      <w:r>
        <w:t xml:space="preserve">II-II，83，9。</w:t>
      </w:r>
    </w:p>
  </w:footnote>
  <w:footnote w:id="4053">
    <w:p>
      <w:pPr>
        <w:pStyle w:val="FootnoteText"/>
      </w:pPr>
      <w:r>
        <w:rPr>
          <w:rStyle w:val="FootnoteReference"/>
        </w:rPr>
        <w:footnoteRef/>
      </w:r>
      <w:r>
        <w:t xml:space="preserve"> </w:t>
      </w:r>
      <w:r>
        <w:t xml:space="preserve">参约 17:7。</w:t>
      </w:r>
    </w:p>
  </w:footnote>
  <w:footnote w:id="4054">
    <w:p>
      <w:pPr>
        <w:pStyle w:val="FootnoteText"/>
      </w:pPr>
      <w:r>
        <w:rPr>
          <w:rStyle w:val="FootnoteReference"/>
        </w:rPr>
        <w:footnoteRef/>
      </w:r>
      <w:r>
        <w:t xml:space="preserve"> </w:t>
      </w:r>
      <w:r>
        <w:t xml:space="preserve">参太 6:7；王上 18:26-29。</w:t>
      </w:r>
    </w:p>
  </w:footnote>
  <w:footnote w:id="4055">
    <w:p>
      <w:pPr>
        <w:pStyle w:val="FootnoteText"/>
      </w:pPr>
      <w:r>
        <w:rPr>
          <w:rStyle w:val="FootnoteReference"/>
        </w:rPr>
        <w:footnoteRef/>
      </w:r>
      <w:r>
        <w:t xml:space="preserve"> </w:t>
      </w:r>
      <w:r>
        <w:t xml:space="preserve">约 6:63。</w:t>
      </w:r>
    </w:p>
  </w:footnote>
  <w:footnote w:id="4056">
    <w:p>
      <w:pPr>
        <w:pStyle w:val="FootnoteText"/>
      </w:pPr>
      <w:r>
        <w:rPr>
          <w:rStyle w:val="FootnoteReference"/>
        </w:rPr>
        <w:footnoteRef/>
      </w:r>
      <w:r>
        <w:t xml:space="preserve"> </w:t>
      </w:r>
      <w:r>
        <w:t xml:space="preserve">加 4:6。</w:t>
      </w:r>
    </w:p>
  </w:footnote>
  <w:footnote w:id="4057">
    <w:p>
      <w:pPr>
        <w:pStyle w:val="FootnoteText"/>
      </w:pPr>
      <w:r>
        <w:rPr>
          <w:rStyle w:val="FootnoteReference"/>
        </w:rPr>
        <w:footnoteRef/>
      </w:r>
      <w:r>
        <w:t xml:space="preserve"> </w:t>
      </w:r>
      <w:r>
        <w:t xml:space="preserve">罗 8:27。</w:t>
      </w:r>
    </w:p>
  </w:footnote>
  <w:footnote w:id="4059">
    <w:p>
      <w:pPr>
        <w:pStyle w:val="FootnoteText"/>
      </w:pPr>
      <w:r>
        <w:rPr>
          <w:rStyle w:val="FootnoteReference"/>
        </w:rPr>
        <w:footnoteRef/>
      </w:r>
      <w:r>
        <w:t xml:space="preserve"> </w:t>
      </w:r>
      <w:r>
        <w:t xml:space="preserve">参</w:t>
      </w:r>
      <w:r>
        <w:rPr>
          <w:i/>
          <w:iCs/>
        </w:rPr>
        <w:t xml:space="preserve">Didache</w:t>
      </w:r>
      <w:r>
        <w:t xml:space="preserve"> </w:t>
      </w:r>
      <w:r>
        <w:t xml:space="preserve">8，3：SCh 248，174。</w:t>
      </w:r>
    </w:p>
  </w:footnote>
  <w:footnote w:id="4060">
    <w:p>
      <w:pPr>
        <w:pStyle w:val="FootnoteText"/>
      </w:pPr>
      <w:r>
        <w:rPr>
          <w:rStyle w:val="FootnoteReference"/>
        </w:rPr>
        <w:footnoteRef/>
      </w:r>
      <w:r>
        <w:t xml:space="preserve"> </w:t>
      </w:r>
      <w:r>
        <w:t xml:space="preserve">圣约翰·屈梭多模，</w:t>
      </w:r>
      <w:r>
        <w:rPr>
          <w:i/>
          <w:iCs/>
        </w:rPr>
        <w:t xml:space="preserve">Homilia in Matthaeum</w:t>
      </w:r>
      <w:r>
        <w:t xml:space="preserve"> </w:t>
      </w:r>
      <w:r>
        <w:t xml:space="preserve">19，4：PG 57，278。</w:t>
      </w:r>
    </w:p>
  </w:footnote>
  <w:footnote w:id="4061">
    <w:p>
      <w:pPr>
        <w:pStyle w:val="FootnoteText"/>
      </w:pPr>
      <w:r>
        <w:rPr>
          <w:rStyle w:val="FootnoteReference"/>
        </w:rPr>
        <w:footnoteRef/>
      </w:r>
      <w:r>
        <w:t xml:space="preserve"> </w:t>
      </w:r>
      <w:r>
        <w:t xml:space="preserve">彼前 1:23。</w:t>
      </w:r>
    </w:p>
  </w:footnote>
  <w:footnote w:id="4062">
    <w:p>
      <w:pPr>
        <w:pStyle w:val="FootnoteText"/>
      </w:pPr>
      <w:r>
        <w:rPr>
          <w:rStyle w:val="FootnoteReference"/>
        </w:rPr>
        <w:footnoteRef/>
      </w:r>
      <w:r>
        <w:t xml:space="preserve"> </w:t>
      </w:r>
      <w:r>
        <w:t xml:space="preserve">参彼前 2:1-10。</w:t>
      </w:r>
    </w:p>
  </w:footnote>
  <w:footnote w:id="4063">
    <w:p>
      <w:pPr>
        <w:pStyle w:val="FootnoteText"/>
      </w:pPr>
      <w:r>
        <w:rPr>
          <w:rStyle w:val="FootnoteReference"/>
        </w:rPr>
        <w:footnoteRef/>
      </w:r>
      <w:r>
        <w:t xml:space="preserve"> </w:t>
      </w:r>
      <w:r>
        <w:t xml:space="preserve">约壹 3:2；参西 3:4。</w:t>
      </w:r>
    </w:p>
  </w:footnote>
  <w:footnote w:id="4064">
    <w:p>
      <w:pPr>
        <w:pStyle w:val="FootnoteText"/>
      </w:pPr>
      <w:r>
        <w:rPr>
          <w:rStyle w:val="FootnoteReference"/>
        </w:rPr>
        <w:footnoteRef/>
      </w:r>
      <w:r>
        <w:t xml:space="preserve"> </w:t>
      </w:r>
      <w:r>
        <w:t xml:space="preserve">林前 11:26。</w:t>
      </w:r>
    </w:p>
  </w:footnote>
  <w:footnote w:id="4066">
    <w:p>
      <w:pPr>
        <w:pStyle w:val="FootnoteText"/>
      </w:pPr>
      <w:r>
        <w:rPr>
          <w:rStyle w:val="FootnoteReference"/>
        </w:rPr>
        <w:footnoteRef/>
      </w:r>
      <w:r>
        <w:t xml:space="preserve"> </w:t>
      </w:r>
      <w:r>
        <w:t xml:space="preserve">特土良，</w:t>
      </w:r>
      <w:r>
        <w:rPr>
          <w:i/>
          <w:iCs/>
        </w:rPr>
        <w:t xml:space="preserve">De oratione</w:t>
      </w:r>
      <w:r>
        <w:t xml:space="preserve"> </w:t>
      </w:r>
      <w:r>
        <w:t xml:space="preserve">1：PL 1，1251-1255。</w:t>
      </w:r>
    </w:p>
  </w:footnote>
  <w:footnote w:id="4067">
    <w:p>
      <w:pPr>
        <w:pStyle w:val="FootnoteText"/>
      </w:pPr>
      <w:r>
        <w:rPr>
          <w:rStyle w:val="FootnoteReference"/>
        </w:rPr>
        <w:footnoteRef/>
      </w:r>
      <w:r>
        <w:t xml:space="preserve"> </w:t>
      </w:r>
      <w:r>
        <w:t xml:space="preserve">圣托马斯·阿奎那，</w:t>
      </w:r>
      <w:r>
        <w:rPr>
          <w:i/>
          <w:iCs/>
        </w:rPr>
        <w:t xml:space="preserve">Summa theologiae</w:t>
      </w:r>
      <w:r>
        <w:t xml:space="preserve"> </w:t>
      </w:r>
      <w:r>
        <w:t xml:space="preserve">II-II，83，9。</w:t>
      </w:r>
    </w:p>
  </w:footnote>
  <w:footnote w:id="4070">
    <w:p>
      <w:pPr>
        <w:pStyle w:val="FootnoteText"/>
      </w:pPr>
      <w:r>
        <w:rPr>
          <w:rStyle w:val="FootnoteReference"/>
        </w:rPr>
        <w:footnoteRef/>
      </w:r>
      <w:r>
        <w:t xml:space="preserve"> </w:t>
      </w:r>
      <w:r>
        <w:t xml:space="preserve">出 3:5。</w:t>
      </w:r>
    </w:p>
  </w:footnote>
  <w:footnote w:id="4071">
    <w:p>
      <w:pPr>
        <w:pStyle w:val="FootnoteText"/>
      </w:pPr>
      <w:r>
        <w:rPr>
          <w:rStyle w:val="FootnoteReference"/>
        </w:rPr>
        <w:footnoteRef/>
      </w:r>
      <w:r>
        <w:t xml:space="preserve"> </w:t>
      </w:r>
      <w:r>
        <w:t xml:space="preserve">来 1:3；2:13。</w:t>
      </w:r>
    </w:p>
  </w:footnote>
  <w:footnote w:id="4072">
    <w:p>
      <w:pPr>
        <w:pStyle w:val="FootnoteText"/>
      </w:pPr>
      <w:r>
        <w:rPr>
          <w:rStyle w:val="FootnoteReference"/>
        </w:rPr>
        <w:footnoteRef/>
      </w:r>
      <w:r>
        <w:t xml:space="preserve"> </w:t>
      </w:r>
      <w:r>
        <w:t xml:space="preserve">圣彼得·克里索洛古斯，</w:t>
      </w:r>
      <w:r>
        <w:rPr>
          <w:i/>
          <w:iCs/>
        </w:rPr>
        <w:t xml:space="preserve">Sermo</w:t>
      </w:r>
      <w:r>
        <w:t xml:space="preserve"> </w:t>
      </w:r>
      <w:r>
        <w:t xml:space="preserve">71，3：PL 52，401CD；参加 4:6。</w:t>
      </w:r>
    </w:p>
  </w:footnote>
  <w:footnote w:id="4073">
    <w:p>
      <w:pPr>
        <w:pStyle w:val="FootnoteText"/>
      </w:pPr>
      <w:r>
        <w:rPr>
          <w:rStyle w:val="FootnoteReference"/>
        </w:rPr>
        <w:footnoteRef/>
      </w:r>
      <w:r>
        <w:t xml:space="preserve"> </w:t>
      </w:r>
      <w:r>
        <w:t xml:space="preserve">参弗 3:12；来 3:6；4:16；10:19；约壹 2:28；3:21；5:14。</w:t>
      </w:r>
    </w:p>
  </w:footnote>
  <w:footnote w:id="4075">
    <w:p>
      <w:pPr>
        <w:pStyle w:val="FootnoteText"/>
      </w:pPr>
      <w:r>
        <w:rPr>
          <w:rStyle w:val="FootnoteReference"/>
        </w:rPr>
        <w:footnoteRef/>
      </w:r>
      <w:r>
        <w:t xml:space="preserve"> </w:t>
      </w:r>
      <w:r>
        <w:t xml:space="preserve">太 11:25-27。</w:t>
      </w:r>
    </w:p>
  </w:footnote>
  <w:footnote w:id="4076">
    <w:p>
      <w:pPr>
        <w:pStyle w:val="FootnoteText"/>
      </w:pPr>
      <w:r>
        <w:rPr>
          <w:rStyle w:val="FootnoteReference"/>
        </w:rPr>
        <w:footnoteRef/>
      </w:r>
      <w:r>
        <w:t xml:space="preserve"> </w:t>
      </w:r>
      <w:r>
        <w:t xml:space="preserve">特土良，</w:t>
      </w:r>
      <w:r>
        <w:rPr>
          <w:i/>
          <w:iCs/>
        </w:rPr>
        <w:t xml:space="preserve">De oratione</w:t>
      </w:r>
      <w:r>
        <w:t xml:space="preserve"> </w:t>
      </w:r>
      <w:r>
        <w:t xml:space="preserve">3：PL 1，1155。</w:t>
      </w:r>
    </w:p>
  </w:footnote>
  <w:footnote w:id="4077">
    <w:p>
      <w:pPr>
        <w:pStyle w:val="FootnoteText"/>
      </w:pPr>
      <w:r>
        <w:rPr>
          <w:rStyle w:val="FootnoteReference"/>
        </w:rPr>
        <w:footnoteRef/>
      </w:r>
      <w:r>
        <w:t xml:space="preserve"> </w:t>
      </w:r>
      <w:r>
        <w:t xml:space="preserve">参约 1:1；约壹 5:1。</w:t>
      </w:r>
    </w:p>
  </w:footnote>
  <w:footnote w:id="4078">
    <w:p>
      <w:pPr>
        <w:pStyle w:val="FootnoteText"/>
      </w:pPr>
      <w:r>
        <w:rPr>
          <w:rStyle w:val="FootnoteReference"/>
        </w:rPr>
        <w:footnoteRef/>
      </w:r>
      <w:r>
        <w:t xml:space="preserve"> </w:t>
      </w:r>
      <w:r>
        <w:t xml:space="preserve">参约壹 1:3。</w:t>
      </w:r>
    </w:p>
  </w:footnote>
  <w:footnote w:id="4079">
    <w:p>
      <w:pPr>
        <w:pStyle w:val="FootnoteText"/>
      </w:pPr>
      <w:r>
        <w:rPr>
          <w:rStyle w:val="FootnoteReference"/>
        </w:rPr>
        <w:footnoteRef/>
      </w:r>
      <w:r>
        <w:t xml:space="preserve"> </w:t>
      </w:r>
      <w:r>
        <w:t xml:space="preserve">耶路撒冷的区利罗，</w:t>
      </w:r>
      <w:r>
        <w:rPr>
          <w:i/>
          <w:iCs/>
        </w:rPr>
        <w:t xml:space="preserve">Catecheses mystagogicae</w:t>
      </w:r>
      <w:r>
        <w:t xml:space="preserve"> </w:t>
      </w:r>
      <w:r>
        <w:t xml:space="preserve">3，1：PG 33，1088A。</w:t>
      </w:r>
    </w:p>
  </w:footnote>
  <w:footnote w:id="4080">
    <w:p>
      <w:pPr>
        <w:pStyle w:val="FootnoteText"/>
      </w:pPr>
      <w:r>
        <w:rPr>
          <w:rStyle w:val="FootnoteReference"/>
        </w:rPr>
        <w:footnoteRef/>
      </w:r>
      <w:r>
        <w:t xml:space="preserve"> </w:t>
      </w:r>
      <w:r>
        <w:t xml:space="preserve">圣居普良，</w:t>
      </w:r>
      <w:r>
        <w:rPr>
          <w:i/>
          <w:iCs/>
        </w:rPr>
        <w:t xml:space="preserve">De Dominica oratione</w:t>
      </w:r>
      <w:r>
        <w:t xml:space="preserve"> </w:t>
      </w:r>
      <w:r>
        <w:t xml:space="preserve">9：PL 4，525A。</w:t>
      </w:r>
    </w:p>
  </w:footnote>
  <w:footnote w:id="4081">
    <w:p>
      <w:pPr>
        <w:pStyle w:val="FootnoteText"/>
      </w:pPr>
      <w:r>
        <w:rPr>
          <w:rStyle w:val="FootnoteReference"/>
        </w:rPr>
        <w:footnoteRef/>
      </w:r>
      <w:r>
        <w:t xml:space="preserve"> </w:t>
      </w:r>
      <w:r>
        <w:t xml:space="preserve">参GS 22 § 1。</w:t>
      </w:r>
    </w:p>
  </w:footnote>
  <w:footnote w:id="4082">
    <w:p>
      <w:pPr>
        <w:pStyle w:val="FootnoteText"/>
      </w:pPr>
      <w:r>
        <w:rPr>
          <w:rStyle w:val="FootnoteReference"/>
        </w:rPr>
        <w:footnoteRef/>
      </w:r>
      <w:r>
        <w:t xml:space="preserve"> </w:t>
      </w:r>
      <w:r>
        <w:t xml:space="preserve">圣安波罗修，</w:t>
      </w:r>
      <w:r>
        <w:rPr>
          <w:i/>
          <w:iCs/>
        </w:rPr>
        <w:t xml:space="preserve">De sacramentis</w:t>
      </w:r>
      <w:r>
        <w:t xml:space="preserve"> </w:t>
      </w:r>
      <w:r>
        <w:t xml:space="preserve">5，4，19：PL 16，450-451。</w:t>
      </w:r>
    </w:p>
  </w:footnote>
  <w:footnote w:id="4083">
    <w:p>
      <w:pPr>
        <w:pStyle w:val="FootnoteText"/>
      </w:pPr>
      <w:r>
        <w:rPr>
          <w:rStyle w:val="FootnoteReference"/>
        </w:rPr>
        <w:footnoteRef/>
      </w:r>
      <w:r>
        <w:t xml:space="preserve"> </w:t>
      </w:r>
      <w:r>
        <w:t xml:space="preserve">圣居普良，</w:t>
      </w:r>
      <w:r>
        <w:rPr>
          <w:i/>
          <w:iCs/>
        </w:rPr>
        <w:t xml:space="preserve">De Dominica oratione</w:t>
      </w:r>
      <w:r>
        <w:t xml:space="preserve"> </w:t>
      </w:r>
      <w:r>
        <w:t xml:space="preserve">11：PL 4，526B。</w:t>
      </w:r>
    </w:p>
  </w:footnote>
  <w:footnote w:id="4084">
    <w:p>
      <w:pPr>
        <w:pStyle w:val="FootnoteText"/>
      </w:pPr>
      <w:r>
        <w:rPr>
          <w:rStyle w:val="FootnoteReference"/>
        </w:rPr>
        <w:footnoteRef/>
      </w:r>
      <w:r>
        <w:t xml:space="preserve"> </w:t>
      </w:r>
      <w:r>
        <w:t xml:space="preserve">圣约翰·屈梭多模，</w:t>
      </w:r>
      <w:r>
        <w:rPr>
          <w:i/>
          <w:iCs/>
        </w:rPr>
        <w:t xml:space="preserve">De oratione dominica</w:t>
      </w:r>
      <w:r>
        <w:t xml:space="preserve"> </w:t>
      </w:r>
      <w:r>
        <w:t xml:space="preserve">3：PG 51，44。</w:t>
      </w:r>
    </w:p>
  </w:footnote>
  <w:footnote w:id="4085">
    <w:p>
      <w:pPr>
        <w:pStyle w:val="FootnoteText"/>
      </w:pPr>
      <w:r>
        <w:rPr>
          <w:rStyle w:val="FootnoteReference"/>
        </w:rPr>
        <w:footnoteRef/>
      </w:r>
      <w:r>
        <w:t xml:space="preserve"> </w:t>
      </w:r>
      <w:r>
        <w:t xml:space="preserve">圣额我略·尼撒，</w:t>
      </w:r>
      <w:r>
        <w:rPr>
          <w:i/>
          <w:iCs/>
        </w:rPr>
        <w:t xml:space="preserve">De oratione dominica</w:t>
      </w:r>
      <w:r>
        <w:t xml:space="preserve"> </w:t>
      </w:r>
      <w:r>
        <w:t xml:space="preserve">2：PG 44，1148B。</w:t>
      </w:r>
    </w:p>
  </w:footnote>
  <w:footnote w:id="4086">
    <w:p>
      <w:pPr>
        <w:pStyle w:val="FootnoteText"/>
      </w:pPr>
      <w:r>
        <w:rPr>
          <w:rStyle w:val="FootnoteReference"/>
        </w:rPr>
        <w:footnoteRef/>
      </w:r>
      <w:r>
        <w:t xml:space="preserve"> </w:t>
      </w:r>
      <w:r>
        <w:t xml:space="preserve">太 18:3。</w:t>
      </w:r>
    </w:p>
  </w:footnote>
  <w:footnote w:id="4087">
    <w:p>
      <w:pPr>
        <w:pStyle w:val="FootnoteText"/>
      </w:pPr>
      <w:r>
        <w:rPr>
          <w:rStyle w:val="FootnoteReference"/>
        </w:rPr>
        <w:footnoteRef/>
      </w:r>
      <w:r>
        <w:t xml:space="preserve"> </w:t>
      </w:r>
      <w:r>
        <w:t xml:space="preserve">参太 11:25。</w:t>
      </w:r>
    </w:p>
  </w:footnote>
  <w:footnote w:id="4088">
    <w:p>
      <w:pPr>
        <w:pStyle w:val="FootnoteText"/>
      </w:pPr>
      <w:r>
        <w:rPr>
          <w:rStyle w:val="FootnoteReference"/>
        </w:rPr>
        <w:footnoteRef/>
      </w:r>
      <w:r>
        <w:t xml:space="preserve"> </w:t>
      </w:r>
      <w:r>
        <w:t xml:space="preserve">圣约翰·加仙，</w:t>
      </w:r>
      <w:r>
        <w:rPr>
          <w:i/>
          <w:iCs/>
        </w:rPr>
        <w:t xml:space="preserve">Conlationes</w:t>
      </w:r>
      <w:r>
        <w:t xml:space="preserve"> </w:t>
      </w:r>
      <w:r>
        <w:t xml:space="preserve">9，18：PL 49，788C。</w:t>
      </w:r>
    </w:p>
  </w:footnote>
  <w:footnote w:id="4089">
    <w:p>
      <w:pPr>
        <w:pStyle w:val="FootnoteText"/>
      </w:pPr>
      <w:r>
        <w:rPr>
          <w:rStyle w:val="FootnoteReference"/>
        </w:rPr>
        <w:footnoteRef/>
      </w:r>
      <w:r>
        <w:t xml:space="preserve"> </w:t>
      </w:r>
      <w:r>
        <w:t xml:space="preserve">圣奥古斯丁，</w:t>
      </w:r>
      <w:r>
        <w:rPr>
          <w:i/>
          <w:iCs/>
        </w:rPr>
        <w:t xml:space="preserve">De sermone Domini in monte</w:t>
      </w:r>
      <w:r>
        <w:t xml:space="preserve"> </w:t>
      </w:r>
      <w:r>
        <w:t xml:space="preserve">2，4，16：PL 34，1276。</w:t>
      </w:r>
    </w:p>
  </w:footnote>
  <w:footnote w:id="4091">
    <w:p>
      <w:pPr>
        <w:pStyle w:val="FootnoteText"/>
      </w:pPr>
      <w:r>
        <w:rPr>
          <w:rStyle w:val="FootnoteReference"/>
        </w:rPr>
        <w:footnoteRef/>
      </w:r>
      <w:r>
        <w:t xml:space="preserve"> </w:t>
      </w:r>
      <w:r>
        <w:t xml:space="preserve">约 1:17；参何 2:21-22；6:1-6。</w:t>
      </w:r>
    </w:p>
  </w:footnote>
  <w:footnote w:id="4092">
    <w:p>
      <w:pPr>
        <w:pStyle w:val="FootnoteText"/>
      </w:pPr>
      <w:r>
        <w:rPr>
          <w:rStyle w:val="FootnoteReference"/>
        </w:rPr>
        <w:footnoteRef/>
      </w:r>
      <w:r>
        <w:t xml:space="preserve"> </w:t>
      </w:r>
      <w:r>
        <w:t xml:space="preserve">启 21:7。</w:t>
      </w:r>
    </w:p>
  </w:footnote>
  <w:footnote w:id="4093">
    <w:p>
      <w:pPr>
        <w:pStyle w:val="FootnoteText"/>
      </w:pPr>
      <w:r>
        <w:rPr>
          <w:rStyle w:val="FootnoteReference"/>
        </w:rPr>
        <w:footnoteRef/>
      </w:r>
      <w:r>
        <w:t xml:space="preserve"> </w:t>
      </w:r>
      <w:r>
        <w:t xml:space="preserve">参约壹 5:1；约 3:5。</w:t>
      </w:r>
    </w:p>
  </w:footnote>
  <w:footnote w:id="4094">
    <w:p>
      <w:pPr>
        <w:pStyle w:val="FootnoteText"/>
      </w:pPr>
      <w:r>
        <w:rPr>
          <w:rStyle w:val="FootnoteReference"/>
        </w:rPr>
        <w:footnoteRef/>
      </w:r>
      <w:r>
        <w:t xml:space="preserve"> </w:t>
      </w:r>
      <w:r>
        <w:t xml:space="preserve">罗 8:29；参弗 4:4-6。</w:t>
      </w:r>
    </w:p>
  </w:footnote>
  <w:footnote w:id="4095">
    <w:p>
      <w:pPr>
        <w:pStyle w:val="FootnoteText"/>
      </w:pPr>
      <w:r>
        <w:rPr>
          <w:rStyle w:val="FootnoteReference"/>
        </w:rPr>
        <w:footnoteRef/>
      </w:r>
      <w:r>
        <w:t xml:space="preserve"> </w:t>
      </w:r>
      <w:r>
        <w:t xml:space="preserve">徒 4:32。</w:t>
      </w:r>
    </w:p>
  </w:footnote>
  <w:footnote w:id="4096">
    <w:p>
      <w:pPr>
        <w:pStyle w:val="FootnoteText"/>
      </w:pPr>
      <w:r>
        <w:rPr>
          <w:rStyle w:val="FootnoteReference"/>
        </w:rPr>
        <w:footnoteRef/>
      </w:r>
      <w:r>
        <w:t xml:space="preserve"> </w:t>
      </w:r>
      <w:r>
        <w:t xml:space="preserve">参UR 8、22。</w:t>
      </w:r>
    </w:p>
  </w:footnote>
  <w:footnote w:id="4097">
    <w:p>
      <w:pPr>
        <w:pStyle w:val="FootnoteText"/>
      </w:pPr>
      <w:r>
        <w:rPr>
          <w:rStyle w:val="FootnoteReference"/>
        </w:rPr>
        <w:footnoteRef/>
      </w:r>
      <w:r>
        <w:t xml:space="preserve"> </w:t>
      </w:r>
      <w:r>
        <w:t xml:space="preserve">参太 5:23-24；6:14-15。</w:t>
      </w:r>
    </w:p>
  </w:footnote>
  <w:footnote w:id="4098">
    <w:p>
      <w:pPr>
        <w:pStyle w:val="FootnoteText"/>
      </w:pPr>
      <w:r>
        <w:rPr>
          <w:rStyle w:val="FootnoteReference"/>
        </w:rPr>
        <w:footnoteRef/>
      </w:r>
      <w:r>
        <w:t xml:space="preserve"> </w:t>
      </w:r>
      <w:r>
        <w:t xml:space="preserve">参NA 5。</w:t>
      </w:r>
    </w:p>
  </w:footnote>
  <w:footnote w:id="4099">
    <w:p>
      <w:pPr>
        <w:pStyle w:val="FootnoteText"/>
      </w:pPr>
      <w:r>
        <w:rPr>
          <w:rStyle w:val="FootnoteReference"/>
        </w:rPr>
        <w:footnoteRef/>
      </w:r>
      <w:r>
        <w:t xml:space="preserve"> </w:t>
      </w:r>
      <w:r>
        <w:t xml:space="preserve">约 11:52。</w:t>
      </w:r>
    </w:p>
  </w:footnote>
  <w:footnote w:id="4101">
    <w:p>
      <w:pPr>
        <w:pStyle w:val="FootnoteText"/>
      </w:pPr>
      <w:r>
        <w:rPr>
          <w:rStyle w:val="FootnoteReference"/>
        </w:rPr>
        <w:footnoteRef/>
      </w:r>
      <w:r>
        <w:t xml:space="preserve"> </w:t>
      </w:r>
      <w:r>
        <w:t xml:space="preserve">圣奥古斯丁，</w:t>
      </w:r>
      <w:r>
        <w:rPr>
          <w:i/>
          <w:iCs/>
        </w:rPr>
        <w:t xml:space="preserve">De sermone Domini in monte</w:t>
      </w:r>
      <w:r>
        <w:t xml:space="preserve"> </w:t>
      </w:r>
      <w:r>
        <w:t xml:space="preserve">2，5，18：PL 34，1277。</w:t>
      </w:r>
    </w:p>
  </w:footnote>
  <w:footnote w:id="4102">
    <w:p>
      <w:pPr>
        <w:pStyle w:val="FootnoteText"/>
      </w:pPr>
      <w:r>
        <w:rPr>
          <w:rStyle w:val="FootnoteReference"/>
        </w:rPr>
        <w:footnoteRef/>
      </w:r>
      <w:r>
        <w:t xml:space="preserve"> </w:t>
      </w:r>
      <w:r>
        <w:t xml:space="preserve">耶路撒冷的区利罗，</w:t>
      </w:r>
      <w:r>
        <w:rPr>
          <w:i/>
          <w:iCs/>
        </w:rPr>
        <w:t xml:space="preserve">Catecheses mystagogicae</w:t>
      </w:r>
      <w:r>
        <w:t xml:space="preserve"> </w:t>
      </w:r>
      <w:r>
        <w:t xml:space="preserve">5，11：PG 33，1117。</w:t>
      </w:r>
    </w:p>
  </w:footnote>
  <w:footnote w:id="4103">
    <w:p>
      <w:pPr>
        <w:pStyle w:val="FootnoteText"/>
      </w:pPr>
      <w:r>
        <w:rPr>
          <w:rStyle w:val="FootnoteReference"/>
        </w:rPr>
        <w:footnoteRef/>
      </w:r>
      <w:r>
        <w:t xml:space="preserve"> </w:t>
      </w:r>
      <w:r>
        <w:t xml:space="preserve">参创 3。</w:t>
      </w:r>
    </w:p>
  </w:footnote>
  <w:footnote w:id="4104">
    <w:p>
      <w:pPr>
        <w:pStyle w:val="FootnoteText"/>
      </w:pPr>
      <w:r>
        <w:rPr>
          <w:rStyle w:val="FootnoteReference"/>
        </w:rPr>
        <w:footnoteRef/>
      </w:r>
      <w:r>
        <w:t xml:space="preserve"> </w:t>
      </w:r>
      <w:r>
        <w:t xml:space="preserve">参创 3:19-4:1a；路 15:18、21。</w:t>
      </w:r>
    </w:p>
  </w:footnote>
  <w:footnote w:id="4105">
    <w:p>
      <w:pPr>
        <w:pStyle w:val="FootnoteText"/>
      </w:pPr>
      <w:r>
        <w:rPr>
          <w:rStyle w:val="FootnoteReference"/>
        </w:rPr>
        <w:footnoteRef/>
      </w:r>
      <w:r>
        <w:t xml:space="preserve"> </w:t>
      </w:r>
      <w:r>
        <w:t xml:space="preserve">参赛 45:8；诗 85:12。</w:t>
      </w:r>
    </w:p>
  </w:footnote>
  <w:footnote w:id="4106">
    <w:p>
      <w:pPr>
        <w:pStyle w:val="FootnoteText"/>
      </w:pPr>
      <w:r>
        <w:rPr>
          <w:rStyle w:val="FootnoteReference"/>
        </w:rPr>
        <w:footnoteRef/>
      </w:r>
      <w:r>
        <w:t xml:space="preserve"> </w:t>
      </w:r>
      <w:r>
        <w:t xml:space="preserve">约 3:13；12:32；14:2-3；16:28；20:17；弗 4:9-10；来 1:3；2:13。</w:t>
      </w:r>
    </w:p>
  </w:footnote>
  <w:footnote w:id="4107">
    <w:p>
      <w:pPr>
        <w:pStyle w:val="FootnoteText"/>
      </w:pPr>
      <w:r>
        <w:rPr>
          <w:rStyle w:val="FootnoteReference"/>
        </w:rPr>
        <w:footnoteRef/>
      </w:r>
      <w:r>
        <w:t xml:space="preserve"> </w:t>
      </w:r>
      <w:r>
        <w:t xml:space="preserve">弗 2:6；西 3:3。</w:t>
      </w:r>
    </w:p>
  </w:footnote>
  <w:footnote w:id="4108">
    <w:p>
      <w:pPr>
        <w:pStyle w:val="FootnoteText"/>
      </w:pPr>
      <w:r>
        <w:rPr>
          <w:rStyle w:val="FootnoteReference"/>
        </w:rPr>
        <w:footnoteRef/>
      </w:r>
      <w:r>
        <w:t xml:space="preserve"> </w:t>
      </w:r>
      <w:r>
        <w:t xml:space="preserve">林后 5:2；参腓 3:20；来 13:14。</w:t>
      </w:r>
    </w:p>
  </w:footnote>
  <w:footnote w:id="4109">
    <w:p>
      <w:pPr>
        <w:pStyle w:val="FootnoteText"/>
      </w:pPr>
      <w:r>
        <w:rPr>
          <w:rStyle w:val="FootnoteReference"/>
        </w:rPr>
        <w:footnoteRef/>
      </w:r>
      <w:r>
        <w:t xml:space="preserve"> </w:t>
      </w:r>
      <w:r>
        <w:rPr>
          <w:i/>
          <w:iCs/>
        </w:rPr>
        <w:t xml:space="preserve">Ad Diognetum</w:t>
      </w:r>
      <w:r>
        <w:t xml:space="preserve"> </w:t>
      </w:r>
      <w:r>
        <w:t xml:space="preserve">5：PG 2，1173。</w:t>
      </w:r>
    </w:p>
  </w:footnote>
  <w:footnote w:id="4113">
    <w:p>
      <w:pPr>
        <w:pStyle w:val="FootnoteText"/>
      </w:pPr>
      <w:r>
        <w:rPr>
          <w:rStyle w:val="FootnoteReference"/>
        </w:rPr>
        <w:footnoteRef/>
      </w:r>
      <w:r>
        <w:t xml:space="preserve"> </w:t>
      </w:r>
      <w:r>
        <w:t xml:space="preserve">诗 42:7。</w:t>
      </w:r>
    </w:p>
  </w:footnote>
  <w:footnote w:id="4114">
    <w:p>
      <w:pPr>
        <w:pStyle w:val="FootnoteText"/>
      </w:pPr>
      <w:r>
        <w:rPr>
          <w:rStyle w:val="FootnoteReference"/>
        </w:rPr>
        <w:footnoteRef/>
      </w:r>
      <w:r>
        <w:t xml:space="preserve"> </w:t>
      </w:r>
      <w:r>
        <w:t xml:space="preserve">参腓 2:6；2:9-11。</w:t>
      </w:r>
    </w:p>
  </w:footnote>
  <w:footnote w:id="4115">
    <w:p>
      <w:pPr>
        <w:pStyle w:val="FootnoteText"/>
      </w:pPr>
      <w:r>
        <w:rPr>
          <w:rStyle w:val="FootnoteReference"/>
        </w:rPr>
        <w:footnoteRef/>
      </w:r>
      <w:r>
        <w:t xml:space="preserve"> </w:t>
      </w:r>
      <w:r>
        <w:t xml:space="preserve">参林前 15:28。</w:t>
      </w:r>
    </w:p>
  </w:footnote>
  <w:footnote w:id="4116">
    <w:p>
      <w:pPr>
        <w:pStyle w:val="FootnoteText"/>
      </w:pPr>
      <w:r>
        <w:rPr>
          <w:rStyle w:val="FootnoteReference"/>
        </w:rPr>
        <w:footnoteRef/>
      </w:r>
      <w:r>
        <w:t xml:space="preserve"> </w:t>
      </w:r>
      <w:r>
        <w:t xml:space="preserve">参王下 19:15-19；代上 29:10-13；诗 111:9；113:1；148:13。</w:t>
      </w:r>
    </w:p>
  </w:footnote>
  <w:footnote w:id="4117">
    <w:p>
      <w:pPr>
        <w:pStyle w:val="FootnoteText"/>
      </w:pPr>
      <w:r>
        <w:rPr>
          <w:rStyle w:val="FootnoteReference"/>
        </w:rPr>
        <w:footnoteRef/>
      </w:r>
      <w:r>
        <w:t xml:space="preserve"> </w:t>
      </w:r>
      <w:r>
        <w:t xml:space="preserve">弗 1:9、4。</w:t>
      </w:r>
    </w:p>
  </w:footnote>
  <w:footnote w:id="4118">
    <w:p>
      <w:pPr>
        <w:pStyle w:val="FootnoteText"/>
      </w:pPr>
      <w:r>
        <w:rPr>
          <w:rStyle w:val="FootnoteReference"/>
        </w:rPr>
        <w:footnoteRef/>
      </w:r>
      <w:r>
        <w:t xml:space="preserve"> </w:t>
      </w:r>
      <w:r>
        <w:t xml:space="preserve">参诗 8:1；99:3；111:9；113:1-3。</w:t>
      </w:r>
    </w:p>
  </w:footnote>
  <w:footnote w:id="4119">
    <w:p>
      <w:pPr>
        <w:pStyle w:val="FootnoteText"/>
      </w:pPr>
      <w:r>
        <w:rPr>
          <w:rStyle w:val="FootnoteReference"/>
        </w:rPr>
        <w:footnoteRef/>
      </w:r>
      <w:r>
        <w:t xml:space="preserve"> </w:t>
      </w:r>
      <w:r>
        <w:t xml:space="preserve">诗 8:5；罗 3:23。</w:t>
      </w:r>
    </w:p>
  </w:footnote>
  <w:footnote w:id="4120">
    <w:p>
      <w:pPr>
        <w:pStyle w:val="FootnoteText"/>
      </w:pPr>
      <w:r>
        <w:rPr>
          <w:rStyle w:val="FootnoteReference"/>
        </w:rPr>
        <w:footnoteRef/>
      </w:r>
      <w:r>
        <w:t xml:space="preserve"> </w:t>
      </w:r>
      <w:r>
        <w:t xml:space="preserve">参结 36:22-38。</w:t>
      </w:r>
    </w:p>
  </w:footnote>
  <w:footnote w:id="4121">
    <w:p>
      <w:pPr>
        <w:pStyle w:val="FootnoteText"/>
      </w:pPr>
      <w:r>
        <w:rPr>
          <w:rStyle w:val="FootnoteReference"/>
        </w:rPr>
        <w:footnoteRef/>
      </w:r>
      <w:r>
        <w:t xml:space="preserve"> </w:t>
      </w:r>
      <w:r>
        <w:t xml:space="preserve">参创 22:16-17。</w:t>
      </w:r>
    </w:p>
  </w:footnote>
  <w:footnote w:id="4122">
    <w:p>
      <w:pPr>
        <w:pStyle w:val="FootnoteText"/>
      </w:pPr>
      <w:r>
        <w:rPr>
          <w:rStyle w:val="FootnoteReference"/>
        </w:rPr>
        <w:footnoteRef/>
      </w:r>
      <w:r>
        <w:t xml:space="preserve"> </w:t>
      </w:r>
      <w:r>
        <w:t xml:space="preserve">出 15:1。</w:t>
      </w:r>
    </w:p>
  </w:footnote>
  <w:footnote w:id="4123">
    <w:p>
      <w:pPr>
        <w:pStyle w:val="FootnoteText"/>
      </w:pPr>
      <w:r>
        <w:rPr>
          <w:rStyle w:val="FootnoteReference"/>
        </w:rPr>
        <w:footnoteRef/>
      </w:r>
      <w:r>
        <w:t xml:space="preserve"> </w:t>
      </w:r>
      <w:r>
        <w:t xml:space="preserve">出 19:5-6。</w:t>
      </w:r>
    </w:p>
  </w:footnote>
  <w:footnote w:id="4124">
    <w:p>
      <w:pPr>
        <w:pStyle w:val="FootnoteText"/>
      </w:pPr>
      <w:r>
        <w:rPr>
          <w:rStyle w:val="FootnoteReference"/>
        </w:rPr>
        <w:footnoteRef/>
      </w:r>
      <w:r>
        <w:t xml:space="preserve"> </w:t>
      </w:r>
      <w:r>
        <w:t xml:space="preserve">利 19:2；结 20:36-37；36:20-21。</w:t>
      </w:r>
    </w:p>
  </w:footnote>
  <w:footnote w:id="4125">
    <w:p>
      <w:pPr>
        <w:pStyle w:val="FootnoteText"/>
      </w:pPr>
      <w:r>
        <w:rPr>
          <w:rStyle w:val="FootnoteReference"/>
        </w:rPr>
        <w:footnoteRef/>
      </w:r>
      <w:r>
        <w:t xml:space="preserve"> </w:t>
      </w:r>
      <w:r>
        <w:t xml:space="preserve">参太 1:21；路 1:31；2:21。</w:t>
      </w:r>
    </w:p>
  </w:footnote>
  <w:footnote w:id="4126">
    <w:p>
      <w:pPr>
        <w:pStyle w:val="FootnoteText"/>
      </w:pPr>
      <w:r>
        <w:rPr>
          <w:rStyle w:val="FootnoteReference"/>
        </w:rPr>
        <w:footnoteRef/>
      </w:r>
      <w:r>
        <w:t xml:space="preserve"> </w:t>
      </w:r>
      <w:r>
        <w:t xml:space="preserve">约 17:11、19。</w:t>
      </w:r>
    </w:p>
  </w:footnote>
  <w:footnote w:id="4127">
    <w:p>
      <w:pPr>
        <w:pStyle w:val="FootnoteText"/>
      </w:pPr>
      <w:r>
        <w:rPr>
          <w:rStyle w:val="FootnoteReference"/>
        </w:rPr>
        <w:footnoteRef/>
      </w:r>
      <w:r>
        <w:t xml:space="preserve"> </w:t>
      </w:r>
      <w:r>
        <w:t xml:space="preserve">参约 17:6。</w:t>
      </w:r>
    </w:p>
  </w:footnote>
  <w:footnote w:id="4128">
    <w:p>
      <w:pPr>
        <w:pStyle w:val="FootnoteText"/>
      </w:pPr>
      <w:r>
        <w:rPr>
          <w:rStyle w:val="FootnoteReference"/>
        </w:rPr>
        <w:footnoteRef/>
      </w:r>
      <w:r>
        <w:t xml:space="preserve"> </w:t>
      </w:r>
      <w:r>
        <w:t xml:space="preserve">腓 2:9-11。</w:t>
      </w:r>
    </w:p>
  </w:footnote>
  <w:footnote w:id="4129">
    <w:p>
      <w:pPr>
        <w:pStyle w:val="FootnoteText"/>
      </w:pPr>
      <w:r>
        <w:rPr>
          <w:rStyle w:val="FootnoteReference"/>
        </w:rPr>
        <w:footnoteRef/>
      </w:r>
      <w:r>
        <w:t xml:space="preserve"> </w:t>
      </w:r>
      <w:r>
        <w:t xml:space="preserve">林前 6:11。</w:t>
      </w:r>
    </w:p>
  </w:footnote>
  <w:footnote w:id="4130">
    <w:p>
      <w:pPr>
        <w:pStyle w:val="FootnoteText"/>
      </w:pPr>
      <w:r>
        <w:rPr>
          <w:rStyle w:val="FootnoteReference"/>
        </w:rPr>
        <w:footnoteRef/>
      </w:r>
      <w:r>
        <w:t xml:space="preserve"> </w:t>
      </w:r>
      <w:r>
        <w:t xml:space="preserve">林前 1:30。</w:t>
      </w:r>
    </w:p>
  </w:footnote>
  <w:footnote w:id="4131">
    <w:p>
      <w:pPr>
        <w:pStyle w:val="FootnoteText"/>
      </w:pPr>
      <w:r>
        <w:rPr>
          <w:rStyle w:val="FootnoteReference"/>
        </w:rPr>
        <w:footnoteRef/>
      </w:r>
      <w:r>
        <w:t xml:space="preserve"> </w:t>
      </w:r>
      <w:r>
        <w:t xml:space="preserve">箴 18:10。</w:t>
      </w:r>
    </w:p>
  </w:footnote>
  <w:footnote w:id="4132">
    <w:p>
      <w:pPr>
        <w:pStyle w:val="FootnoteText"/>
      </w:pPr>
      <w:r>
        <w:rPr>
          <w:rStyle w:val="FootnoteReference"/>
        </w:rPr>
        <w:footnoteRef/>
      </w:r>
      <w:r>
        <w:t xml:space="preserve"> </w:t>
      </w:r>
      <w:r>
        <w:t xml:space="preserve">参约 17:12；徒 4:12；罗 10:13；林前 6:11。</w:t>
      </w:r>
    </w:p>
  </w:footnote>
  <w:footnote w:id="4133">
    <w:p>
      <w:pPr>
        <w:pStyle w:val="FootnoteText"/>
      </w:pPr>
      <w:r>
        <w:rPr>
          <w:rStyle w:val="FootnoteReference"/>
        </w:rPr>
        <w:footnoteRef/>
      </w:r>
      <w:r>
        <w:t xml:space="preserve"> </w:t>
      </w:r>
      <w:r>
        <w:t xml:space="preserve">圣额我略·尼撒，</w:t>
      </w:r>
      <w:r>
        <w:rPr>
          <w:i/>
          <w:iCs/>
        </w:rPr>
        <w:t xml:space="preserve">De oratione dominica</w:t>
      </w:r>
      <w:r>
        <w:t xml:space="preserve"> </w:t>
      </w:r>
      <w:r>
        <w:t xml:space="preserve">2：PG 44，1156D。</w:t>
      </w:r>
    </w:p>
  </w:footnote>
  <w:footnote w:id="4134">
    <w:p>
      <w:pPr>
        <w:pStyle w:val="FootnoteText"/>
      </w:pPr>
      <w:r>
        <w:rPr>
          <w:rStyle w:val="FootnoteReference"/>
        </w:rPr>
        <w:footnoteRef/>
      </w:r>
      <w:r>
        <w:t xml:space="preserve"> </w:t>
      </w:r>
      <w:r>
        <w:t xml:space="preserve">参约 14:13-14。</w:t>
      </w:r>
    </w:p>
  </w:footnote>
  <w:footnote w:id="4135">
    <w:p>
      <w:pPr>
        <w:pStyle w:val="FootnoteText"/>
      </w:pPr>
      <w:r>
        <w:rPr>
          <w:rStyle w:val="FootnoteReference"/>
        </w:rPr>
        <w:footnoteRef/>
      </w:r>
      <w:r>
        <w:t xml:space="preserve"> </w:t>
      </w:r>
      <w:r>
        <w:t xml:space="preserve">约 17:11。</w:t>
      </w:r>
    </w:p>
  </w:footnote>
  <w:footnote w:id="4137">
    <w:p>
      <w:pPr>
        <w:pStyle w:val="FootnoteText"/>
      </w:pPr>
      <w:r>
        <w:rPr>
          <w:rStyle w:val="FootnoteReference"/>
        </w:rPr>
        <w:footnoteRef/>
      </w:r>
      <w:r>
        <w:t xml:space="preserve"> </w:t>
      </w:r>
      <w:r>
        <w:t xml:space="preserve">圣居普良，</w:t>
      </w:r>
      <w:r>
        <w:rPr>
          <w:i/>
          <w:iCs/>
        </w:rPr>
        <w:t xml:space="preserve">De oratione dominica</w:t>
      </w:r>
      <w:r>
        <w:t xml:space="preserve"> </w:t>
      </w:r>
      <w:r>
        <w:t xml:space="preserve">13：PL 4，528A。</w:t>
      </w:r>
    </w:p>
  </w:footnote>
  <w:footnote w:id="4138">
    <w:p>
      <w:pPr>
        <w:pStyle w:val="FootnoteText"/>
      </w:pPr>
      <w:r>
        <w:rPr>
          <w:rStyle w:val="FootnoteReference"/>
        </w:rPr>
        <w:footnoteRef/>
      </w:r>
      <w:r>
        <w:t xml:space="preserve"> </w:t>
      </w:r>
      <w:r>
        <w:t xml:space="preserve">特土良，</w:t>
      </w:r>
      <w:r>
        <w:rPr>
          <w:i/>
          <w:iCs/>
        </w:rPr>
        <w:t xml:space="preserve">De oratione</w:t>
      </w:r>
      <w:r>
        <w:t xml:space="preserve"> </w:t>
      </w:r>
      <w:r>
        <w:t xml:space="preserve">5；参启 6:10。</w:t>
      </w:r>
    </w:p>
  </w:footnote>
  <w:footnote w:id="4139">
    <w:p>
      <w:pPr>
        <w:pStyle w:val="FootnoteText"/>
      </w:pPr>
      <w:r>
        <w:rPr>
          <w:rStyle w:val="FootnoteReference"/>
        </w:rPr>
        <w:footnoteRef/>
      </w:r>
      <w:r>
        <w:t xml:space="preserve"> </w:t>
      </w:r>
      <w:r>
        <w:t xml:space="preserve">参多 2:13。</w:t>
      </w:r>
    </w:p>
  </w:footnote>
  <w:footnote w:id="4140">
    <w:p>
      <w:pPr>
        <w:pStyle w:val="FootnoteText"/>
      </w:pPr>
      <w:r>
        <w:rPr>
          <w:rStyle w:val="FootnoteReference"/>
        </w:rPr>
        <w:footnoteRef/>
      </w:r>
      <w:r>
        <w:t xml:space="preserve"> </w:t>
      </w:r>
      <w:r>
        <w:t xml:space="preserve">《罗马弥撒经书》，圣餐祷文四。</w:t>
      </w:r>
    </w:p>
  </w:footnote>
  <w:footnote w:id="4141">
    <w:p>
      <w:pPr>
        <w:pStyle w:val="FootnoteText"/>
      </w:pPr>
      <w:r>
        <w:rPr>
          <w:rStyle w:val="FootnoteReference"/>
        </w:rPr>
        <w:footnoteRef/>
      </w:r>
      <w:r>
        <w:t xml:space="preserve"> </w:t>
      </w:r>
      <w:r>
        <w:t xml:space="preserve">罗 14:17。</w:t>
      </w:r>
    </w:p>
  </w:footnote>
  <w:footnote w:id="4142">
    <w:p>
      <w:pPr>
        <w:pStyle w:val="FootnoteText"/>
      </w:pPr>
      <w:r>
        <w:rPr>
          <w:rStyle w:val="FootnoteReference"/>
        </w:rPr>
        <w:footnoteRef/>
      </w:r>
      <w:r>
        <w:t xml:space="preserve"> </w:t>
      </w:r>
      <w:r>
        <w:t xml:space="preserve">参加 5:16-25。</w:t>
      </w:r>
    </w:p>
  </w:footnote>
  <w:footnote w:id="4143">
    <w:p>
      <w:pPr>
        <w:pStyle w:val="FootnoteText"/>
      </w:pPr>
      <w:r>
        <w:rPr>
          <w:rStyle w:val="FootnoteReference"/>
        </w:rPr>
        <w:footnoteRef/>
      </w:r>
      <w:r>
        <w:t xml:space="preserve"> </w:t>
      </w:r>
      <w:r>
        <w:t xml:space="preserve">耶路撒冷的区利罗，</w:t>
      </w:r>
      <w:r>
        <w:rPr>
          <w:i/>
          <w:iCs/>
        </w:rPr>
        <w:t xml:space="preserve">Catecheses mystagogicae</w:t>
      </w:r>
      <w:r>
        <w:t xml:space="preserve"> </w:t>
      </w:r>
      <w:r>
        <w:t xml:space="preserve">5，13：PG 33，1124A。</w:t>
      </w:r>
    </w:p>
  </w:footnote>
  <w:footnote w:id="4144">
    <w:p>
      <w:pPr>
        <w:pStyle w:val="FootnoteText"/>
      </w:pPr>
      <w:r>
        <w:rPr>
          <w:rStyle w:val="FootnoteReference"/>
        </w:rPr>
        <w:footnoteRef/>
      </w:r>
      <w:r>
        <w:t xml:space="preserve"> </w:t>
      </w:r>
      <w:r>
        <w:t xml:space="preserve">参GS 34、39、45。</w:t>
      </w:r>
    </w:p>
  </w:footnote>
  <w:footnote w:id="4145">
    <w:p>
      <w:pPr>
        <w:pStyle w:val="FootnoteText"/>
      </w:pPr>
      <w:r>
        <w:rPr>
          <w:rStyle w:val="FootnoteReference"/>
        </w:rPr>
        <w:footnoteRef/>
      </w:r>
      <w:r>
        <w:t xml:space="preserve"> </w:t>
      </w:r>
      <w:r>
        <w:t xml:space="preserve">参路 6:20-23。</w:t>
      </w:r>
    </w:p>
  </w:footnote>
  <w:footnote w:id="4147">
    <w:p>
      <w:pPr>
        <w:pStyle w:val="FootnoteText"/>
      </w:pPr>
      <w:r>
        <w:rPr>
          <w:rStyle w:val="FootnoteReference"/>
        </w:rPr>
        <w:footnoteRef/>
      </w:r>
      <w:r>
        <w:t xml:space="preserve"> </w:t>
      </w:r>
      <w:r>
        <w:t xml:space="preserve">提前 2:3-4。</w:t>
      </w:r>
    </w:p>
  </w:footnote>
  <w:footnote w:id="4148">
    <w:p>
      <w:pPr>
        <w:pStyle w:val="FootnoteText"/>
      </w:pPr>
      <w:r>
        <w:rPr>
          <w:rStyle w:val="FootnoteReference"/>
        </w:rPr>
        <w:footnoteRef/>
      </w:r>
      <w:r>
        <w:t xml:space="preserve"> </w:t>
      </w:r>
      <w:r>
        <w:t xml:space="preserve">彼后 3:9。</w:t>
      </w:r>
    </w:p>
  </w:footnote>
  <w:footnote w:id="4149">
    <w:p>
      <w:pPr>
        <w:pStyle w:val="FootnoteText"/>
      </w:pPr>
      <w:r>
        <w:rPr>
          <w:rStyle w:val="FootnoteReference"/>
        </w:rPr>
        <w:footnoteRef/>
      </w:r>
      <w:r>
        <w:t xml:space="preserve"> </w:t>
      </w:r>
      <w:r>
        <w:t xml:space="preserve">约 13:34。</w:t>
      </w:r>
    </w:p>
  </w:footnote>
  <w:footnote w:id="4150">
    <w:p>
      <w:pPr>
        <w:pStyle w:val="FootnoteText"/>
      </w:pPr>
      <w:r>
        <w:rPr>
          <w:rStyle w:val="FootnoteReference"/>
        </w:rPr>
        <w:footnoteRef/>
      </w:r>
      <w:r>
        <w:t xml:space="preserve"> </w:t>
      </w:r>
      <w:r>
        <w:t xml:space="preserve">弗 1:9-10。</w:t>
      </w:r>
    </w:p>
  </w:footnote>
  <w:footnote w:id="4151">
    <w:p>
      <w:pPr>
        <w:pStyle w:val="FootnoteText"/>
      </w:pPr>
      <w:r>
        <w:rPr>
          <w:rStyle w:val="FootnoteReference"/>
        </w:rPr>
        <w:footnoteRef/>
      </w:r>
      <w:r>
        <w:t xml:space="preserve"> </w:t>
      </w:r>
      <w:r>
        <w:t xml:space="preserve">来 10:7；参诗 40:7-8。</w:t>
      </w:r>
    </w:p>
  </w:footnote>
  <w:footnote w:id="4152">
    <w:p>
      <w:pPr>
        <w:pStyle w:val="FootnoteText"/>
      </w:pPr>
      <w:r>
        <w:rPr>
          <w:rStyle w:val="FootnoteReference"/>
        </w:rPr>
        <w:footnoteRef/>
      </w:r>
      <w:r>
        <w:t xml:space="preserve"> </w:t>
      </w:r>
      <w:r>
        <w:t xml:space="preserve">约 8:29。</w:t>
      </w:r>
    </w:p>
  </w:footnote>
  <w:footnote w:id="4153">
    <w:p>
      <w:pPr>
        <w:pStyle w:val="FootnoteText"/>
      </w:pPr>
      <w:r>
        <w:rPr>
          <w:rStyle w:val="FootnoteReference"/>
        </w:rPr>
        <w:footnoteRef/>
      </w:r>
      <w:r>
        <w:t xml:space="preserve"> </w:t>
      </w:r>
      <w:r>
        <w:t xml:space="preserve">路 22:42。</w:t>
      </w:r>
    </w:p>
  </w:footnote>
  <w:footnote w:id="4154">
    <w:p>
      <w:pPr>
        <w:pStyle w:val="FootnoteText"/>
      </w:pPr>
      <w:r>
        <w:rPr>
          <w:rStyle w:val="FootnoteReference"/>
        </w:rPr>
        <w:footnoteRef/>
      </w:r>
      <w:r>
        <w:t xml:space="preserve"> </w:t>
      </w:r>
      <w:r>
        <w:t xml:space="preserve">加 1:4。</w:t>
      </w:r>
    </w:p>
  </w:footnote>
  <w:footnote w:id="4155">
    <w:p>
      <w:pPr>
        <w:pStyle w:val="FootnoteText"/>
      </w:pPr>
      <w:r>
        <w:rPr>
          <w:rStyle w:val="FootnoteReference"/>
        </w:rPr>
        <w:footnoteRef/>
      </w:r>
      <w:r>
        <w:t xml:space="preserve"> </w:t>
      </w:r>
      <w:r>
        <w:t xml:space="preserve">来 10:10。</w:t>
      </w:r>
    </w:p>
  </w:footnote>
  <w:footnote w:id="4156">
    <w:p>
      <w:pPr>
        <w:pStyle w:val="FootnoteText"/>
      </w:pPr>
      <w:r>
        <w:rPr>
          <w:rStyle w:val="FootnoteReference"/>
        </w:rPr>
        <w:footnoteRef/>
      </w:r>
      <w:r>
        <w:t xml:space="preserve"> </w:t>
      </w:r>
      <w:r>
        <w:t xml:space="preserve">来 5:8。</w:t>
      </w:r>
    </w:p>
  </w:footnote>
  <w:footnote w:id="4157">
    <w:p>
      <w:pPr>
        <w:pStyle w:val="FootnoteText"/>
      </w:pPr>
      <w:r>
        <w:rPr>
          <w:rStyle w:val="FootnoteReference"/>
        </w:rPr>
        <w:footnoteRef/>
      </w:r>
      <w:r>
        <w:t xml:space="preserve"> </w:t>
      </w:r>
      <w:r>
        <w:t xml:space="preserve">参约 8:29。</w:t>
      </w:r>
    </w:p>
  </w:footnote>
  <w:footnote w:id="4158">
    <w:p>
      <w:pPr>
        <w:pStyle w:val="FootnoteText"/>
      </w:pPr>
      <w:r>
        <w:rPr>
          <w:rStyle w:val="FootnoteReference"/>
        </w:rPr>
        <w:footnoteRef/>
      </w:r>
      <w:r>
        <w:t xml:space="preserve"> </w:t>
      </w:r>
      <w:r>
        <w:t xml:space="preserve">罗 12:2；参弗 5:17；6:6。</w:t>
      </w:r>
    </w:p>
  </w:footnote>
  <w:footnote w:id="4159">
    <w:p>
      <w:pPr>
        <w:pStyle w:val="FootnoteText"/>
      </w:pPr>
      <w:r>
        <w:rPr>
          <w:rStyle w:val="FootnoteReference"/>
        </w:rPr>
        <w:footnoteRef/>
      </w:r>
      <w:r>
        <w:t xml:space="preserve"> </w:t>
      </w:r>
      <w:r>
        <w:t xml:space="preserve">太 7:21。</w:t>
      </w:r>
    </w:p>
  </w:footnote>
  <w:footnote w:id="4160">
    <w:p>
      <w:pPr>
        <w:pStyle w:val="FootnoteText"/>
      </w:pPr>
      <w:r>
        <w:rPr>
          <w:rStyle w:val="FootnoteReference"/>
        </w:rPr>
        <w:footnoteRef/>
      </w:r>
      <w:r>
        <w:t xml:space="preserve"> </w:t>
      </w:r>
      <w:r>
        <w:t xml:space="preserve">约 9:31；参约壹 5:14。</w:t>
      </w:r>
    </w:p>
  </w:footnote>
  <w:footnote w:id="4162">
    <w:p>
      <w:pPr>
        <w:pStyle w:val="FootnoteText"/>
      </w:pPr>
      <w:r>
        <w:rPr>
          <w:rStyle w:val="FootnoteReference"/>
        </w:rPr>
        <w:footnoteRef/>
      </w:r>
      <w:r>
        <w:t xml:space="preserve"> </w:t>
      </w:r>
      <w:r>
        <w:t xml:space="preserve">太 5:45。</w:t>
      </w:r>
    </w:p>
  </w:footnote>
  <w:footnote w:id="4163">
    <w:p>
      <w:pPr>
        <w:pStyle w:val="FootnoteText"/>
      </w:pPr>
      <w:r>
        <w:rPr>
          <w:rStyle w:val="FootnoteReference"/>
        </w:rPr>
        <w:footnoteRef/>
      </w:r>
      <w:r>
        <w:t xml:space="preserve"> </w:t>
      </w:r>
      <w:r>
        <w:t xml:space="preserve">诗 145:15。</w:t>
      </w:r>
    </w:p>
  </w:footnote>
  <w:footnote w:id="4164">
    <w:p>
      <w:pPr>
        <w:pStyle w:val="FootnoteText"/>
      </w:pPr>
      <w:r>
        <w:rPr>
          <w:rStyle w:val="FootnoteReference"/>
        </w:rPr>
        <w:footnoteRef/>
      </w:r>
      <w:r>
        <w:t xml:space="preserve"> </w:t>
      </w:r>
      <w:r>
        <w:t xml:space="preserve">参太 6:25-34。</w:t>
      </w:r>
    </w:p>
  </w:footnote>
  <w:footnote w:id="4165">
    <w:p>
      <w:pPr>
        <w:pStyle w:val="FootnoteText"/>
      </w:pPr>
      <w:r>
        <w:rPr>
          <w:rStyle w:val="FootnoteReference"/>
        </w:rPr>
        <w:footnoteRef/>
      </w:r>
      <w:r>
        <w:t xml:space="preserve"> </w:t>
      </w:r>
      <w:r>
        <w:t xml:space="preserve">参帖后 3:6-13。</w:t>
      </w:r>
    </w:p>
  </w:footnote>
  <w:footnote w:id="4166">
    <w:p>
      <w:pPr>
        <w:pStyle w:val="FootnoteText"/>
      </w:pPr>
      <w:r>
        <w:rPr>
          <w:rStyle w:val="FootnoteReference"/>
        </w:rPr>
        <w:footnoteRef/>
      </w:r>
      <w:r>
        <w:t xml:space="preserve"> </w:t>
      </w:r>
      <w:r>
        <w:t xml:space="preserve">圣居普良，</w:t>
      </w:r>
      <w:r>
        <w:rPr>
          <w:i/>
          <w:iCs/>
        </w:rPr>
        <w:t xml:space="preserve">De oratione dominica</w:t>
      </w:r>
      <w:r>
        <w:t xml:space="preserve"> </w:t>
      </w:r>
      <w:r>
        <w:t xml:space="preserve">21：PL 4，534A。</w:t>
      </w:r>
    </w:p>
  </w:footnote>
  <w:footnote w:id="4167">
    <w:p>
      <w:pPr>
        <w:pStyle w:val="FootnoteText"/>
      </w:pPr>
      <w:r>
        <w:rPr>
          <w:rStyle w:val="FootnoteReference"/>
        </w:rPr>
        <w:footnoteRef/>
      </w:r>
      <w:r>
        <w:t xml:space="preserve"> </w:t>
      </w:r>
      <w:r>
        <w:t xml:space="preserve">参路 16:19-31；太 25:31-46。</w:t>
      </w:r>
    </w:p>
  </w:footnote>
  <w:footnote w:id="4168">
    <w:p>
      <w:pPr>
        <w:pStyle w:val="FootnoteText"/>
      </w:pPr>
      <w:r>
        <w:rPr>
          <w:rStyle w:val="FootnoteReference"/>
        </w:rPr>
        <w:footnoteRef/>
      </w:r>
      <w:r>
        <w:t xml:space="preserve"> </w:t>
      </w:r>
      <w:r>
        <w:t xml:space="preserve">参AA 5。</w:t>
      </w:r>
    </w:p>
  </w:footnote>
  <w:footnote w:id="4169">
    <w:p>
      <w:pPr>
        <w:pStyle w:val="FootnoteText"/>
      </w:pPr>
      <w:r>
        <w:rPr>
          <w:rStyle w:val="FootnoteReference"/>
        </w:rPr>
        <w:footnoteRef/>
      </w:r>
      <w:r>
        <w:t xml:space="preserve"> </w:t>
      </w:r>
      <w:r>
        <w:t xml:space="preserve">参林后 8:1-15。</w:t>
      </w:r>
    </w:p>
  </w:footnote>
  <w:footnote w:id="4170">
    <w:p>
      <w:pPr>
        <w:pStyle w:val="FootnoteText"/>
      </w:pPr>
      <w:r>
        <w:rPr>
          <w:rStyle w:val="FootnoteReference"/>
        </w:rPr>
        <w:footnoteRef/>
      </w:r>
      <w:r>
        <w:t xml:space="preserve"> </w:t>
      </w:r>
      <w:r>
        <w:t xml:space="preserve">参圣本笃，</w:t>
      </w:r>
      <w:r>
        <w:rPr>
          <w:i/>
          <w:iCs/>
        </w:rPr>
        <w:t xml:space="preserve">Regula</w:t>
      </w:r>
      <w:r>
        <w:t xml:space="preserve"> </w:t>
      </w:r>
      <w:r>
        <w:t xml:space="preserve">20，48。</w:t>
      </w:r>
    </w:p>
  </w:footnote>
  <w:footnote w:id="4171">
    <w:p>
      <w:pPr>
        <w:pStyle w:val="FootnoteText"/>
      </w:pPr>
      <w:r>
        <w:rPr>
          <w:rStyle w:val="FootnoteReference"/>
        </w:rPr>
        <w:footnoteRef/>
      </w:r>
      <w:r>
        <w:t xml:space="preserve"> </w:t>
      </w:r>
      <w:r>
        <w:t xml:space="preserve">归于圣依纳爵·罗耀拉；参Joseph de Guibert，</w:t>
      </w:r>
      <w:r>
        <w:rPr>
          <w:i/>
          <w:iCs/>
        </w:rPr>
        <w:t xml:space="preserve">The Jesuits: Their Spiritual Doctrine and Practice</w:t>
      </w:r>
      <w:r>
        <w:t xml:space="preserve">，148。</w:t>
      </w:r>
    </w:p>
  </w:footnote>
  <w:footnote w:id="4172">
    <w:p>
      <w:pPr>
        <w:pStyle w:val="FootnoteText"/>
      </w:pPr>
      <w:r>
        <w:rPr>
          <w:rStyle w:val="FootnoteReference"/>
        </w:rPr>
        <w:footnoteRef/>
      </w:r>
      <w:r>
        <w:t xml:space="preserve"> </w:t>
      </w:r>
      <w:r>
        <w:t xml:space="preserve">申 8:3；太 4:4。</w:t>
      </w:r>
    </w:p>
  </w:footnote>
  <w:footnote w:id="4173">
    <w:p>
      <w:pPr>
        <w:pStyle w:val="FootnoteText"/>
      </w:pPr>
      <w:r>
        <w:rPr>
          <w:rStyle w:val="FootnoteReference"/>
        </w:rPr>
        <w:footnoteRef/>
      </w:r>
      <w:r>
        <w:t xml:space="preserve"> </w:t>
      </w:r>
      <w:r>
        <w:t xml:space="preserve">摩 8:11。</w:t>
      </w:r>
    </w:p>
  </w:footnote>
  <w:footnote w:id="4174">
    <w:p>
      <w:pPr>
        <w:pStyle w:val="FootnoteText"/>
      </w:pPr>
      <w:r>
        <w:rPr>
          <w:rStyle w:val="FootnoteReference"/>
        </w:rPr>
        <w:footnoteRef/>
      </w:r>
      <w:r>
        <w:t xml:space="preserve"> </w:t>
      </w:r>
      <w:r>
        <w:t xml:space="preserve">参约 6:26-58。</w:t>
      </w:r>
    </w:p>
  </w:footnote>
  <w:footnote w:id="4175">
    <w:p>
      <w:pPr>
        <w:pStyle w:val="FootnoteText"/>
      </w:pPr>
      <w:r>
        <w:rPr>
          <w:rStyle w:val="FootnoteReference"/>
        </w:rPr>
        <w:footnoteRef/>
      </w:r>
      <w:r>
        <w:t xml:space="preserve"> </w:t>
      </w:r>
      <w:r>
        <w:t xml:space="preserve">参太 6:34；出 16:19。</w:t>
      </w:r>
    </w:p>
  </w:footnote>
  <w:footnote w:id="4176">
    <w:p>
      <w:pPr>
        <w:pStyle w:val="FootnoteText"/>
      </w:pPr>
      <w:r>
        <w:rPr>
          <w:rStyle w:val="FootnoteReference"/>
        </w:rPr>
        <w:footnoteRef/>
      </w:r>
      <w:r>
        <w:t xml:space="preserve"> </w:t>
      </w:r>
      <w:r>
        <w:t xml:space="preserve">圣安波罗修，</w:t>
      </w:r>
      <w:r>
        <w:rPr>
          <w:i/>
          <w:iCs/>
        </w:rPr>
        <w:t xml:space="preserve">De sacramentis</w:t>
      </w:r>
      <w:r>
        <w:t xml:space="preserve"> </w:t>
      </w:r>
      <w:r>
        <w:t xml:space="preserve">5，4，26：PL 16，453A；参诗 2:7。</w:t>
      </w:r>
    </w:p>
  </w:footnote>
  <w:footnote w:id="4177">
    <w:p>
      <w:pPr>
        <w:pStyle w:val="FootnoteText"/>
      </w:pPr>
      <w:r>
        <w:rPr>
          <w:rStyle w:val="FootnoteReference"/>
        </w:rPr>
        <w:footnoteRef/>
      </w:r>
      <w:r>
        <w:t xml:space="preserve"> </w:t>
      </w:r>
      <w:r>
        <w:t xml:space="preserve">参出 16:19-21。</w:t>
      </w:r>
    </w:p>
  </w:footnote>
  <w:footnote w:id="4178">
    <w:p>
      <w:pPr>
        <w:pStyle w:val="FootnoteText"/>
      </w:pPr>
      <w:r>
        <w:rPr>
          <w:rStyle w:val="FootnoteReference"/>
        </w:rPr>
        <w:footnoteRef/>
      </w:r>
      <w:r>
        <w:t xml:space="preserve"> </w:t>
      </w:r>
      <w:r>
        <w:t xml:space="preserve">参提前 6:8。</w:t>
      </w:r>
    </w:p>
  </w:footnote>
  <w:footnote w:id="4179">
    <w:p>
      <w:pPr>
        <w:pStyle w:val="FootnoteText"/>
      </w:pPr>
      <w:r>
        <w:rPr>
          <w:rStyle w:val="FootnoteReference"/>
        </w:rPr>
        <w:footnoteRef/>
      </w:r>
      <w:r>
        <w:t xml:space="preserve"> </w:t>
      </w:r>
      <w:r>
        <w:t xml:space="preserve">圣安提阿的依纳爵，</w:t>
      </w:r>
      <w:r>
        <w:rPr>
          <w:i/>
          <w:iCs/>
        </w:rPr>
        <w:t xml:space="preserve">Ad Eph.</w:t>
      </w:r>
      <w:r>
        <w:t xml:space="preserve"> </w:t>
      </w:r>
      <w:r>
        <w:t xml:space="preserve">20，2：PG 5，661；参约 6:53-56。</w:t>
      </w:r>
    </w:p>
  </w:footnote>
  <w:footnote w:id="4180">
    <w:p>
      <w:pPr>
        <w:pStyle w:val="FootnoteText"/>
      </w:pPr>
      <w:r>
        <w:rPr>
          <w:rStyle w:val="FootnoteReference"/>
        </w:rPr>
        <w:footnoteRef/>
      </w:r>
      <w:r>
        <w:t xml:space="preserve"> </w:t>
      </w:r>
      <w:r>
        <w:t xml:space="preserve">圣奥古斯丁，</w:t>
      </w:r>
      <w:r>
        <w:rPr>
          <w:i/>
          <w:iCs/>
        </w:rPr>
        <w:t xml:space="preserve">Sermo</w:t>
      </w:r>
      <w:r>
        <w:t xml:space="preserve"> </w:t>
      </w:r>
      <w:r>
        <w:t xml:space="preserve">57，7：PL 38，389。</w:t>
      </w:r>
    </w:p>
  </w:footnote>
  <w:footnote w:id="4181">
    <w:p>
      <w:pPr>
        <w:pStyle w:val="FootnoteText"/>
      </w:pPr>
      <w:r>
        <w:rPr>
          <w:rStyle w:val="FootnoteReference"/>
        </w:rPr>
        <w:footnoteRef/>
      </w:r>
      <w:r>
        <w:t xml:space="preserve"> </w:t>
      </w:r>
      <w:r>
        <w:t xml:space="preserve">圣彼得·克里索洛古斯，</w:t>
      </w:r>
      <w:r>
        <w:rPr>
          <w:i/>
          <w:iCs/>
        </w:rPr>
        <w:t xml:space="preserve">Sermo</w:t>
      </w:r>
      <w:r>
        <w:t xml:space="preserve"> </w:t>
      </w:r>
      <w:r>
        <w:t xml:space="preserve">67：PL 52，392；参约 6:51。</w:t>
      </w:r>
    </w:p>
  </w:footnote>
  <w:footnote w:id="4183">
    <w:p>
      <w:pPr>
        <w:pStyle w:val="FootnoteText"/>
      </w:pPr>
      <w:r>
        <w:rPr>
          <w:rStyle w:val="FootnoteReference"/>
        </w:rPr>
        <w:footnoteRef/>
      </w:r>
      <w:r>
        <w:t xml:space="preserve"> </w:t>
      </w:r>
      <w:r>
        <w:t xml:space="preserve">参路 15:11-32；18:13。</w:t>
      </w:r>
    </w:p>
  </w:footnote>
  <w:footnote w:id="4184">
    <w:p>
      <w:pPr>
        <w:pStyle w:val="FootnoteText"/>
      </w:pPr>
      <w:r>
        <w:rPr>
          <w:rStyle w:val="FootnoteReference"/>
        </w:rPr>
        <w:footnoteRef/>
      </w:r>
      <w:r>
        <w:t xml:space="preserve"> </w:t>
      </w:r>
      <w:r>
        <w:t xml:space="preserve">西 1:14；弗 1:7。</w:t>
      </w:r>
    </w:p>
  </w:footnote>
  <w:footnote w:id="4185">
    <w:p>
      <w:pPr>
        <w:pStyle w:val="FootnoteText"/>
      </w:pPr>
      <w:r>
        <w:rPr>
          <w:rStyle w:val="FootnoteReference"/>
        </w:rPr>
        <w:footnoteRef/>
      </w:r>
      <w:r>
        <w:t xml:space="preserve"> </w:t>
      </w:r>
      <w:r>
        <w:t xml:space="preserve">参太 26:28；20:23。</w:t>
      </w:r>
    </w:p>
  </w:footnote>
  <w:footnote w:id="4186">
    <w:p>
      <w:pPr>
        <w:pStyle w:val="FootnoteText"/>
      </w:pPr>
      <w:r>
        <w:rPr>
          <w:rStyle w:val="FootnoteReference"/>
        </w:rPr>
        <w:footnoteRef/>
      </w:r>
      <w:r>
        <w:t xml:space="preserve"> </w:t>
      </w:r>
      <w:r>
        <w:t xml:space="preserve">参约壹 4:20。</w:t>
      </w:r>
    </w:p>
  </w:footnote>
  <w:footnote w:id="4187">
    <w:p>
      <w:pPr>
        <w:pStyle w:val="FootnoteText"/>
      </w:pPr>
      <w:r>
        <w:rPr>
          <w:rStyle w:val="FootnoteReference"/>
        </w:rPr>
        <w:footnoteRef/>
      </w:r>
      <w:r>
        <w:t xml:space="preserve"> </w:t>
      </w:r>
      <w:r>
        <w:t xml:space="preserve">参太 6:14-15；5:23-24；可 11:25。</w:t>
      </w:r>
    </w:p>
  </w:footnote>
  <w:footnote w:id="4188">
    <w:p>
      <w:pPr>
        <w:pStyle w:val="FootnoteText"/>
      </w:pPr>
      <w:r>
        <w:rPr>
          <w:rStyle w:val="FootnoteReference"/>
        </w:rPr>
        <w:footnoteRef/>
      </w:r>
      <w:r>
        <w:t xml:space="preserve"> </w:t>
      </w:r>
      <w:r>
        <w:t xml:space="preserve">太 19:26。</w:t>
      </w:r>
    </w:p>
  </w:footnote>
  <w:footnote w:id="4189">
    <w:p>
      <w:pPr>
        <w:pStyle w:val="FootnoteText"/>
      </w:pPr>
      <w:r>
        <w:rPr>
          <w:rStyle w:val="FootnoteReference"/>
        </w:rPr>
        <w:footnoteRef/>
      </w:r>
      <w:r>
        <w:t xml:space="preserve"> </w:t>
      </w:r>
      <w:r>
        <w:t xml:space="preserve">太 5:48；路 6:36；约 13:34。</w:t>
      </w:r>
    </w:p>
  </w:footnote>
  <w:footnote w:id="4190">
    <w:p>
      <w:pPr>
        <w:pStyle w:val="FootnoteText"/>
      </w:pPr>
      <w:r>
        <w:rPr>
          <w:rStyle w:val="FootnoteReference"/>
        </w:rPr>
        <w:footnoteRef/>
      </w:r>
      <w:r>
        <w:t xml:space="preserve"> </w:t>
      </w:r>
      <w:r>
        <w:t xml:space="preserve">参加 5:25；腓 2:1、5。</w:t>
      </w:r>
    </w:p>
  </w:footnote>
  <w:footnote w:id="4191">
    <w:p>
      <w:pPr>
        <w:pStyle w:val="FootnoteText"/>
      </w:pPr>
      <w:r>
        <w:rPr>
          <w:rStyle w:val="FootnoteReference"/>
        </w:rPr>
        <w:footnoteRef/>
      </w:r>
      <w:r>
        <w:t xml:space="preserve"> </w:t>
      </w:r>
      <w:r>
        <w:t xml:space="preserve">弗 4:32。</w:t>
      </w:r>
    </w:p>
  </w:footnote>
  <w:footnote w:id="4192">
    <w:p>
      <w:pPr>
        <w:pStyle w:val="FootnoteText"/>
      </w:pPr>
      <w:r>
        <w:rPr>
          <w:rStyle w:val="FootnoteReference"/>
        </w:rPr>
        <w:footnoteRef/>
      </w:r>
      <w:r>
        <w:t xml:space="preserve"> </w:t>
      </w:r>
      <w:r>
        <w:t xml:space="preserve">参约 13:1。</w:t>
      </w:r>
    </w:p>
  </w:footnote>
  <w:footnote w:id="4193">
    <w:p>
      <w:pPr>
        <w:pStyle w:val="FootnoteText"/>
      </w:pPr>
      <w:r>
        <w:rPr>
          <w:rStyle w:val="FootnoteReference"/>
        </w:rPr>
        <w:footnoteRef/>
      </w:r>
      <w:r>
        <w:t xml:space="preserve"> </w:t>
      </w:r>
      <w:r>
        <w:t xml:space="preserve">参太 18:23-35。</w:t>
      </w:r>
    </w:p>
  </w:footnote>
  <w:footnote w:id="4194">
    <w:p>
      <w:pPr>
        <w:pStyle w:val="FootnoteText"/>
      </w:pPr>
      <w:r>
        <w:rPr>
          <w:rStyle w:val="FootnoteReference"/>
        </w:rPr>
        <w:footnoteRef/>
      </w:r>
      <w:r>
        <w:t xml:space="preserve"> </w:t>
      </w:r>
      <w:r>
        <w:t xml:space="preserve">参太 5:43-44。</w:t>
      </w:r>
    </w:p>
  </w:footnote>
  <w:footnote w:id="4195">
    <w:p>
      <w:pPr>
        <w:pStyle w:val="FootnoteText"/>
      </w:pPr>
      <w:r>
        <w:rPr>
          <w:rStyle w:val="FootnoteReference"/>
        </w:rPr>
        <w:footnoteRef/>
      </w:r>
      <w:r>
        <w:t xml:space="preserve"> </w:t>
      </w:r>
      <w:r>
        <w:t xml:space="preserve">参林后 5:18-21；若望保禄二世，</w:t>
      </w:r>
      <w:r>
        <w:rPr>
          <w:i/>
          <w:iCs/>
        </w:rPr>
        <w:t xml:space="preserve">Dives in misericordia</w:t>
      </w:r>
      <w:r>
        <w:t xml:space="preserve"> </w:t>
      </w:r>
      <w:r>
        <w:t xml:space="preserve">14。</w:t>
      </w:r>
    </w:p>
  </w:footnote>
  <w:footnote w:id="4196">
    <w:p>
      <w:pPr>
        <w:pStyle w:val="FootnoteText"/>
      </w:pPr>
      <w:r>
        <w:rPr>
          <w:rStyle w:val="FootnoteReference"/>
        </w:rPr>
        <w:footnoteRef/>
      </w:r>
      <w:r>
        <w:t xml:space="preserve"> </w:t>
      </w:r>
      <w:r>
        <w:t xml:space="preserve">参太 18:21-22；路 17:3-4。</w:t>
      </w:r>
    </w:p>
  </w:footnote>
  <w:footnote w:id="4197">
    <w:p>
      <w:pPr>
        <w:pStyle w:val="FootnoteText"/>
      </w:pPr>
      <w:r>
        <w:rPr>
          <w:rStyle w:val="FootnoteReference"/>
        </w:rPr>
        <w:footnoteRef/>
      </w:r>
      <w:r>
        <w:t xml:space="preserve"> </w:t>
      </w:r>
      <w:r>
        <w:t xml:space="preserve">罗 13:8。</w:t>
      </w:r>
    </w:p>
  </w:footnote>
  <w:footnote w:id="4198">
    <w:p>
      <w:pPr>
        <w:pStyle w:val="FootnoteText"/>
      </w:pPr>
      <w:r>
        <w:rPr>
          <w:rStyle w:val="FootnoteReference"/>
        </w:rPr>
        <w:footnoteRef/>
      </w:r>
      <w:r>
        <w:t xml:space="preserve"> </w:t>
      </w:r>
      <w:r>
        <w:t xml:space="preserve">参太 5:23-24；约壹 3:19-24。</w:t>
      </w:r>
    </w:p>
  </w:footnote>
  <w:footnote w:id="4199">
    <w:p>
      <w:pPr>
        <w:pStyle w:val="FootnoteText"/>
      </w:pPr>
      <w:r>
        <w:rPr>
          <w:rStyle w:val="FootnoteReference"/>
        </w:rPr>
        <w:footnoteRef/>
      </w:r>
      <w:r>
        <w:t xml:space="preserve"> </w:t>
      </w:r>
      <w:r>
        <w:t xml:space="preserve">圣居普良，</w:t>
      </w:r>
      <w:r>
        <w:rPr>
          <w:i/>
          <w:iCs/>
        </w:rPr>
        <w:t xml:space="preserve">De oratione dominica</w:t>
      </w:r>
      <w:r>
        <w:t xml:space="preserve"> </w:t>
      </w:r>
      <w:r>
        <w:t xml:space="preserve">23：PL 4，535-536；参太 5:24。</w:t>
      </w:r>
    </w:p>
  </w:footnote>
  <w:footnote w:id="4201">
    <w:p>
      <w:pPr>
        <w:pStyle w:val="FootnoteText"/>
      </w:pPr>
      <w:r>
        <w:rPr>
          <w:rStyle w:val="FootnoteReference"/>
        </w:rPr>
        <w:footnoteRef/>
      </w:r>
      <w:r>
        <w:t xml:space="preserve"> </w:t>
      </w:r>
      <w:r>
        <w:t xml:space="preserve">雅 1:13。</w:t>
      </w:r>
    </w:p>
  </w:footnote>
  <w:footnote w:id="4202">
    <w:p>
      <w:pPr>
        <w:pStyle w:val="FootnoteText"/>
      </w:pPr>
      <w:r>
        <w:rPr>
          <w:rStyle w:val="FootnoteReference"/>
        </w:rPr>
        <w:footnoteRef/>
      </w:r>
      <w:r>
        <w:t xml:space="preserve"> </w:t>
      </w:r>
      <w:r>
        <w:t xml:space="preserve">参路 8:13-15；徒 14:22；罗 5:3-5；提后 3:12。</w:t>
      </w:r>
    </w:p>
  </w:footnote>
  <w:footnote w:id="4203">
    <w:p>
      <w:pPr>
        <w:pStyle w:val="FootnoteText"/>
      </w:pPr>
      <w:r>
        <w:rPr>
          <w:rStyle w:val="FootnoteReference"/>
        </w:rPr>
        <w:footnoteRef/>
      </w:r>
      <w:r>
        <w:t xml:space="preserve"> </w:t>
      </w:r>
      <w:r>
        <w:t xml:space="preserve">参雅 1:14-15。</w:t>
      </w:r>
    </w:p>
  </w:footnote>
  <w:footnote w:id="4204">
    <w:p>
      <w:pPr>
        <w:pStyle w:val="FootnoteText"/>
      </w:pPr>
      <w:r>
        <w:rPr>
          <w:rStyle w:val="FootnoteReference"/>
        </w:rPr>
        <w:footnoteRef/>
      </w:r>
      <w:r>
        <w:t xml:space="preserve"> </w:t>
      </w:r>
      <w:r>
        <w:t xml:space="preserve">参创 3:6。</w:t>
      </w:r>
    </w:p>
  </w:footnote>
  <w:footnote w:id="4205">
    <w:p>
      <w:pPr>
        <w:pStyle w:val="FootnoteText"/>
      </w:pPr>
      <w:r>
        <w:rPr>
          <w:rStyle w:val="FootnoteReference"/>
        </w:rPr>
        <w:footnoteRef/>
      </w:r>
      <w:r>
        <w:t xml:space="preserve"> </w:t>
      </w:r>
      <w:r>
        <w:t xml:space="preserve">俄利根，</w:t>
      </w:r>
      <w:r>
        <w:rPr>
          <w:i/>
          <w:iCs/>
        </w:rPr>
        <w:t xml:space="preserve">De oratione</w:t>
      </w:r>
      <w:r>
        <w:t xml:space="preserve"> </w:t>
      </w:r>
      <w:r>
        <w:t xml:space="preserve">29：PG 11，544CD。</w:t>
      </w:r>
    </w:p>
  </w:footnote>
  <w:footnote w:id="4206">
    <w:p>
      <w:pPr>
        <w:pStyle w:val="FootnoteText"/>
      </w:pPr>
      <w:r>
        <w:rPr>
          <w:rStyle w:val="FootnoteReference"/>
        </w:rPr>
        <w:footnoteRef/>
      </w:r>
      <w:r>
        <w:t xml:space="preserve"> </w:t>
      </w:r>
      <w:r>
        <w:t xml:space="preserve">太 6:21、24。</w:t>
      </w:r>
    </w:p>
  </w:footnote>
  <w:footnote w:id="4207">
    <w:p>
      <w:pPr>
        <w:pStyle w:val="FootnoteText"/>
      </w:pPr>
      <w:r>
        <w:rPr>
          <w:rStyle w:val="FootnoteReference"/>
        </w:rPr>
        <w:footnoteRef/>
      </w:r>
      <w:r>
        <w:t xml:space="preserve"> </w:t>
      </w:r>
      <w:r>
        <w:t xml:space="preserve">加 5:25。</w:t>
      </w:r>
    </w:p>
  </w:footnote>
  <w:footnote w:id="4208">
    <w:p>
      <w:pPr>
        <w:pStyle w:val="FootnoteText"/>
      </w:pPr>
      <w:r>
        <w:rPr>
          <w:rStyle w:val="FootnoteReference"/>
        </w:rPr>
        <w:footnoteRef/>
      </w:r>
      <w:r>
        <w:t xml:space="preserve"> </w:t>
      </w:r>
      <w:r>
        <w:t xml:space="preserve">林前 10:13。</w:t>
      </w:r>
    </w:p>
  </w:footnote>
  <w:footnote w:id="4209">
    <w:p>
      <w:pPr>
        <w:pStyle w:val="FootnoteText"/>
      </w:pPr>
      <w:r>
        <w:rPr>
          <w:rStyle w:val="FootnoteReference"/>
        </w:rPr>
        <w:footnoteRef/>
      </w:r>
      <w:r>
        <w:t xml:space="preserve"> </w:t>
      </w:r>
      <w:r>
        <w:t xml:space="preserve">参太 4:1-11；26:36-44。</w:t>
      </w:r>
    </w:p>
  </w:footnote>
  <w:footnote w:id="4210">
    <w:p>
      <w:pPr>
        <w:pStyle w:val="FootnoteText"/>
      </w:pPr>
      <w:r>
        <w:rPr>
          <w:rStyle w:val="FootnoteReference"/>
        </w:rPr>
        <w:footnoteRef/>
      </w:r>
      <w:r>
        <w:t xml:space="preserve"> </w:t>
      </w:r>
      <w:r>
        <w:t xml:space="preserve">约 17:11；参可 13:9、23、33-37；14:38；路 12:35-40。</w:t>
      </w:r>
    </w:p>
  </w:footnote>
  <w:footnote w:id="4211">
    <w:p>
      <w:pPr>
        <w:pStyle w:val="FootnoteText"/>
      </w:pPr>
      <w:r>
        <w:rPr>
          <w:rStyle w:val="FootnoteReference"/>
        </w:rPr>
        <w:footnoteRef/>
      </w:r>
      <w:r>
        <w:t xml:space="preserve"> </w:t>
      </w:r>
      <w:r>
        <w:t xml:space="preserve">参林前 16:13；西 4:2；帖前 5:6；彼前 5:8。</w:t>
      </w:r>
    </w:p>
  </w:footnote>
  <w:footnote w:id="4212">
    <w:p>
      <w:pPr>
        <w:pStyle w:val="FootnoteText"/>
      </w:pPr>
      <w:r>
        <w:rPr>
          <w:rStyle w:val="FootnoteReference"/>
        </w:rPr>
        <w:footnoteRef/>
      </w:r>
      <w:r>
        <w:t xml:space="preserve"> </w:t>
      </w:r>
      <w:r>
        <w:t xml:space="preserve">启 16:15。</w:t>
      </w:r>
    </w:p>
  </w:footnote>
  <w:footnote w:id="4214">
    <w:p>
      <w:pPr>
        <w:pStyle w:val="FootnoteText"/>
      </w:pPr>
      <w:r>
        <w:rPr>
          <w:rStyle w:val="FootnoteReference"/>
        </w:rPr>
        <w:footnoteRef/>
      </w:r>
      <w:r>
        <w:t xml:space="preserve"> </w:t>
      </w:r>
      <w:r>
        <w:t xml:space="preserve">约 8:44；启 12:9。</w:t>
      </w:r>
    </w:p>
  </w:footnote>
  <w:footnote w:id="4215">
    <w:p>
      <w:pPr>
        <w:pStyle w:val="FootnoteText"/>
      </w:pPr>
      <w:r>
        <w:rPr>
          <w:rStyle w:val="FootnoteReference"/>
        </w:rPr>
        <w:footnoteRef/>
      </w:r>
      <w:r>
        <w:t xml:space="preserve"> </w:t>
      </w:r>
      <w:r>
        <w:t xml:space="preserve">《罗马弥撒经书》，圣餐祷文四，125。</w:t>
      </w:r>
    </w:p>
  </w:footnote>
  <w:footnote w:id="4216">
    <w:p>
      <w:pPr>
        <w:pStyle w:val="FootnoteText"/>
      </w:pPr>
      <w:r>
        <w:rPr>
          <w:rStyle w:val="FootnoteReference"/>
        </w:rPr>
        <w:footnoteRef/>
      </w:r>
      <w:r>
        <w:t xml:space="preserve"> </w:t>
      </w:r>
      <w:r>
        <w:t xml:space="preserve">约壹 5:18-19。</w:t>
      </w:r>
    </w:p>
  </w:footnote>
  <w:footnote w:id="4217">
    <w:p>
      <w:pPr>
        <w:pStyle w:val="FootnoteText"/>
      </w:pPr>
      <w:r>
        <w:rPr>
          <w:rStyle w:val="FootnoteReference"/>
        </w:rPr>
        <w:footnoteRef/>
      </w:r>
      <w:r>
        <w:t xml:space="preserve"> </w:t>
      </w:r>
      <w:r>
        <w:t xml:space="preserve">约 12:31；启 12:10。</w:t>
      </w:r>
    </w:p>
  </w:footnote>
  <w:footnote w:id="4218">
    <w:p>
      <w:pPr>
        <w:pStyle w:val="FootnoteText"/>
      </w:pPr>
      <w:r>
        <w:rPr>
          <w:rStyle w:val="FootnoteReference"/>
        </w:rPr>
        <w:footnoteRef/>
      </w:r>
      <w:r>
        <w:t xml:space="preserve"> </w:t>
      </w:r>
      <w:r>
        <w:t xml:space="preserve">《罗马弥撒经书》，主祷文后的补充经文，126。</w:t>
      </w:r>
    </w:p>
  </w:footnote>
  <w:footnote w:id="4219">
    <w:p>
      <w:pPr>
        <w:pStyle w:val="FootnoteText"/>
      </w:pPr>
      <w:r>
        <w:rPr>
          <w:rStyle w:val="FootnoteReference"/>
        </w:rPr>
        <w:footnoteRef/>
      </w:r>
      <w:r>
        <w:t xml:space="preserve"> </w:t>
      </w:r>
      <w:r>
        <w:t xml:space="preserve">启 1:8、18；参启 1:4；弗 1:10。</w:t>
      </w:r>
    </w:p>
  </w:footnote>
  <w:footnote w:id="4222">
    <w:p>
      <w:pPr>
        <w:pStyle w:val="FootnoteText"/>
      </w:pPr>
      <w:r>
        <w:rPr>
          <w:rStyle w:val="FootnoteReference"/>
        </w:rPr>
        <w:footnoteRef/>
      </w:r>
      <w:r>
        <w:t xml:space="preserve"> </w:t>
      </w:r>
      <w:r>
        <w:t xml:space="preserve">参启 1:6；4:11；5:13。</w:t>
      </w:r>
    </w:p>
  </w:footnote>
  <w:footnote w:id="4223">
    <w:p>
      <w:pPr>
        <w:pStyle w:val="FootnoteText"/>
      </w:pPr>
      <w:r>
        <w:rPr>
          <w:rStyle w:val="FootnoteReference"/>
        </w:rPr>
        <w:footnoteRef/>
      </w:r>
      <w:r>
        <w:t xml:space="preserve"> </w:t>
      </w:r>
      <w:r>
        <w:t xml:space="preserve">参路 4:5-6。</w:t>
      </w:r>
    </w:p>
  </w:footnote>
  <w:footnote w:id="4224">
    <w:p>
      <w:pPr>
        <w:pStyle w:val="FootnoteText"/>
      </w:pPr>
      <w:r>
        <w:rPr>
          <w:rStyle w:val="FootnoteReference"/>
        </w:rPr>
        <w:footnoteRef/>
      </w:r>
      <w:r>
        <w:t xml:space="preserve"> </w:t>
      </w:r>
      <w:r>
        <w:t xml:space="preserve">林前 15:24-28。</w:t>
      </w:r>
    </w:p>
  </w:footnote>
  <w:footnote w:id="4225">
    <w:p>
      <w:pPr>
        <w:pStyle w:val="FootnoteText"/>
      </w:pPr>
      <w:r>
        <w:rPr>
          <w:rStyle w:val="FootnoteReference"/>
        </w:rPr>
        <w:footnoteRef/>
      </w:r>
      <w:r>
        <w:t xml:space="preserve"> </w:t>
      </w:r>
      <w:r>
        <w:t xml:space="preserve">耶路撒冷的区利罗，</w:t>
      </w:r>
      <w:r>
        <w:rPr>
          <w:i/>
          <w:iCs/>
        </w:rPr>
        <w:t xml:space="preserve">Catecheses mystagogicae</w:t>
      </w:r>
      <w:r>
        <w:t xml:space="preserve"> </w:t>
      </w:r>
      <w:r>
        <w:t xml:space="preserve">5，18：PG 33，1124；参路 1:38。</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公教会教理</dc:title>
  <dc:creator/>
  <dc:language>zh-CN</dc:language>
  <cp:keywords/>
  <dcterms:created xsi:type="dcterms:W3CDTF">2026-07-19T03:03:56Z</dcterms:created>
  <dcterms:modified xsi:type="dcterms:W3CDTF">2026-07-19T03:03:56Z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