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Book</w:t>
      </w:r>
      <w:r>
        <w:t xml:space="preserve"> </w:t>
      </w:r>
      <w:r>
        <w:t xml:space="preserve">of</w:t>
      </w:r>
      <w:r>
        <w:t xml:space="preserve"> </w:t>
      </w:r>
      <w:r>
        <w:t xml:space="preserve">Tobias</w:t>
      </w:r>
      <w:r>
        <w:t xml:space="preserve"> </w:t>
      </w:r>
      <w:r>
        <w:t xml:space="preserve">(Tobit)</w:t>
      </w:r>
    </w:p>
    <w:p>
      <w:pPr>
        <w:pStyle w:val="Author"/>
      </w:pPr>
      <w:r>
        <w:t xml:space="preserve">C.</w:t>
      </w:r>
      <w:r>
        <w:t xml:space="preserve"> </w:t>
      </w:r>
      <w:r>
        <w:t xml:space="preserve">F.</w:t>
      </w:r>
      <w:r>
        <w:t xml:space="preserve"> </w:t>
      </w:r>
      <w:r>
        <w:t xml:space="preserve">DeVine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09" w:name="the-book-of-tobias-tobit"/>
    <w:p>
      <w:pPr>
        <w:pStyle w:val="Heading1"/>
      </w:pPr>
      <w:r>
        <w:t xml:space="preserve">The Book of Tobias (Tobit)</w:t>
      </w:r>
    </w:p>
    <w:p>
      <w:pPr>
        <w:pStyle w:val="FirstParagraph"/>
      </w:pPr>
      <w:r>
        <w:t xml:space="preserve">By C. F. DeVine. Source: local ODT,</w:t>
      </w:r>
      <w:r>
        <w:t xml:space="preserve"> </w:t>
      </w:r>
      <w:r>
        <w:rPr>
          <w:rStyle w:val="VerbatimChar"/>
        </w:rPr>
        <w:t xml:space="preserve">/home/miyuruasuka/Downloads/The Book of Tobit.odt</w:t>
      </w:r>
      <w:r>
        <w:t xml:space="preserve">.</w:t>
      </w:r>
    </w:p>
    <w:p>
      <w:r>
        <w:br w:type="page"/>
      </w:r>
    </w:p>
    <w:bookmarkStart w:id="41" w:name="a-bibliography"/>
    <w:p>
      <w:pPr>
        <w:pStyle w:val="Heading2"/>
      </w:pPr>
      <w:r>
        <w:t xml:space="preserve">300A Bibliography</w:t>
      </w:r>
    </w:p>
    <w:p>
      <w:pPr>
        <w:pStyle w:val="FirstParagraph"/>
      </w:pPr>
      <w:r>
        <w:t xml:space="preserve">St Ambrose,</w:t>
      </w:r>
      <w:r>
        <w:t xml:space="preserve"> </w:t>
      </w:r>
      <w:r>
        <w:rPr>
          <w:i/>
          <w:iCs/>
        </w:rPr>
        <w:t xml:space="preserve">De Tobia</w:t>
      </w:r>
      <w:r>
        <w:t xml:space="preserve">, CSEL</w:t>
      </w:r>
      <w:r>
        <w:rPr>
          <w:rStyle w:val="FootnoteReference"/>
        </w:rPr>
        <w:footnoteReference w:id="20"/>
      </w:r>
      <w:r>
        <w:t xml:space="preserve"> </w:t>
      </w:r>
      <w:r>
        <w:t xml:space="preserve">32, 11, 517; Ven. Bede,</w:t>
      </w:r>
      <w:r>
        <w:t xml:space="preserve"> </w:t>
      </w:r>
      <w:r>
        <w:rPr>
          <w:i/>
          <w:iCs/>
        </w:rPr>
        <w:t xml:space="preserve">In Librum B. Patris Tobiae allegorica interpretatio</w:t>
      </w:r>
      <w:r>
        <w:t xml:space="preserve">, PL</w:t>
      </w:r>
      <w:r>
        <w:rPr>
          <w:rStyle w:val="FootnoteReference"/>
        </w:rPr>
        <w:footnoteReference w:id="21"/>
      </w:r>
      <w:r>
        <w:t xml:space="preserve"> </w:t>
      </w:r>
      <w:r>
        <w:t xml:space="preserve">91, 923 ff.; Cornelius à Lapide,</w:t>
      </w:r>
      <w:r>
        <w:t xml:space="preserve"> </w:t>
      </w:r>
      <w:r>
        <w:rPr>
          <w:i/>
          <w:iCs/>
        </w:rPr>
        <w:t xml:space="preserve">Commentaria in Tobiam</w:t>
      </w:r>
      <w:r>
        <w:t xml:space="preserve"> </w:t>
      </w:r>
      <w:r>
        <w:t xml:space="preserve">(Paris, 1878); E. Cosquin,</w:t>
      </w:r>
      <w:r>
        <w:t xml:space="preserve"> </w:t>
      </w:r>
      <w:r>
        <w:rPr>
          <w:i/>
          <w:iCs/>
        </w:rPr>
        <w:t xml:space="preserve">Le livre de Tobie et l’histoire du Sage Ahikar</w:t>
      </w:r>
      <w:r>
        <w:t xml:space="preserve">, RB</w:t>
      </w:r>
      <w:r>
        <w:rPr>
          <w:rStyle w:val="FootnoteReference"/>
        </w:rPr>
        <w:footnoteReference w:id="22"/>
      </w:r>
      <w:r>
        <w:t xml:space="preserve"> </w:t>
      </w:r>
      <w:r>
        <w:t xml:space="preserve">8 (1899) 50 ff., 510 ff.; P. Vetter,</w:t>
      </w:r>
      <w:r>
        <w:t xml:space="preserve"> </w:t>
      </w:r>
      <w:r>
        <w:rPr>
          <w:i/>
          <w:iCs/>
        </w:rPr>
        <w:t xml:space="preserve">Das Buch Tobias und die Achikar-Sage</w:t>
      </w:r>
      <w:r>
        <w:t xml:space="preserve">, TQ</w:t>
      </w:r>
      <w:r>
        <w:rPr>
          <w:rStyle w:val="FootnoteReference"/>
        </w:rPr>
        <w:footnoteReference w:id="23"/>
      </w:r>
      <w:r>
        <w:t xml:space="preserve">, 86 (1904) 321 ff., 512 ff., 87 (1905) 321 ff., 497 ff.; J. O’Carroll,</w:t>
      </w:r>
      <w:r>
        <w:t xml:space="preserve"> </w:t>
      </w:r>
      <w:r>
        <w:rPr>
          <w:i/>
          <w:iCs/>
        </w:rPr>
        <w:t xml:space="preserve">Tobias and Achikar</w:t>
      </w:r>
      <w:r>
        <w:t xml:space="preserve">, DbR</w:t>
      </w:r>
      <w:r>
        <w:rPr>
          <w:rStyle w:val="FootnoteReference"/>
        </w:rPr>
        <w:footnoteReference w:id="24"/>
      </w:r>
      <w:r>
        <w:t xml:space="preserve"> </w:t>
      </w:r>
      <w:r>
        <w:t xml:space="preserve">93 (1929) 252 ff.; R. Galdos,</w:t>
      </w:r>
      <w:r>
        <w:t xml:space="preserve"> </w:t>
      </w:r>
      <w:r>
        <w:rPr>
          <w:i/>
          <w:iCs/>
        </w:rPr>
        <w:t xml:space="preserve">Commentarius in librum Tobit</w:t>
      </w:r>
      <w:r>
        <w:t xml:space="preserve">, CSS</w:t>
      </w:r>
      <w:r>
        <w:rPr>
          <w:rStyle w:val="FootnoteReference"/>
        </w:rPr>
        <w:footnoteReference w:id="25"/>
      </w:r>
      <w:r>
        <w:t xml:space="preserve">, 1930; M. M. Schumpp,</w:t>
      </w:r>
      <w:r>
        <w:t xml:space="preserve"> </w:t>
      </w:r>
      <w:r>
        <w:rPr>
          <w:i/>
          <w:iCs/>
        </w:rPr>
        <w:t xml:space="preserve">Das Buch Tobias</w:t>
      </w:r>
      <w:r>
        <w:t xml:space="preserve"> </w:t>
      </w:r>
      <w:r>
        <w:t xml:space="preserve">(München, 1933); A. Miller &amp; J. Schildenberger,</w:t>
      </w:r>
      <w:r>
        <w:t xml:space="preserve"> </w:t>
      </w:r>
      <w:r>
        <w:rPr>
          <w:i/>
          <w:iCs/>
        </w:rPr>
        <w:t xml:space="preserve">Die Bücher Tobias, Judith und Esther</w:t>
      </w:r>
      <w:r>
        <w:t xml:space="preserve"> </w:t>
      </w:r>
      <w:r>
        <w:t xml:space="preserve">(Bonn, 1940);</w:t>
      </w:r>
      <w:r>
        <w:t xml:space="preserve"> </w:t>
      </w:r>
      <w:r>
        <w:rPr>
          <w:rStyle w:val="FootnoteReference"/>
        </w:rPr>
        <w:footnoteReference w:id="26"/>
      </w:r>
      <w:r>
        <w:t xml:space="preserve">*D. C. Simpson,</w:t>
      </w:r>
      <w:r>
        <w:t xml:space="preserve"> </w:t>
      </w:r>
      <w:r>
        <w:rPr>
          <w:i/>
          <w:iCs/>
        </w:rPr>
        <w:t xml:space="preserve">Tobit</w:t>
      </w:r>
      <w:r>
        <w:t xml:space="preserve">, in CAP</w:t>
      </w:r>
      <w:r>
        <w:rPr>
          <w:rStyle w:val="FootnoteReference"/>
        </w:rPr>
        <w:footnoteReference w:id="27"/>
      </w:r>
      <w:r>
        <w:t xml:space="preserve"> </w:t>
      </w:r>
      <w:r>
        <w:t xml:space="preserve">I.</w:t>
      </w:r>
    </w:p>
    <w:p>
      <w:pPr>
        <w:pStyle w:val="BodyText"/>
      </w:pPr>
      <w:r>
        <w:rPr>
          <w:b/>
          <w:bCs/>
        </w:rPr>
        <w:t xml:space="preserve">§ b. The Text.</w:t>
      </w:r>
      <w:r>
        <w:t xml:space="preserve"> </w:t>
      </w:r>
      <w:r>
        <w:t xml:space="preserve">It is generally acknowledged that the primitive text has not been preserved. It is important, then to bear this well in mind in any discussion of the Book of Tobias, for many of the difficulties encountered therein are fundamentally textual difficulties. At the present stage of our knowledge it is impossible to determine with certainty the language of the original form of our book. Eminent authorities have proposed in turn that it was Hebrew, Aramaic or Greek. It seems probable at least that the original language was Semitic, whether Hebrew or Aramaic cannot at present be decided.</w:t>
      </w:r>
    </w:p>
    <w:p>
      <w:pPr>
        <w:pStyle w:val="BodyText"/>
      </w:pPr>
      <w:r>
        <w:rPr>
          <w:b/>
          <w:bCs/>
        </w:rPr>
        <w:t xml:space="preserve">§ c.</w:t>
      </w:r>
      <w:r>
        <w:t xml:space="preserve"> </w:t>
      </w:r>
      <w:r>
        <w:t xml:space="preserve">The book has been transmitted to us in several noticeably divergent forms. The Greek form of the text is represented by: (</w:t>
      </w:r>
      <w:r>
        <w:rPr>
          <w:i/>
          <w:iCs/>
        </w:rPr>
        <w:t xml:space="preserve">a</w:t>
      </w:r>
      <w:r>
        <w:t xml:space="preserve">) the Codex Sinaiticus; (</w:t>
      </w:r>
      <w:r>
        <w:rPr>
          <w:i/>
          <w:iCs/>
        </w:rPr>
        <w:t xml:space="preserve">b</w:t>
      </w:r>
      <w:r>
        <w:t xml:space="preserve">) Codices B and A; and (</w:t>
      </w:r>
      <w:r>
        <w:rPr>
          <w:i/>
          <w:iCs/>
        </w:rPr>
        <w:t xml:space="preserve">c</w:t>
      </w:r>
      <w:r>
        <w:t xml:space="preserve">) the minuscules 44, 106, 107. The Hebrew, which is certainly not primitive in its present form, is found in the edition of</w:t>
      </w:r>
      <w:r>
        <w:t xml:space="preserve"> </w:t>
      </w:r>
      <w:r>
        <w:rPr>
          <w:rStyle w:val="FootnoteReference"/>
        </w:rPr>
        <w:footnoteReference w:id="28"/>
      </w:r>
      <w:r>
        <w:t xml:space="preserve">*S. Munster (1542), which may represent a 5th cent. text; in that of</w:t>
      </w:r>
      <w:r>
        <w:t xml:space="preserve"> </w:t>
      </w:r>
      <w:r>
        <w:rPr>
          <w:rStyle w:val="FootnoteReference"/>
        </w:rPr>
        <w:footnoteReference w:id="29"/>
      </w:r>
      <w:r>
        <w:t xml:space="preserve">*P. Fagius, which offers perhaps a text of the 12th cent.; and in the London Hebrew MS (Brit. Mus. Add. 11639) and the Hebrew of</w:t>
      </w:r>
      <w:r>
        <w:t xml:space="preserve"> </w:t>
      </w:r>
      <w:r>
        <w:rPr>
          <w:rStyle w:val="FootnoteReference"/>
        </w:rPr>
        <w:footnoteReference w:id="30"/>
      </w:r>
      <w:r>
        <w:t xml:space="preserve">*M. Gaster. The date of the London and Gaster Hebrew is uncertain. An Aramaic form (possibly 7th cent.) of the text was discovered at Oxford in the Bodleian Library and has been edited (1878) by</w:t>
      </w:r>
      <w:r>
        <w:t xml:space="preserve"> </w:t>
      </w:r>
      <w:r>
        <w:rPr>
          <w:rStyle w:val="FootnoteReference"/>
        </w:rPr>
        <w:footnoteReference w:id="31"/>
      </w:r>
      <w:r>
        <w:t xml:space="preserve">*A. Neubauer. The Old Latin Version, preserved in three forms, follows quite closely the Greek recension exhibited in the Codex Sinaiticus. Most of the Greek minuscules follow the B A form of the text, as do also the Armenian and Ethiopic Versions, and the Syriac in part. Vg</w:t>
      </w:r>
      <w:r>
        <w:rPr>
          <w:rStyle w:val="FootnoteReference"/>
        </w:rPr>
        <w:footnoteReference w:id="32"/>
      </w:r>
      <w:r>
        <w:t xml:space="preserve"> </w:t>
      </w:r>
      <w:r>
        <w:t xml:space="preserve">is the work of St Jerome who tells us that,</w:t>
      </w:r>
      <w:r>
        <w:t xml:space="preserve"> </w:t>
      </w:r>
      <w:r>
        <w:t xml:space="preserve">‘</w:t>
      </w:r>
      <w:r>
        <w:t xml:space="preserve">Since the Chaldean speech is allied to the Hebrew, I found someone who spoke both languages readily, and, taking a day’s work, what he said to me in Hebrew that I rendered into Latin to a notary whom I had engaged</w:t>
      </w:r>
      <w:r>
        <w:t xml:space="preserve">’</w:t>
      </w:r>
      <w:r>
        <w:t xml:space="preserve"> </w:t>
      </w:r>
      <w:r>
        <w:t xml:space="preserve">(</w:t>
      </w:r>
      <w:r>
        <w:rPr>
          <w:i/>
          <w:iCs/>
        </w:rPr>
        <w:t xml:space="preserve">Praef. in librum Tobiae</w:t>
      </w:r>
      <w:r>
        <w:t xml:space="preserve">, PL</w:t>
      </w:r>
      <w:r>
        <w:rPr>
          <w:rStyle w:val="FootnoteReference"/>
        </w:rPr>
        <w:footnoteReference w:id="33"/>
      </w:r>
      <w:r>
        <w:t xml:space="preserve"> </w:t>
      </w:r>
      <w:r>
        <w:t xml:space="preserve">29, 25 f.). The Aramaic text used by Jerome has not come down to us. The Neubauer Aramaic referred to above, although it manifests some affinity with Vg</w:t>
      </w:r>
      <w:r>
        <w:rPr>
          <w:rStyle w:val="FootnoteReference"/>
        </w:rPr>
        <w:footnoteReference w:id="34"/>
      </w:r>
      <w:r>
        <w:t xml:space="preserve">, is not its source. Jerome’s work, produced in his early days as a translator, shows that he rendered his original with considerable freedom. Frequently it is clear that he has translated the sense of a passage rather than its exact literal meaning. In general, it can be said that Tobias is less carefully done than most of his other work.</w:t>
      </w:r>
    </w:p>
    <w:p>
      <w:pPr>
        <w:pStyle w:val="BodyText"/>
      </w:pPr>
      <w:r>
        <w:rPr>
          <w:b/>
          <w:bCs/>
        </w:rPr>
        <w:t xml:space="preserve">§ d.</w:t>
      </w:r>
      <w:r>
        <w:t xml:space="preserve"> </w:t>
      </w:r>
      <w:r>
        <w:t xml:space="preserve">Although it is true that the various forms of the book just mentioned differ noticeably one from the other, still substantially the book is the same in all forms. They all show the same simple story throughout, the same characters, the same events in the same order. The differences, though striking at times, are mainly in unimportant details, proper names, discourses, and the like. Nevertheless, the work of the text-critic who seeks to restore the original form of the book is not easy. He will sense at once that the present Hebrew and Aramaic forms, although worthy of consideration, cannot be looked upon as primitive. Approaching the Greek, he will notice that B and its affiliates present a shorter text of Hellenistic character, while Sinaiticus is Hebraistic and longer. He will remark the striking similarity between the Old Latin and Sinaiticus, and will not overlook the influence of the Old Latin on Vg</w:t>
      </w:r>
      <w:r>
        <w:rPr>
          <w:rStyle w:val="FootnoteReference"/>
        </w:rPr>
        <w:footnoteReference w:id="35"/>
      </w:r>
      <w:r>
        <w:t xml:space="preserve">. What then should be his choice of method? Various replies would undoubtedly be given to this question. Without being dogmatic we would suggest cautiously that the primitive text could best be restored by taking Sinaiticus, rigorously compared with the Old Latin, as a groundwork, and collating this basic text with the other known forms of the book. In this task a careful workman will not overlook the ancient Vg</w:t>
      </w:r>
      <w:r>
        <w:rPr>
          <w:rStyle w:val="FootnoteReference"/>
        </w:rPr>
        <w:footnoteReference w:id="36"/>
      </w:r>
      <w:r>
        <w:t xml:space="preserve">, for even though it was done in a day by St Jerome, it does not follow, as suggested in some circles, that it is altogether devoid of critical value. In the commentary to follow, the Bible-text to be used is the current DV; however the preferences just indicated will exercise some influence, especially in passages where the difficulty is mainly textual.</w:t>
      </w:r>
    </w:p>
    <w:p>
      <w:pPr>
        <w:pStyle w:val="BodyText"/>
      </w:pPr>
      <w:r>
        <w:rPr>
          <w:b/>
          <w:bCs/>
        </w:rPr>
        <w:t xml:space="preserve">§ e. Title and Author of the Book.</w:t>
      </w:r>
      <w:r>
        <w:t xml:space="preserve"> </w:t>
      </w:r>
      <w:r>
        <w:t xml:space="preserve">In Vg</w:t>
      </w:r>
      <w:r>
        <w:rPr>
          <w:rStyle w:val="FootnoteReference"/>
        </w:rPr>
        <w:footnoteReference w:id="37"/>
      </w:r>
      <w:r>
        <w:t xml:space="preserve"> </w:t>
      </w:r>
      <w:r>
        <w:t xml:space="preserve">and DV</w:t>
      </w:r>
      <w:r>
        <w:rPr>
          <w:rStyle w:val="FootnoteReference"/>
        </w:rPr>
        <w:footnoteReference w:id="38"/>
      </w:r>
      <w:r>
        <w:t xml:space="preserve"> </w:t>
      </w:r>
      <w:r>
        <w:t xml:space="preserve">both father and son are called Tobias (1:9). However, in the other forms of the book the father’s name is</w:t>
      </w:r>
      <w:r>
        <w:t xml:space="preserve"> </w:t>
      </w:r>
      <w:r>
        <w:rPr>
          <w:i/>
          <w:iCs/>
        </w:rPr>
        <w:t xml:space="preserve">Tobit</w:t>
      </w:r>
      <w:r>
        <w:t xml:space="preserve"> </w:t>
      </w:r>
      <w:r>
        <w:t xml:space="preserve">and his son’s</w:t>
      </w:r>
      <w:r>
        <w:t xml:space="preserve"> </w:t>
      </w:r>
      <w:r>
        <w:rPr>
          <w:i/>
          <w:iCs/>
        </w:rPr>
        <w:t xml:space="preserve">Tobias</w:t>
      </w:r>
      <w:r>
        <w:t xml:space="preserve">. This latter designation is the correct one. However, both names are of Hebrew derivation and are closely related. They have the meaning,</w:t>
      </w:r>
      <w:r>
        <w:t xml:space="preserve"> </w:t>
      </w:r>
      <w:r>
        <w:t xml:space="preserve">‘</w:t>
      </w:r>
      <w:r>
        <w:t xml:space="preserve">Yahweh is my good</w:t>
      </w:r>
      <w:r>
        <w:t xml:space="preserve">’</w:t>
      </w:r>
      <w:r>
        <w:t xml:space="preserve">, or</w:t>
      </w:r>
      <w:r>
        <w:t xml:space="preserve"> </w:t>
      </w:r>
      <w:r>
        <w:t xml:space="preserve">‘</w:t>
      </w:r>
      <w:r>
        <w:t xml:space="preserve">my good is Yahweh</w:t>
      </w:r>
      <w:r>
        <w:t xml:space="preserve">’</w:t>
      </w:r>
      <w:r>
        <w:t xml:space="preserve">. The ancient forms of the book bear a variety of titles. It is probable that the most ancient title was simply,</w:t>
      </w:r>
      <w:r>
        <w:t xml:space="preserve"> </w:t>
      </w:r>
      <w:r>
        <w:t xml:space="preserve">‘</w:t>
      </w:r>
      <w:r>
        <w:t xml:space="preserve">The Words of Tobit</w:t>
      </w:r>
      <w:r>
        <w:t xml:space="preserve">’</w:t>
      </w:r>
      <w:r>
        <w:t xml:space="preserve">. If the words</w:t>
      </w:r>
      <w:r>
        <w:t xml:space="preserve"> </w:t>
      </w:r>
      <w:r>
        <w:t xml:space="preserve">‘</w:t>
      </w:r>
      <w:r>
        <w:t xml:space="preserve">publish (other texts,</w:t>
      </w:r>
      <w:r>
        <w:t xml:space="preserve"> </w:t>
      </w:r>
      <w:r>
        <w:t xml:space="preserve">“</w:t>
      </w:r>
      <w:r>
        <w:t xml:space="preserve">write</w:t>
      </w:r>
      <w:r>
        <w:t xml:space="preserve">”</w:t>
      </w:r>
      <w:r>
        <w:t xml:space="preserve">) all his wonderful works</w:t>
      </w:r>
      <w:r>
        <w:t xml:space="preserve">’</w:t>
      </w:r>
      <w:r>
        <w:t xml:space="preserve"> </w:t>
      </w:r>
      <w:r>
        <w:t xml:space="preserve">(12:20) are authentic, the title would indicate that Tobit and Tobias were the authors of the book. It is quite possible that these main characters were the first to put the narrative in form and that the original story stems from them. It could easily have been handed down orally or in a very simple written form, until at a much later date it was composed under inspiration by the actual author who would have used the earlier written or oral sources. Nothing, however, has come down to us concerning the actual author of the book.</w:t>
      </w:r>
    </w:p>
    <w:p>
      <w:pPr>
        <w:pStyle w:val="BodyText"/>
      </w:pPr>
      <w:r>
        <w:rPr>
          <w:b/>
          <w:bCs/>
        </w:rPr>
        <w:t xml:space="preserve">§ f. Date of the Book.</w:t>
      </w:r>
      <w:r>
        <w:t xml:space="preserve"> </w:t>
      </w:r>
      <w:r>
        <w:t xml:space="preserve">From several indications in the book itself, as well as from a comparison of the various forms in which it appears at present, it seems fairly certain that the narrative went through several stages over a fairly long period of time. There is a marked personal tone throughout, and so, it is quite possible that the story was first related in a simple form by the principal characters, Tobias and his son, and was then handed down orally in the family. Later this simple outline would have been transferred to writing, and at some still later date it would have received substantially the common form in which we read it today. At best, however, this viewpoint is conjectural, since, as already stated, the original text of the work has not been preserved, At any rate it is beyond question that one or all of the unnamed authors of the written work wrote the story down under divine Inspiration.</w:t>
      </w:r>
    </w:p>
    <w:p>
      <w:pPr>
        <w:pStyle w:val="BodyText"/>
      </w:pPr>
      <w:r>
        <w:rPr>
          <w:b/>
          <w:bCs/>
        </w:rPr>
        <w:t xml:space="preserve">§ g.</w:t>
      </w:r>
      <w:r>
        <w:t xml:space="preserve"> </w:t>
      </w:r>
      <w:r>
        <w:t xml:space="preserve">In view of the uncertainty surrounding the history of the text of Tobias it is not strange that we find wide disagreement among authorities as to the actual time of composition of the written work. Some non-Catholic authors (</w:t>
      </w:r>
      <w:r>
        <w:rPr>
          <w:i/>
          <w:iCs/>
        </w:rPr>
        <w:t xml:space="preserve">v.g</w:t>
      </w:r>
      <w:r>
        <w:t xml:space="preserve">.</w:t>
      </w:r>
      <w:r>
        <w:t xml:space="preserve"> </w:t>
      </w:r>
      <w:r>
        <w:rPr>
          <w:rStyle w:val="FootnoteReference"/>
        </w:rPr>
        <w:footnoteReference w:id="39"/>
      </w:r>
      <w:r>
        <w:t xml:space="preserve">*Schürer,</w:t>
      </w:r>
      <w:r>
        <w:t xml:space="preserve"> </w:t>
      </w:r>
      <w:r>
        <w:rPr>
          <w:rStyle w:val="FootnoteReference"/>
        </w:rPr>
        <w:footnoteReference w:id="40"/>
      </w:r>
      <w:r>
        <w:t xml:space="preserve">*Lohr) assign the book to the 2nd cent. and Simpson to a date nearer 170 than 350 b.c.; while others put it as late as the 2nd cent. a.d. Several Catholic scholars (</w:t>
      </w:r>
      <w:r>
        <w:rPr>
          <w:i/>
          <w:iCs/>
        </w:rPr>
        <w:t xml:space="preserve">v.g</w:t>
      </w:r>
      <w:r>
        <w:t xml:space="preserve">. Vetter), influenced by the fact that certain customs are alluded to in some forms of the book (the threefold tithes, the levirate duty, etc.) have argued that this definitely assigns the book to a period roughly from 250 b.c. to 150 b.c. Although these reasons are not altogether convincing, it seems clear, on the one hand, that the book was composed after Assyrian times. Otherwise it is difficult to see why it was not accepted into the Palestinian Canon. Furthermore, intrinsic reasons point to an author who held views on the future life prevalent in the post-exilic period. Much of the doctrine and counsel of Tobias would sound well on the lips of a contemporary of the author of Ecclus. On the other hand, the author gives no sign that he knows of the great national upheavals of Maccabean times nor is he aware of the penetrating influence of Pharisaism. Convincing arguments have not yet been advanced to date the written composition of Tobias.</w:t>
      </w:r>
    </w:p>
    <w:p>
      <w:pPr>
        <w:pStyle w:val="BodyText"/>
      </w:pPr>
      <w:r>
        <w:rPr>
          <w:b/>
          <w:bCs/>
        </w:rPr>
        <w:t xml:space="preserve">§ h.</w:t>
      </w:r>
      <w:r>
        <w:t xml:space="preserve"> </w:t>
      </w:r>
      <w:r>
        <w:t xml:space="preserve">Uncertainty also surrounds the question as to the country of composition. Several have been suggested with some probability–Palestine, Egypt, Babylonia and Persia. Palestine has been excluded since, it is alleged, it is difficult to see why the book was not added to the Palestinian Canon if composed in that country. However, this reasoning is not convincing. The work is thoroughly Palestinian in its whole conception, and its origin in Palestine is a possibility. Some scholars favour Egypt, but if the book originated in the Jewish colony there, we should expect to find traces of Hellenistic influence. Further, it is unlikely that an author writing in Egypt would relegate the demon to his own country (8:3). Both Babylonia and Persia are attractive suggestions, but there is no conclusive evidence that the author of the written work resided in those countries. It is prudent to withhold judgement until more convincing evidence has been adduced.</w:t>
      </w:r>
    </w:p>
    <w:p>
      <w:r>
        <w:br w:type="page"/>
      </w:r>
    </w:p>
    <w:bookmarkEnd w:id="41"/>
    <w:bookmarkStart w:id="49" w:name="a-literary-character-of-the-book"/>
    <w:p>
      <w:pPr>
        <w:pStyle w:val="Heading2"/>
      </w:pPr>
      <w:r>
        <w:t xml:space="preserve">301A Literary Character of the Book</w:t>
      </w:r>
    </w:p>
    <w:p>
      <w:pPr>
        <w:pStyle w:val="FirstParagraph"/>
      </w:pPr>
      <w:r>
        <w:t xml:space="preserve">The delicate and vexatious problem here treated is concerned with the question: What type of literature are we dealing with in this book? Is the story of Tobias to be viewed as strict history or not? For, although the work is in every sense a fully inspired and canonical book, this is not the same thing as saying that it relates strict history, since any type of literature is compatible with biblical inspiration so long as it is not by its very nature unworthy of God. St Thomas Aquinas pointed out centuries ago that,</w:t>
      </w:r>
      <w:r>
        <w:t xml:space="preserve"> </w:t>
      </w:r>
      <w:r>
        <w:t xml:space="preserve">‘</w:t>
      </w:r>
      <w:r>
        <w:t xml:space="preserve">In Scripture divine things are presented to us in the manner which is in common use amongst men</w:t>
      </w:r>
      <w:r>
        <w:t xml:space="preserve">’</w:t>
      </w:r>
      <w:r>
        <w:t xml:space="preserve">. The determination of the type of literature, however, is not a mere literary problem for it must greatly influence the subsequent interpretation of the book. Hence this whole question must be handled with prudence and caution. Moreover, the ultimate decision must necessarily rest with the Church since she alone is the infallible interpreter of all inspired Scripture. Thus far the Church has not expressed her mind in this matter specifically. She has given general directions, but no decision. Quite recently, new impetus has been given to the study of the problem by the clear and precise directives of the Encyclical</w:t>
      </w:r>
      <w:r>
        <w:t xml:space="preserve"> </w:t>
      </w:r>
      <w:r>
        <w:rPr>
          <w:i/>
          <w:iCs/>
        </w:rPr>
        <w:t xml:space="preserve">Divino Afflante Spiritu</w:t>
      </w:r>
      <w:r>
        <w:t xml:space="preserve">, which has an extremely valuable section on the importance of the</w:t>
      </w:r>
      <w:r>
        <w:t xml:space="preserve"> </w:t>
      </w:r>
      <w:r>
        <w:t xml:space="preserve">‘</w:t>
      </w:r>
      <w:r>
        <w:t xml:space="preserve">mode of writing</w:t>
      </w:r>
      <w:r>
        <w:t xml:space="preserve">’</w:t>
      </w:r>
      <w:r>
        <w:t xml:space="preserve"> </w:t>
      </w:r>
      <w:r>
        <w:t xml:space="preserve">or</w:t>
      </w:r>
      <w:r>
        <w:t xml:space="preserve"> </w:t>
      </w:r>
      <w:r>
        <w:t xml:space="preserve">‘</w:t>
      </w:r>
      <w:r>
        <w:t xml:space="preserve">literary forms</w:t>
      </w:r>
      <w:r>
        <w:t xml:space="preserve">’</w:t>
      </w:r>
      <w:r>
        <w:t xml:space="preserve"> </w:t>
      </w:r>
      <w:r>
        <w:t xml:space="preserve">in Sacred Scripture. These directives of Pius XII, as well as those of his Predecessors and the Fathers and Doctors of the Church, must be borne in mind by the investigator who seeks to attain the true sense of any inspired literature.</w:t>
      </w:r>
    </w:p>
    <w:p>
      <w:pPr>
        <w:pStyle w:val="BodyText"/>
      </w:pPr>
      <w:r>
        <w:rPr>
          <w:b/>
          <w:bCs/>
        </w:rPr>
        <w:t xml:space="preserve">§ b.</w:t>
      </w:r>
      <w:r>
        <w:t xml:space="preserve"> </w:t>
      </w:r>
      <w:r>
        <w:t xml:space="preserve">A brief glance at the</w:t>
      </w:r>
      <w:r>
        <w:t xml:space="preserve"> </w:t>
      </w:r>
      <w:r>
        <w:rPr>
          <w:b/>
          <w:bCs/>
        </w:rPr>
        <w:t xml:space="preserve">history of interpretation</w:t>
      </w:r>
      <w:r>
        <w:t xml:space="preserve"> </w:t>
      </w:r>
      <w:r>
        <w:t xml:space="preserve">of our book suffices to show that a definite judgement on its literary character is not easily formed. The Fathers and ancient writers have scattered references to the Book of Tobias in their works, but they have left us no full commentary. Ambrose on Tobias is really a treatise against usury. Bede’s work can scarcely be called a strict commentary, being but a brief allegorical outline. Strabo is merely a repetition of Bede. None of the ancients has left us a definite treatment of the literary character of Tobias or questioned its historicity. In a sense, then, it may be said that they presumed that the book is strictly historical since no other consideration had arisen for them.</w:t>
      </w:r>
      <w:r>
        <w:t xml:space="preserve"> </w:t>
      </w:r>
      <w:r>
        <w:rPr>
          <w:rStyle w:val="FootnoteReference"/>
        </w:rPr>
        <w:footnoteReference w:id="42"/>
      </w:r>
      <w:r>
        <w:t xml:space="preserve">*M. Luther was one of the first to deny its historical character. For him it was a devout drama, a legend with a didactic purpose. Non-Catholic authors, for the most part, deny altogether the historicity of Tobias, viewing it as a poetic fiction, a pure fable or a fantastic fairy-tale. A few Catholic writers expressed much the same views,</w:t>
      </w:r>
      <w:r>
        <w:t xml:space="preserve"> </w:t>
      </w:r>
      <w:r>
        <w:rPr>
          <w:i/>
          <w:iCs/>
        </w:rPr>
        <w:t xml:space="preserve">v.g</w:t>
      </w:r>
      <w:r>
        <w:t xml:space="preserve">. J. Jahn and C. Movers. Most Catholic scholars, however, consider the book historical, at least to some extent; although A. Scholz proposed the peculiar subjective theory that Tobias is an allegorical prophecy describing Israel’s return to the Church at the end of time. Among Catholic scholars who have treated the problem expressly, Gutberlet, Reusch, Vigouroux, Cornely-Merk, Galdos and others defend a strictly historical conception of the book in all its details; others, as Hummelauer, N. Peters, P. Vetter and A. Miller prefer to view the book as historical in a broader sense: there is a definite historical foundation or nucleus, but the author’s principal purpose is didactic. Vetter was one of the earliest to propose this opinion with considered argumentation; Miller has recently attracted attention by presenting the theory in a new way. Thus it can be seen that even amongst Catholic scholars there has not been uniformity of viewpoint regarding the literary form of the Book of Tobias.</w:t>
      </w:r>
    </w:p>
    <w:p>
      <w:pPr>
        <w:pStyle w:val="BodyText"/>
      </w:pPr>
      <w:r>
        <w:rPr>
          <w:b/>
          <w:bCs/>
        </w:rPr>
        <w:t xml:space="preserve">§ c.</w:t>
      </w:r>
      <w:r>
        <w:t xml:space="preserve"> </w:t>
      </w:r>
      <w:r>
        <w:t xml:space="preserve">It is apparent at once that there are two radically opposed views in this matter. (1) There is the opinion of those who hold that the book is strictly historical in every detail. Their reasons: the tradition of the Church; the fact that the book has every appearance of intending to relate history and nothing else–it gives us an account of real persons, in real geographical and historical circumstances. (2) Those who assert that the story of Tobias is pure fiction, and who defend their position with the following reasons: there are historical and geographical errors in the book sufficient to destroy its historicity; a good part of the narrative presumes the intervention of supernatural forces or is clearly intended to imply the working of miracles; there are several references in the book to the fables of the Grateful Dead and to the legend of Achikar.</w:t>
      </w:r>
    </w:p>
    <w:p>
      <w:pPr>
        <w:pStyle w:val="BodyText"/>
      </w:pPr>
      <w:r>
        <w:rPr>
          <w:b/>
          <w:bCs/>
        </w:rPr>
        <w:t xml:space="preserve">§ d.</w:t>
      </w:r>
      <w:r>
        <w:t xml:space="preserve"> </w:t>
      </w:r>
      <w:r>
        <w:t xml:space="preserve">If a solution can be given in the present state of our knowledge, it probably lies somewhere between these two extreme positions. It is quite true that an unbiased reading of the book leads one to conclude that the author’s obvious intention was to relate historical happenings, at least in a general way. This point of evidence is capital and must enter into any solution of the problem. Whether an appeal to tradition yields the conclusion that the book must be considered strict history in every detail, is questionable. As has been already pointed out, the ancients did not pose our specific problem. The fact that the Councils of Trent and the Vatican list Tobias among historical books scarcely proves that our book must be viewed in the strictest historical sense. Nor is an appeal to the</w:t>
      </w:r>
      <w:r>
        <w:t xml:space="preserve"> </w:t>
      </w:r>
      <w:r>
        <w:rPr>
          <w:b/>
          <w:bCs/>
        </w:rPr>
        <w:t xml:space="preserve">§ e</w:t>
      </w:r>
      <w:r>
        <w:t xml:space="preserve"> </w:t>
      </w:r>
      <w:r>
        <w:t xml:space="preserve">Decree of Gelasius (EB</w:t>
      </w:r>
      <w:r>
        <w:rPr>
          <w:rStyle w:val="FootnoteReference"/>
        </w:rPr>
        <w:footnoteReference w:id="43"/>
      </w:r>
      <w:r>
        <w:t xml:space="preserve"> </w:t>
      </w:r>
      <w:r>
        <w:t xml:space="preserve">19) conclusive. True, this document lists Tobias under the heading,</w:t>
      </w:r>
      <w:r>
        <w:t xml:space="preserve"> </w:t>
      </w:r>
      <w:r>
        <w:rPr>
          <w:i/>
          <w:iCs/>
        </w:rPr>
        <w:t xml:space="preserve">Item ordo historiarum</w:t>
      </w:r>
      <w:r>
        <w:t xml:space="preserve">; but it also includes the Book of Job in the same list, and yet scarcely anyone would consider Job an historical work in all its details. A decree of the Consistorial Congregation (29 June, 1912) excluded a work of C. Holzhey from use in Seminaries for its very audacious opinions. That concerning Tobias, which holds it to be pure, poetic fiction, is mentioned among others. Still, it does not follow from this decree that Tobias must be viewed as a work strictly historical in the sense, say, of St Luke’s Gospel. It would follow, though, that to consider Tobias as altogether unhistorical and as pure fiction would be presumptuous. This is the tendency of writers of the other extreme; and their arguments are even less probative. Thus, for example, to assert that there are geographical and historical errors in Tobias and that therefore its historicity is destroyed, is to misread the evidence badly. There are historical and geographical difficulties in the current forms of the book, but these can be solved adequately as purely textual problems. Hence they need not be imputed to the original author and do not affect the literary character of the book one way or the other. Nor does the fact of supernatural intervention, or of the miraculous, in the narrative destroy its historicity. This is a purely rationalistic conception. If the fact of a miracle is firmly established exegetically it must be accepted; to reject it solely because miraculous is to proceed unscientifically. The bearing of the Achikar legend on the Book of Tobias will be discussed § 301</w:t>
      </w:r>
      <w:r>
        <w:t xml:space="preserve"> </w:t>
      </w:r>
      <w:r>
        <w:rPr>
          <w:i/>
          <w:iCs/>
        </w:rPr>
        <w:t xml:space="preserve">h–i</w:t>
      </w:r>
      <w:r>
        <w:t xml:space="preserve">.</w:t>
      </w:r>
    </w:p>
    <w:p>
      <w:pPr>
        <w:pStyle w:val="BodyText"/>
      </w:pPr>
      <w:r>
        <w:rPr>
          <w:b/>
          <w:bCs/>
        </w:rPr>
        <w:t xml:space="preserve">§ f.</w:t>
      </w:r>
      <w:r>
        <w:t xml:space="preserve"> </w:t>
      </w:r>
      <w:r>
        <w:t xml:space="preserve">By way of summary, the following points can be made. The Church has not yet given a definite decision concerning the literary form of the Book of Tobias. However, since traditionally the book has always been considered historical in some way, and since the author’s obvious intention is to give a real, historical setting to his story, the exegete should consider that at least the substantial framework is historical. Since, on the other hand, the story is related with perceptible artistry and to inculcate a moral, its didactic purpose must be considered the principal intention of the author. This didactic purpose does not destroy the historical foundation of the book. The decree of the Biblical Commission (June 23, 1905) concerning those books of Holy Scripture which are regarded as historical, either wholly or in part, should be recalled here;</w:t>
      </w:r>
      <w:r>
        <w:t xml:space="preserve"> </w:t>
      </w:r>
      <w:r>
        <w:rPr>
          <w:i/>
          <w:iCs/>
        </w:rPr>
        <w:t xml:space="preserve">cf</w:t>
      </w:r>
      <w:r>
        <w:t xml:space="preserve">. § 52</w:t>
      </w:r>
      <w:r>
        <w:rPr>
          <w:i/>
          <w:iCs/>
        </w:rPr>
        <w:t xml:space="preserve">j</w:t>
      </w:r>
      <w:r>
        <w:t xml:space="preserve">. If such books are to be considered to give at times only the</w:t>
      </w:r>
      <w:r>
        <w:t xml:space="preserve"> </w:t>
      </w:r>
      <w:r>
        <w:rPr>
          <w:i/>
          <w:iCs/>
        </w:rPr>
        <w:t xml:space="preserve">appearance of history</w:t>
      </w:r>
      <w:r>
        <w:t xml:space="preserve">, then this viewpoint must be proven by solid arguments and subject to the ultimate decision of the Church. The view, then, that the story of Tobias relates real historical facts is in possession, and the opposite must be proved in each case. On account of the doubtful state of the text of this book it is next to impossible at the present time to be more determinate or to say with certainty that this or that section of the narrative is, or is not, strict history.</w:t>
      </w:r>
    </w:p>
    <w:p>
      <w:pPr>
        <w:pStyle w:val="BodyText"/>
      </w:pPr>
      <w:r>
        <w:rPr>
          <w:b/>
          <w:bCs/>
        </w:rPr>
        <w:t xml:space="preserve">§ g.</w:t>
      </w:r>
      <w:r>
        <w:t xml:space="preserve"> </w:t>
      </w:r>
      <w:r>
        <w:t xml:space="preserve">The connexion of several widely-known</w:t>
      </w:r>
      <w:r>
        <w:t xml:space="preserve"> </w:t>
      </w:r>
      <w:r>
        <w:rPr>
          <w:b/>
          <w:bCs/>
        </w:rPr>
        <w:t xml:space="preserve">legends</w:t>
      </w:r>
      <w:r>
        <w:t xml:space="preserve"> </w:t>
      </w:r>
      <w:r>
        <w:t xml:space="preserve">or fables with the Tobias story is a question of some importance since it has a bearing on the literary character of our book. Some of these, such as the legend of the Grateful Dead and the Egyptian Khonsu legend, can be dismissed almost at once. The Grateful Dead story has a rather grotesque similarity to Tobias, but since it does not pre-date Christian times there can be no question of literary relationship to our book unless, perhaps, it is a pure distortion of Tobias. The Khonsu fable (</w:t>
      </w:r>
      <w:r>
        <w:rPr>
          <w:i/>
          <w:iCs/>
        </w:rPr>
        <w:t xml:space="preserve">cf</w:t>
      </w:r>
      <w:r>
        <w:t xml:space="preserve">.</w:t>
      </w:r>
      <w:r>
        <w:t xml:space="preserve"> </w:t>
      </w:r>
      <w:r>
        <w:rPr>
          <w:rStyle w:val="FootnoteReference"/>
        </w:rPr>
        <w:footnoteReference w:id="44"/>
      </w:r>
      <w:r>
        <w:t xml:space="preserve">*J. H. Breasted,</w:t>
      </w:r>
      <w:r>
        <w:t xml:space="preserve"> </w:t>
      </w:r>
      <w:r>
        <w:rPr>
          <w:i/>
          <w:iCs/>
        </w:rPr>
        <w:t xml:space="preserve">Ancient Records of Egypt</w:t>
      </w:r>
      <w:r>
        <w:t xml:space="preserve">, 3 (1906) 188 ff.) was composed earlier, but its only similarity to Tobias is in the account of the king’s daughter who was tormented by a spirit or demon–a very narrow basis on which to establish any sort of dependence.</w:t>
      </w:r>
    </w:p>
    <w:p>
      <w:pPr>
        <w:pStyle w:val="BodyText"/>
      </w:pPr>
      <w:r>
        <w:rPr>
          <w:b/>
          <w:bCs/>
        </w:rPr>
        <w:t xml:space="preserve">§ h.</w:t>
      </w:r>
      <w:r>
        <w:t xml:space="preserve"> </w:t>
      </w:r>
      <w:r>
        <w:t xml:space="preserve">The story of</w:t>
      </w:r>
      <w:r>
        <w:t xml:space="preserve"> </w:t>
      </w:r>
      <w:r>
        <w:rPr>
          <w:b/>
          <w:bCs/>
        </w:rPr>
        <w:t xml:space="preserve">Achikar</w:t>
      </w:r>
      <w:r>
        <w:t xml:space="preserve"> </w:t>
      </w:r>
      <w:r>
        <w:t xml:space="preserve">deserves more attention. This tale, widely read in antiquity, was certainly known to the Jews and apparently treasured by them even though its setting was pagan. It has come down to us in a great variety of forms in many languages;</w:t>
      </w:r>
      <w:r>
        <w:t xml:space="preserve"> </w:t>
      </w:r>
      <w:r>
        <w:rPr>
          <w:i/>
          <w:iCs/>
        </w:rPr>
        <w:t xml:space="preserve">cf</w:t>
      </w:r>
      <w:r>
        <w:t xml:space="preserve">.</w:t>
      </w:r>
      <w:r>
        <w:t xml:space="preserve"> </w:t>
      </w:r>
      <w:r>
        <w:rPr>
          <w:rStyle w:val="FootnoteReference"/>
        </w:rPr>
        <w:footnoteReference w:id="45"/>
      </w:r>
      <w:r>
        <w:t xml:space="preserve">*F. C. Conybeare, Harris, Lewis,</w:t>
      </w:r>
      <w:r>
        <w:t xml:space="preserve"> </w:t>
      </w:r>
      <w:r>
        <w:rPr>
          <w:i/>
          <w:iCs/>
        </w:rPr>
        <w:t xml:space="preserve">The Story of Aḥiḳar</w:t>
      </w:r>
      <w:r>
        <w:t xml:space="preserve"> </w:t>
      </w:r>
      <w:r>
        <w:t xml:space="preserve">(1913</w:t>
      </w:r>
      <w:r>
        <w:rPr>
          <w:rStyle w:val="FootnoteReference"/>
        </w:rPr>
        <w:footnoteReference w:id="46"/>
      </w:r>
      <w:r>
        <w:t xml:space="preserve">). In brief, it relates the story of Achikar, the grand chancellor of king Sennacherib of Assyria, and his wicked nephew, Nadan. Achikar had brought up the nephew as his own son, and yet the ungrateful youth, who had not absorbed the piety and wisdom of the uncle, managed successfully, by very devious methods, to have the aged Achikar accused before the king of treason and condemned to prison. Later the evil was discovered and Nadan paid for his treachery with his life. The tale is embellished with a host of proverbs or maxims of Achikar, but the most surprising thing about it all is that the story of Achikar is quoted in the present form of the Book of Tobias. For some this fact alone has been sufficient proof that Tobias is not intended as history in any sense. It clearly shows, they claim, that the story of Tobias is a legend or fable similar to that of Achikar, and that the author of Tobias simply incorporated parts of the Achikar legend in his own fictitious narrative. The whole question is involved and is beset with many uncertainties.</w:t>
      </w:r>
    </w:p>
    <w:p>
      <w:pPr>
        <w:pStyle w:val="BodyText"/>
      </w:pPr>
      <w:r>
        <w:rPr>
          <w:b/>
          <w:bCs/>
        </w:rPr>
        <w:t xml:space="preserve">§ i.</w:t>
      </w:r>
      <w:r>
        <w:t xml:space="preserve"> </w:t>
      </w:r>
      <w:r>
        <w:t xml:space="preserve">Vg</w:t>
      </w:r>
      <w:r>
        <w:rPr>
          <w:rStyle w:val="FootnoteReference"/>
        </w:rPr>
        <w:footnoteReference w:id="47"/>
      </w:r>
      <w:r>
        <w:t xml:space="preserve"> </w:t>
      </w:r>
      <w:r>
        <w:t xml:space="preserve">and DV</w:t>
      </w:r>
      <w:r>
        <w:rPr>
          <w:rStyle w:val="FootnoteReference"/>
        </w:rPr>
        <w:footnoteReference w:id="48"/>
      </w:r>
      <w:r>
        <w:t xml:space="preserve"> </w:t>
      </w:r>
      <w:r>
        <w:t xml:space="preserve">have only one citation (11:20) from Achikar; in this passage Achikar and Nadan are found rejoicing with Tobias and his son over their good fortune. The other forms of the Book of Tobias give also at least three further citations from Achikar; 1:21, 22; 2:10; 14:10. These places are so well attested by textual evidence that (except perhaps for the citation in 14:10) they must be considered as probably part of the text of Tobias. Furthermore, on account of recent findings in connexion with the Achikar story, it is now generally admitted that the story of Achikar was in existence before the composition of the Book of Tobias. This is not enough in itself, however, to establish a certain literary dependence of Tobias on Achikar. The two narratives are quite dissimilar and independent, although both have an obvious didactic purpose. Moreover, the brief sections cited in Tobias are so very loosely bound in with the Tobias story that they can be omitted without affecting it in the least. The Achikar text like that of Tobias has been only imperfectly transmitted, and we are no more certain of the original form and language of the Achikar legend than we are of the Tobias story. Some evidence has been produced to show that Achikar was a real, historical personage, and that at least the outline of his story is historical, but it is not altogether conclusive. At any rate, before making definite judgements on the relation of Achikar, and his story and sayings, to Tobias, we need much more evidence than we now possess. It would seem best to conclude at the present time that even if the Achikar citations in Tobias are certainly authentic, and this can still be questioned, we can deduce nothing from this to prove or reject the historicity of the Book of Tobias.</w:t>
      </w:r>
    </w:p>
    <w:p>
      <w:r>
        <w:br w:type="page"/>
      </w:r>
    </w:p>
    <w:bookmarkEnd w:id="49"/>
    <w:bookmarkStart w:id="50" w:name="a-theme-and-analysis-of-the-book"/>
    <w:p>
      <w:pPr>
        <w:pStyle w:val="Heading2"/>
      </w:pPr>
      <w:r>
        <w:t xml:space="preserve">302A Theme and Analysis of the Book</w:t>
      </w:r>
    </w:p>
    <w:p>
      <w:pPr>
        <w:pStyle w:val="FirstParagraph"/>
      </w:pPr>
      <w:r>
        <w:t xml:space="preserve">With spontaneous artistry and naturalness the author of this book gives us the very beautiful and highly edifying life-stories of the pious Israelite Tobias and of his son, also called Tobias. It pictures a family living in captivity amongst a pagan people, far from its homeland, yet fully observant of the Law of Moses and trusting in God amidst many trials and difficulties. The theme of the book, then, is the inculcation of the truth that the most important thing in this life is to put full confidence in God, seeing in all things his benevolent Providence, and accepting from his hand with trusting resignation both prosperity and misfortune.</w:t>
      </w:r>
    </w:p>
    <w:p>
      <w:pPr>
        <w:pStyle w:val="BodyText"/>
      </w:pPr>
      <w:r>
        <w:rPr>
          <w:b/>
          <w:bCs/>
        </w:rPr>
        <w:t xml:space="preserve">§ b.</w:t>
      </w:r>
      <w:r>
        <w:t xml:space="preserve"> </w:t>
      </w:r>
      <w:r>
        <w:t xml:space="preserve">The story opens with Tobias, the elder, a captive of the Assyrians in the city of Nineveh. With a quick, retrospective glance, 1:4–10, the author then shows us that even as a boy Tobias walked always in the way of the Lord. Among those in captivity his conduct was most exemplary, for, fearing God rather than men, he was careful to give alms and to bury the bodies of the dead, even though this incurred the anger of the king. When afflicted with blindness he did not blame God for this misfortune but bore it patiently even in the face of the upbraidings of his own wife, 1:11–3:6. While these events were taking place, the scene changes with gentle, dramatic effect to Sara a young maiden of Ecbatana, who would one day be the wife of Tobias’ son. We find her pouring out a touching prayer to God for help in her great misery, 3:7–23. The story then returns to Tobias, who had prayed to be allowed to die if God so willed. Expecting that God might take him from this world, Tobias admonishes his son to lead a virtuous life, 4:1–20, and tells him to seek out Gabelus, a fellow-tribesman living in Rages, to whom he had given a sum of money, 4:21–23. The young Tobias is fearful of setting out on so long a journey into unknown country, but he is unexpectedly assisted by the Angel Raphael in the guise of a young man who offers to guide him to Gabelus, 5:1–28. This offer is accepted and the two set out on their journey. After an exciting adventure with a large fish, 6:1–9, they seek lodging at the home of a kinsman who is Raguel, the father of Sara, the maiden already</w:t>
      </w:r>
      <w:r>
        <w:t xml:space="preserve"> </w:t>
      </w:r>
      <w:r>
        <w:rPr>
          <w:b/>
          <w:bCs/>
        </w:rPr>
        <w:t xml:space="preserve">§ c</w:t>
      </w:r>
      <w:r>
        <w:t xml:space="preserve"> </w:t>
      </w:r>
      <w:r>
        <w:t xml:space="preserve">mentioned. The Angel counsels Tobias to seek the hand of Sara in marriage, but he is reluctant as he had heard that Sara had already had seven husbands who were killed by a devil. The Angel reassures the young man and instructs him how to overcome the power of the demon, 6:10–22. So they go to Raguel and are received with joy. When Tobias asks for the hand of Sara, her parents express great fear lest if they consent Tobias, too, will be killed. However, Raguel finally yields to the young man’s entreaties, and Tobias is betrothed to Sara, 7:1–20. Things turn out well as the Angel had predicted, for on the marriage night Sara and Tobias pray together, the power of the demon is broken, and no harm ensues 8:1–24. Tobias then remains with Raguel while the Angel journeys on to meet Gabelus and redeem Tobias’ note, 9:1–12. Meanwhile, at home the elder Tobias and his wife, Anna, become solicitous for their son since he has not returned at the appointed time; the mother, especially, is disconsolate, 10:1–7. However, Tobias as a good son takes leave of Raguel, despite his pressing invitation to remain, and begins the homeward journey with his bride, 10:8–13. The homecoming is a joyful one indeed, and it is further gladdened when Tobias at the Angel’s bidding anoints his father’s eyes with the gall of the fish and the old man’s blindness leaves him, 11:1–21. When Tobias seeks to repay the Angel for all he had done, not knowing, of course, that this kind stranger was really an Angel of God, Raphael makes himself known. He tells Tobias and his son that their afflictions were permitted by God to try them; and as they are thunderstruck at this revelation, the Angel disappears from their sight, 12:1–22. The final chapters, in the form of a sort of epilogue, contain the blessing of Tobias the elder, prophecies of the future of the Holy City, ch 13, and an account of the later happy life and holy death of Tobias, father and son, ch 14.</w:t>
      </w:r>
    </w:p>
    <w:p>
      <w:pPr>
        <w:pStyle w:val="BodyText"/>
      </w:pPr>
      <w:r>
        <w:rPr>
          <w:b/>
          <w:bCs/>
        </w:rPr>
        <w:t xml:space="preserve">§ d. Doctrinal Content.</w:t>
      </w:r>
      <w:r>
        <w:t xml:space="preserve"> </w:t>
      </w:r>
      <w:r>
        <w:t xml:space="preserve">The book is a veritable treasure-house of doctrine, both speculative and practical. It teaches by both word and example: the history of Tobias and his family inculcates particularly the moral virtues and the happy result, in general, of remaining faithful to God and his commandments. The various prayers and admonitions and counsels contain admirable expositions of doctrine.</w:t>
      </w:r>
    </w:p>
    <w:p>
      <w:pPr>
        <w:pStyle w:val="BodyText"/>
      </w:pPr>
      <w:r>
        <w:rPr>
          <w:b/>
          <w:bCs/>
        </w:rPr>
        <w:t xml:space="preserve">§ e.</w:t>
      </w:r>
      <w:r>
        <w:t xml:space="preserve"> </w:t>
      </w:r>
      <w:r>
        <w:t xml:space="preserve">The existence of a</w:t>
      </w:r>
      <w:r>
        <w:t xml:space="preserve"> </w:t>
      </w:r>
      <w:r>
        <w:rPr>
          <w:b/>
          <w:bCs/>
        </w:rPr>
        <w:t xml:space="preserve">personal God</w:t>
      </w:r>
      <w:r>
        <w:t xml:space="preserve"> </w:t>
      </w:r>
      <w:r>
        <w:t xml:space="preserve">is both presumed and mentioned directly; his</w:t>
      </w:r>
      <w:r>
        <w:t xml:space="preserve"> </w:t>
      </w:r>
      <w:r>
        <w:rPr>
          <w:b/>
          <w:bCs/>
        </w:rPr>
        <w:t xml:space="preserve">perfections</w:t>
      </w:r>
      <w:r>
        <w:t xml:space="preserve"> </w:t>
      </w:r>
      <w:r>
        <w:t xml:space="preserve">are referred to frequently. Especially in the prayers and admonitions the God addressed, or referred to, is the one God of Israel, the Creator of all things. The book is thoroughly monotheistic: Yahweh is God; he is omnipotent, eternal, no one can escape his hand, 13:1–4. His benign Providence watches over all things and guides the destinies of all men: events are arranged according to his will, 3:19; 7:14. He certainly sends us trials and permits temptations to prove us, 3:21; 12:13; but just as surely, if we are faithful, he will deliver us from the trials and reward our fidelity, 13:2; 3:22. This God, though eminently just, 3:2, is yet filled with mercy and fatherly solicitude for his children, 3:21 f.;</w:t>
      </w:r>
      <w:r>
        <w:t xml:space="preserve"> </w:t>
      </w:r>
      <w:r>
        <w:t xml:space="preserve">‘</w:t>
      </w:r>
      <w:r>
        <w:t xml:space="preserve">he hath chastised us for our iniquities: and he will save us for his own mercy</w:t>
      </w:r>
      <w:r>
        <w:t xml:space="preserve">’</w:t>
      </w:r>
      <w:r>
        <w:t xml:space="preserve">, 13:5. In a word, the God of the Book of Tobias is the one, true God, who rules all things wisely; the God of Israel, who is omnipotent, just and merciful, who will reward the good and punish the wicked;</w:t>
      </w:r>
      <w:r>
        <w:t xml:space="preserve"> </w:t>
      </w:r>
      <w:r>
        <w:t xml:space="preserve">‘</w:t>
      </w:r>
      <w:r>
        <w:t xml:space="preserve">Thou art great, O Lord, for ever, and thy kingdom is unto all ages</w:t>
      </w:r>
      <w:r>
        <w:t xml:space="preserve">’</w:t>
      </w:r>
      <w:r>
        <w:t xml:space="preserve">, 13:1.</w:t>
      </w:r>
    </w:p>
    <w:p>
      <w:pPr>
        <w:pStyle w:val="BodyText"/>
      </w:pPr>
      <w:r>
        <w:rPr>
          <w:b/>
          <w:bCs/>
        </w:rPr>
        <w:t xml:space="preserve">§ f.</w:t>
      </w:r>
      <w:r>
        <w:t xml:space="preserve"> </w:t>
      </w:r>
      <w:r>
        <w:rPr>
          <w:b/>
          <w:bCs/>
        </w:rPr>
        <w:t xml:space="preserve">The teaching on the angels and demons</w:t>
      </w:r>
      <w:r>
        <w:t xml:space="preserve"> </w:t>
      </w:r>
      <w:r>
        <w:t xml:space="preserve">is almost all found in the explanations of the Angel Raphael himself. Raphael is an angel (</w:t>
      </w:r>
      <w:r>
        <w:rPr>
          <w:i/>
          <w:iCs/>
        </w:rPr>
        <w:t xml:space="preserve">mal’āḵ</w:t>
      </w:r>
      <w:r>
        <w:t xml:space="preserve">) sent by God, 12:14, 20. He is incorporeal, 12:19;</w:t>
      </w:r>
      <w:r>
        <w:t xml:space="preserve"> </w:t>
      </w:r>
      <w:r>
        <w:t xml:space="preserve">‘</w:t>
      </w:r>
      <w:r>
        <w:t xml:space="preserve">one of the seven, who stand before the Lord</w:t>
      </w:r>
      <w:r>
        <w:t xml:space="preserve">’</w:t>
      </w:r>
      <w:r>
        <w:t xml:space="preserve">, 12:15. His duties are to carry out the commands of God who sent him, and to intercede for men before the face of God, 12:12. Angels guard and protect men, 5:21, 27; 10:11. They also have power from God over the demons, 8:3; 12:14. The book tells us a number of things about these demons, although it is by no means a treatise on demonology, and much less is it to be considered a reflection of the beliefs of the Persians or Babylonians on this subject. Here, one devil, Asmodeus, plays the chief role. He has killed the husbands of Sara, 3:10; he torments her household, 8:18; but he remains subject to God’s power and to the Angel sent by God, 8:3; 12:14. Nor has he power over all men but only over those who leave themselves open to his machinations, 6:16, 17.</w:t>
      </w:r>
    </w:p>
    <w:p>
      <w:pPr>
        <w:pStyle w:val="BodyText"/>
      </w:pPr>
      <w:r>
        <w:rPr>
          <w:b/>
          <w:bCs/>
        </w:rPr>
        <w:t xml:space="preserve">§ g.</w:t>
      </w:r>
      <w:r>
        <w:t xml:space="preserve"> </w:t>
      </w:r>
      <w:r>
        <w:rPr>
          <w:b/>
          <w:bCs/>
        </w:rPr>
        <w:t xml:space="preserve">Man</w:t>
      </w:r>
      <w:r>
        <w:t xml:space="preserve"> </w:t>
      </w:r>
      <w:r>
        <w:t xml:space="preserve">is a creature of God and therefore should not live like the heathens</w:t>
      </w:r>
      <w:r>
        <w:t xml:space="preserve"> </w:t>
      </w:r>
      <w:r>
        <w:t xml:space="preserve">‘</w:t>
      </w:r>
      <w:r>
        <w:t xml:space="preserve">that know not God</w:t>
      </w:r>
      <w:r>
        <w:t xml:space="preserve">’</w:t>
      </w:r>
      <w:r>
        <w:t xml:space="preserve">, 6:17; 8:5, 8. He has a higher destiny, 4:11, 23; 12:9, and should by his good works make himself worthy of it. Whether the author of the book had a clear concept of the future life can be questioned. Several allusions would lead us to think that at least he knew that man would live after death and would then receive the reward for his good deeds which he could not expect in this life. We cannot anticipate, of course, at this period, the clarity of NT teaching on the future life.</w:t>
      </w:r>
    </w:p>
    <w:p>
      <w:pPr>
        <w:pStyle w:val="BodyText"/>
      </w:pPr>
      <w:r>
        <w:rPr>
          <w:b/>
          <w:bCs/>
        </w:rPr>
        <w:t xml:space="preserve">§ h.</w:t>
      </w:r>
      <w:r>
        <w:t xml:space="preserve"> </w:t>
      </w:r>
      <w:r>
        <w:t xml:space="preserve">Tobias has always been a favourite source of instruction on the sanctity of</w:t>
      </w:r>
      <w:r>
        <w:t xml:space="preserve"> </w:t>
      </w:r>
      <w:r>
        <w:rPr>
          <w:b/>
          <w:bCs/>
        </w:rPr>
        <w:t xml:space="preserve">marriage</w:t>
      </w:r>
      <w:r>
        <w:t xml:space="preserve">. In it the state of matrimony is very clearly regarded as a holy union, 8:5. It is to be entered upon with a clean and upright conscience, 4:13; 3:16, 18; its use is to be held sacred, 6:17, 22, and approached with prayer, 6:18. Its main purpose is not sensual gratification, but the procreation of children,</w:t>
      </w:r>
      <w:r>
        <w:t xml:space="preserve"> </w:t>
      </w:r>
      <w:r>
        <w:t xml:space="preserve">‘</w:t>
      </w:r>
      <w:r>
        <w:t xml:space="preserve">for the love of posterity, in which thy name (O Lord) may be blessed for ever and ever</w:t>
      </w:r>
      <w:r>
        <w:t xml:space="preserve">’</w:t>
      </w:r>
      <w:r>
        <w:t xml:space="preserve">, 8:9; 6:21 f. Those who profane this sacred state deserve punishment and lay themselves open to the power of the demons,</w:t>
      </w:r>
      <w:r>
        <w:t xml:space="preserve"> </w:t>
      </w:r>
      <w:r>
        <w:t xml:space="preserve">‘</w:t>
      </w:r>
      <w:r>
        <w:t xml:space="preserve">they who in such manner receive matrimony, as to shut out God from themselves, and from their mind, and to give themselves to their lust, as the horse and mule, which have not understanding: over them the devil hath power</w:t>
      </w:r>
      <w:r>
        <w:t xml:space="preserve">’</w:t>
      </w:r>
      <w:r>
        <w:t xml:space="preserve">, 6:17.</w:t>
      </w:r>
      <w:r>
        <w:t xml:space="preserve"> </w:t>
      </w:r>
      <w:r>
        <w:rPr>
          <w:i/>
          <w:iCs/>
        </w:rPr>
        <w:t xml:space="preserve">Cf</w:t>
      </w:r>
      <w:r>
        <w:t xml:space="preserve">. the Commentary on 3:8 and 6:16 ff. The spouses should be a mutual support to each other; they should be faithful, 4:13; the husband should respect his wife, and the wife should love her husband, 10:13.</w:t>
      </w:r>
    </w:p>
    <w:p>
      <w:pPr>
        <w:pStyle w:val="BodyText"/>
      </w:pPr>
      <w:r>
        <w:rPr>
          <w:b/>
          <w:bCs/>
        </w:rPr>
        <w:t xml:space="preserve">§ i.</w:t>
      </w:r>
      <w:r>
        <w:t xml:space="preserve"> </w:t>
      </w:r>
      <w:r>
        <w:rPr>
          <w:b/>
          <w:bCs/>
        </w:rPr>
        <w:t xml:space="preserve">Good works</w:t>
      </w:r>
      <w:r>
        <w:t xml:space="preserve"> </w:t>
      </w:r>
      <w:r>
        <w:t xml:space="preserve">are counselled on almost every page of the book. Since the author’s chief aim is to inculcate the advantages of an upright, moral life, this is not surprising. He teaches this lesson mainly by the example of the true Israelite, Tobias, and by that of his family. Tobias, even as a boy, observes the Law strictly, 1:4, 8. Later he performs many good deeds, 1:11–20; and he admonishes his son to do likewise, 4:2–20. He had no human respect in all this, for he feared God more than the king, and more than his mocking relatives, 2:9, 18. Nor did he work and hope in vain, for his fidelity to God was rewarded, 12:12 ff.</w:t>
      </w:r>
    </w:p>
    <w:p>
      <w:pPr>
        <w:pStyle w:val="BodyText"/>
      </w:pPr>
      <w:r>
        <w:rPr>
          <w:b/>
          <w:bCs/>
        </w:rPr>
        <w:t xml:space="preserve">§ j.</w:t>
      </w:r>
      <w:r>
        <w:t xml:space="preserve"> </w:t>
      </w:r>
      <w:r>
        <w:t xml:space="preserve">Four types of good works are especially practised and inculcated: prayer, the burial of the dead, fasting and alms-giving. All the principal characters of the book practise</w:t>
      </w:r>
      <w:r>
        <w:t xml:space="preserve"> </w:t>
      </w:r>
      <w:r>
        <w:rPr>
          <w:b/>
          <w:bCs/>
        </w:rPr>
        <w:t xml:space="preserve">prayer</w:t>
      </w:r>
      <w:r>
        <w:t xml:space="preserve"> </w:t>
      </w:r>
      <w:r>
        <w:t xml:space="preserve">with confidence: Tobias, 3:1ff.; Sara, 3:10 ff.; Raguel and Anna, 8:6, 16; Tobias, the son, and Sara, 8:4, 6. They pray frequently, 2:14; they pray publicly, 1:6, and privately. They pray alone and with others. They also pray with great fervor, 3:1, 11; 8:6; 12:22. Moreover, their prayers were heard by God, thus testifying to the efficacy of trustful prayer, 12:8, 12.</w:t>
      </w:r>
    </w:p>
    <w:p>
      <w:pPr>
        <w:pStyle w:val="BodyText"/>
      </w:pPr>
      <w:r>
        <w:rPr>
          <w:b/>
          <w:bCs/>
        </w:rPr>
        <w:t xml:space="preserve">§ k.</w:t>
      </w:r>
      <w:r>
        <w:t xml:space="preserve"> </w:t>
      </w:r>
      <w:r>
        <w:t xml:space="preserve">There is frequent mention of Tobias’ zeal in</w:t>
      </w:r>
      <w:r>
        <w:t xml:space="preserve"> </w:t>
      </w:r>
      <w:r>
        <w:rPr>
          <w:b/>
          <w:bCs/>
        </w:rPr>
        <w:t xml:space="preserve">burying the dead</w:t>
      </w:r>
      <w:r>
        <w:t xml:space="preserve">. With great danger to himself and heroic sacrifice, he hid the bodies of those slain by the king and buried them carefully by night, 1:20 f.; 2:4, 9 f.; 12:12.</w:t>
      </w:r>
    </w:p>
    <w:p>
      <w:pPr>
        <w:pStyle w:val="BodyText"/>
      </w:pPr>
      <w:r>
        <w:rPr>
          <w:b/>
          <w:bCs/>
        </w:rPr>
        <w:t xml:space="preserve">§ l.</w:t>
      </w:r>
      <w:r>
        <w:t xml:space="preserve"> </w:t>
      </w:r>
      <w:r>
        <w:rPr>
          <w:b/>
          <w:bCs/>
        </w:rPr>
        <w:t xml:space="preserve">Fasting and alms-giving</w:t>
      </w:r>
      <w:r>
        <w:t xml:space="preserve"> </w:t>
      </w:r>
      <w:r>
        <w:t xml:space="preserve">are both commended and practised: Tobias, according to the Law, kept himself from the defilement of pagan foods, 1:12. Sara fasted to make her prayer more worthy, 3:10; and the Angel Raphael gave the valuable counsel:</w:t>
      </w:r>
      <w:r>
        <w:t xml:space="preserve"> </w:t>
      </w:r>
      <w:r>
        <w:t xml:space="preserve">‘</w:t>
      </w:r>
      <w:r>
        <w:t xml:space="preserve">Prayer is good with fasting and alms: more than to lay up treasures of gold</w:t>
      </w:r>
      <w:r>
        <w:t xml:space="preserve">’</w:t>
      </w:r>
      <w:r>
        <w:t xml:space="preserve">. It is often related of Tobias that he helped the needy with his alms, 1:17, 19; 2:16; and he also counsels his son to give generously, 4:9 ff. Besides these good works, others are mentioned,</w:t>
      </w:r>
      <w:r>
        <w:t xml:space="preserve"> </w:t>
      </w:r>
      <w:r>
        <w:rPr>
          <w:i/>
          <w:iCs/>
        </w:rPr>
        <w:t xml:space="preserve">e.g</w:t>
      </w:r>
      <w:r>
        <w:t xml:space="preserve">. feeding the hungry and clothing the naked, 1:20. All these good deeds please God and merit a reward, 4:10; 12:8 f.</w:t>
      </w:r>
    </w:p>
    <w:p>
      <w:r>
        <w:br w:type="page"/>
      </w:r>
    </w:p>
    <w:bookmarkEnd w:id="50"/>
    <w:bookmarkStart w:id="57" w:name="a-11-the-prologue"/>
    <w:p>
      <w:pPr>
        <w:pStyle w:val="Heading2"/>
      </w:pPr>
      <w:r>
        <w:t xml:space="preserve">303A 1:1 The Prologue</w:t>
      </w:r>
    </w:p>
    <w:p>
      <w:pPr>
        <w:pStyle w:val="FirstParagraph"/>
      </w:pPr>
      <w:r>
        <w:t xml:space="preserve">In most forms of the book the story opens with a brief genealogical preface. This has been abbreviated in Vg</w:t>
      </w:r>
      <w:r>
        <w:rPr>
          <w:rStyle w:val="FootnoteReference"/>
        </w:rPr>
        <w:footnoteReference w:id="51"/>
      </w:r>
      <w:r>
        <w:t xml:space="preserve">, either because St Jerome did not find it in his Aramaic text or because he deliberately shortened it to essentials, perhaps because of his distaste for extended genealogies;</w:t>
      </w:r>
      <w:r>
        <w:t xml:space="preserve"> </w:t>
      </w:r>
      <w:r>
        <w:rPr>
          <w:i/>
          <w:iCs/>
        </w:rPr>
        <w:t xml:space="preserve">cf</w:t>
      </w:r>
      <w:r>
        <w:t xml:space="preserve">. PL</w:t>
      </w:r>
      <w:r>
        <w:rPr>
          <w:rStyle w:val="FootnoteReference"/>
        </w:rPr>
        <w:footnoteReference w:id="52"/>
      </w:r>
      <w:r>
        <w:t xml:space="preserve"> </w:t>
      </w:r>
      <w:r>
        <w:t xml:space="preserve">26, 594 f. A tendency to abbreviate or summarize on the part of Jerome is noticeable throughout the Vg</w:t>
      </w:r>
      <w:r>
        <w:rPr>
          <w:rStyle w:val="FootnoteReference"/>
        </w:rPr>
        <w:footnoteReference w:id="53"/>
      </w:r>
      <w:r>
        <w:t xml:space="preserve"> </w:t>
      </w:r>
      <w:r>
        <w:t xml:space="preserve">of Tobias, and particularly in this first chapter. It is difficult to determine just how much of the various forms of the genealogy here should be considered primitive. The same holds for the succeeding geographical designation. It is probable that the following elements are original:</w:t>
      </w:r>
      <w:r>
        <w:t xml:space="preserve"> </w:t>
      </w:r>
      <w:r>
        <w:t xml:space="preserve">‘</w:t>
      </w:r>
      <w:r>
        <w:t xml:space="preserve">Tobias,</w:t>
      </w:r>
      <w:r>
        <w:t xml:space="preserve"> </w:t>
      </w:r>
      <w:r>
        <w:rPr>
          <w:i/>
          <w:iCs/>
        </w:rPr>
        <w:t xml:space="preserve">of the seed of Asiel</w:t>
      </w:r>
      <w:r>
        <w:t xml:space="preserve">, of the tribe of Nephtali, of a</w:t>
      </w:r>
      <w:r>
        <w:t xml:space="preserve"> </w:t>
      </w:r>
      <w:r>
        <w:rPr>
          <w:i/>
          <w:iCs/>
        </w:rPr>
        <w:t xml:space="preserve">certain</w:t>
      </w:r>
      <w:r>
        <w:t xml:space="preserve"> </w:t>
      </w:r>
      <w:r>
        <w:t xml:space="preserve">city of that tribe</w:t>
      </w:r>
      <w:r>
        <w:t xml:space="preserve"> </w:t>
      </w:r>
      <w:r>
        <w:rPr>
          <w:i/>
          <w:iCs/>
        </w:rPr>
        <w:t xml:space="preserve">which was situated</w:t>
      </w:r>
      <w:r>
        <w:t xml:space="preserve"> </w:t>
      </w:r>
      <w:r>
        <w:t xml:space="preserve">in upper Galilee,</w:t>
      </w:r>
      <w:r>
        <w:t xml:space="preserve"> </w:t>
      </w:r>
      <w:r>
        <w:rPr>
          <w:i/>
          <w:iCs/>
        </w:rPr>
        <w:t xml:space="preserve">being on the south of Qadesh</w:t>
      </w:r>
      <w:r>
        <w:t xml:space="preserve"> </w:t>
      </w:r>
      <w:r>
        <w:t xml:space="preserve">[of Nephtali] and</w:t>
      </w:r>
      <w:r>
        <w:t xml:space="preserve"> </w:t>
      </w:r>
      <w:r>
        <w:rPr>
          <w:i/>
          <w:iCs/>
        </w:rPr>
        <w:t xml:space="preserve">to the north of Safed, and with Aser</w:t>
      </w:r>
      <w:r>
        <w:t xml:space="preserve"> </w:t>
      </w:r>
      <w:r>
        <w:t xml:space="preserve">[Hazor]</w:t>
      </w:r>
      <w:r>
        <w:t xml:space="preserve"> </w:t>
      </w:r>
      <w:r>
        <w:rPr>
          <w:i/>
          <w:iCs/>
        </w:rPr>
        <w:t xml:space="preserve">to the West</w:t>
      </w:r>
      <w:r>
        <w:t xml:space="preserve">, was made captive …</w:t>
      </w:r>
      <w:r>
        <w:t xml:space="preserve">’</w:t>
      </w:r>
    </w:p>
    <w:p>
      <w:pPr>
        <w:pStyle w:val="BodyText"/>
      </w:pPr>
      <w:r>
        <w:rPr>
          <w:b/>
          <w:bCs/>
        </w:rPr>
        <w:t xml:space="preserve">§ b. 2–10 Early Piety of Tobias.</w:t>
      </w:r>
      <w:r>
        <w:t xml:space="preserve"> </w:t>
      </w:r>
      <w:r>
        <w:t xml:space="preserve">The general historical setting is given in this first chapter. The scene is laid</w:t>
      </w:r>
      <w:r>
        <w:t xml:space="preserve"> </w:t>
      </w:r>
      <w:r>
        <w:t xml:space="preserve">‘</w:t>
      </w:r>
      <w:r>
        <w:t xml:space="preserve">in the days of Salmanasar king of the Assyrians</w:t>
      </w:r>
      <w:r>
        <w:t xml:space="preserve">’</w:t>
      </w:r>
      <w:r>
        <w:t xml:space="preserve">. In view of 1:18, especially, it is quite clear that this cannot have been Shalmaneser V (727–722), but must have been Sargon II (721–705). This is sometimes urged as a clinching proof of the historical inaccuracy of the book. However, the difficulty is not serious.</w:t>
      </w:r>
      <w:r>
        <w:t xml:space="preserve"> </w:t>
      </w:r>
      <w:r>
        <w:t xml:space="preserve">‘</w:t>
      </w:r>
      <w:r>
        <w:t xml:space="preserve">Salmanasar</w:t>
      </w:r>
      <w:r>
        <w:t xml:space="preserve">’</w:t>
      </w:r>
      <w:r>
        <w:t xml:space="preserve"> </w:t>
      </w:r>
      <w:r>
        <w:t xml:space="preserve">is either a pure textual error, or a scribal correction influenced by the name,</w:t>
      </w:r>
      <w:r>
        <w:t xml:space="preserve"> </w:t>
      </w:r>
      <w:r>
        <w:rPr>
          <w:i/>
          <w:iCs/>
        </w:rPr>
        <w:t xml:space="preserve">Enemessar</w:t>
      </w:r>
      <w:r>
        <w:t xml:space="preserve">, found in the various Greek forms of the book.</w:t>
      </w:r>
      <w:r>
        <w:t xml:space="preserve"> </w:t>
      </w:r>
      <w:r>
        <w:rPr>
          <w:i/>
          <w:iCs/>
        </w:rPr>
        <w:t xml:space="preserve">Enemessar</w:t>
      </w:r>
      <w:r>
        <w:t xml:space="preserve"> </w:t>
      </w:r>
      <w:r>
        <w:t xml:space="preserve">is an unknown name, but it may be explained as the result of an inversion of the compound Assyrian form (</w:t>
      </w:r>
      <w:r>
        <w:rPr>
          <w:i/>
          <w:iCs/>
        </w:rPr>
        <w:t xml:space="preserve">Šarru-ukîn</w:t>
      </w:r>
      <w:r>
        <w:t xml:space="preserve">) of the name</w:t>
      </w:r>
      <w:r>
        <w:t xml:space="preserve"> </w:t>
      </w:r>
      <w:r>
        <w:t xml:space="preserve">‘</w:t>
      </w:r>
      <w:r>
        <w:t xml:space="preserve">Sargon</w:t>
      </w:r>
      <w:r>
        <w:t xml:space="preserve">’</w:t>
      </w:r>
      <w:r>
        <w:t xml:space="preserve">. Hence the correct reading here is</w:t>
      </w:r>
      <w:r>
        <w:t xml:space="preserve"> </w:t>
      </w:r>
      <w:r>
        <w:rPr>
          <w:i/>
          <w:iCs/>
        </w:rPr>
        <w:t xml:space="preserve">Enemessar, i. e. Sargon</w:t>
      </w:r>
      <w:r>
        <w:t xml:space="preserve">. We are, then, in the days of Isaias the Prophet, in the 8th cent. b.c., when the kingdoms of Judah and Israel were divided, and Assyria the predominant world-power. The principal character in the story is Tobias, a pious inhabitant of the Northern Kingdom, who was carried into captivity by the Assyrian invaders. Such deportations were the common method of keeping the conquered peoples in subjugation. There is no difficulty in admitting that Tobias of Nephtali was carried off in the deportation of Sargon in 721, just after the capture of Samaria. For although there was an earlier deportation of Nephtali, certainly not all the citizens were carried off at that time, and Sargon can easily be presumed to have deported some of the inhabitants of the other cities of Israel on his return from the capture of Samaria. Although the exiles were usually treated well by the conquerors, there was always danger of a lapse in their religious observance due to the pagan influences to which they were necessarily exposed. Tobias, however, is pictured as a faithful observer of the law.</w:t>
      </w:r>
    </w:p>
    <w:p>
      <w:pPr>
        <w:pStyle w:val="BodyText"/>
      </w:pPr>
      <w:r>
        <w:rPr>
          <w:b/>
          <w:bCs/>
        </w:rPr>
        <w:t xml:space="preserve">§ c.</w:t>
      </w:r>
      <w:r>
        <w:t xml:space="preserve"> </w:t>
      </w:r>
      <w:r>
        <w:rPr>
          <w:b/>
          <w:bCs/>
        </w:rPr>
        <w:t xml:space="preserve">4</w:t>
      </w:r>
      <w:r>
        <w:t xml:space="preserve">.</w:t>
      </w:r>
      <w:r>
        <w:t xml:space="preserve"> </w:t>
      </w:r>
      <w:r>
        <w:t xml:space="preserve">‘</w:t>
      </w:r>
      <w:r>
        <w:t xml:space="preserve">And when he (</w:t>
      </w:r>
      <w:r>
        <w:rPr>
          <w:i/>
          <w:iCs/>
        </w:rPr>
        <w:t xml:space="preserve">I</w:t>
      </w:r>
      <w:r>
        <w:t xml:space="preserve">)</w:t>
      </w:r>
      <w:r>
        <w:t xml:space="preserve"> </w:t>
      </w:r>
      <w:r>
        <w:rPr>
          <w:i/>
          <w:iCs/>
        </w:rPr>
        <w:t xml:space="preserve">was still quite young all the tribe of Nephtali fell away from the house of David</w:t>
      </w:r>
      <w:r>
        <w:t xml:space="preserve"> </w:t>
      </w:r>
      <w:r>
        <w:t xml:space="preserve">…</w:t>
      </w:r>
      <w:r>
        <w:t xml:space="preserve">’</w:t>
      </w:r>
      <w:r>
        <w:t xml:space="preserve">.</w:t>
      </w:r>
      <w:r>
        <w:t xml:space="preserve"> </w:t>
      </w:r>
      <w:r>
        <w:rPr>
          <w:b/>
          <w:bCs/>
        </w:rPr>
        <w:t xml:space="preserve">5</w:t>
      </w:r>
      <w:r>
        <w:t xml:space="preserve">. Nephtali had followed the idolatrous practices of the other tribes of the Northern Kingdom, instituted back in the early days of the division of the people of God under Jeroboam, 3 Kg 12:19 ff. Tobias (one need not take</w:t>
      </w:r>
      <w:r>
        <w:t xml:space="preserve"> </w:t>
      </w:r>
      <w:r>
        <w:rPr>
          <w:i/>
          <w:iCs/>
        </w:rPr>
        <w:t xml:space="preserve">alone</w:t>
      </w:r>
      <w:r>
        <w:t xml:space="preserve"> </w:t>
      </w:r>
      <w:r>
        <w:t xml:space="preserve">too strictly; not everyone in Israel apostatized) remained faithful to God.</w:t>
      </w:r>
      <w:r>
        <w:t xml:space="preserve"> </w:t>
      </w:r>
      <w:r>
        <w:rPr>
          <w:b/>
          <w:bCs/>
        </w:rPr>
        <w:t xml:space="preserve">6</w:t>
      </w:r>
      <w:r>
        <w:t xml:space="preserve">. The journey to the Temple at Jerusalem was prescribed three times a year, Ex 23:17, for the Feasts of the Pasch, Pentecost, and Tabernacles. Tobias made the journeys required by the Law and moreover offered the prescribed first-fruits and tithes. The argument advanced by some for the late composition of the book from the fact that the Greek mentions three classes of tithes is not wholly convincing.</w:t>
      </w:r>
      <w:r>
        <w:t xml:space="preserve"> </w:t>
      </w:r>
      <w:r>
        <w:rPr>
          <w:b/>
          <w:bCs/>
        </w:rPr>
        <w:t xml:space="preserve">9</w:t>
      </w:r>
      <w:r>
        <w:t xml:space="preserve">. Tobias took a wife of his own nation, Ex 34:11 f., and perhaps also of his own tribe and family.</w:t>
      </w:r>
      <w:r>
        <w:t xml:space="preserve"> </w:t>
      </w:r>
      <w:r>
        <w:rPr>
          <w:i/>
          <w:iCs/>
        </w:rPr>
        <w:t xml:space="preserve">Tobit</w:t>
      </w:r>
      <w:r>
        <w:t xml:space="preserve">, the father, called his son Tobias, a name similar to his own,</w:t>
      </w:r>
      <w:r>
        <w:t xml:space="preserve"> </w:t>
      </w:r>
      <w:r>
        <w:rPr>
          <w:i/>
          <w:iCs/>
        </w:rPr>
        <w:t xml:space="preserve">cf</w:t>
      </w:r>
      <w:r>
        <w:t xml:space="preserve">. § 300</w:t>
      </w:r>
      <w:r>
        <w:rPr>
          <w:i/>
          <w:iCs/>
        </w:rPr>
        <w:t xml:space="preserve">e</w:t>
      </w:r>
      <w:r>
        <w:t xml:space="preserve">.</w:t>
      </w:r>
    </w:p>
    <w:p>
      <w:pPr>
        <w:pStyle w:val="BodyText"/>
      </w:pPr>
      <w:r>
        <w:rPr>
          <w:b/>
          <w:bCs/>
        </w:rPr>
        <w:t xml:space="preserve">§ d.</w:t>
      </w:r>
      <w:r>
        <w:t xml:space="preserve"> </w:t>
      </w:r>
      <w:r>
        <w:rPr>
          <w:b/>
          <w:bCs/>
        </w:rPr>
        <w:t xml:space="preserve">11–17 Charity of Tobias towards his Fellow-Captives–11</w:t>
      </w:r>
      <w:r>
        <w:t xml:space="preserve">. From the available evidence, it is very difficult to establish a complete chronology for the Book of Tobias. Vg</w:t>
      </w:r>
      <w:r>
        <w:rPr>
          <w:rStyle w:val="FootnoteReference"/>
        </w:rPr>
        <w:footnoteReference w:id="54"/>
      </w:r>
      <w:r>
        <w:t xml:space="preserve"> </w:t>
      </w:r>
      <w:r>
        <w:t xml:space="preserve">would suggest here that Tobias was married and had a son at the time of his deportation. However, the greater number of important textual witnesses do not suggest this, and permit the conclusion that Tobias was married and begot his son during the captivity. This latter seems much the better view and fits in quite well with the whole narrative. Tobias was carried to Nineveh, which was the most flourishing city of the Assyrian Empire and became the capital city soon afterwards, under Sennacherib (705–681).</w:t>
      </w:r>
      <w:r>
        <w:t xml:space="preserve"> </w:t>
      </w:r>
      <w:r>
        <w:rPr>
          <w:b/>
          <w:bCs/>
        </w:rPr>
        <w:t xml:space="preserve">14</w:t>
      </w:r>
      <w:r>
        <w:t xml:space="preserve">. The other forms of the text indicate that Sargon, the king, was impressed by the attractive appearance of Tobias and appointed him his steward, or purchasing-agent,</w:t>
      </w:r>
      <w:r>
        <w:t xml:space="preserve"> </w:t>
      </w:r>
      <w:r>
        <w:rPr>
          <w:i/>
          <w:iCs/>
        </w:rPr>
        <w:t xml:space="preserve">cf</w:t>
      </w:r>
      <w:r>
        <w:t xml:space="preserve">. Gen 41:40 ff.; Dan 1:1 ff. The great liberty accorded to Tobias by the king is not to be considered as altogether unusual, for the Assyrians allowed the exiles a fair measure of freedom in the hope that they would forget the homeland.</w:t>
      </w:r>
      <w:r>
        <w:t xml:space="preserve"> </w:t>
      </w:r>
      <w:r>
        <w:rPr>
          <w:b/>
          <w:bCs/>
        </w:rPr>
        <w:t xml:space="preserve">16</w:t>
      </w:r>
      <w:r>
        <w:t xml:space="preserve">. The pious youth made good use of his favour with the king, and, while keeping the prescriptions of the Law of Moses, managed to be of great service to his fellow-captives. One example of his charity and generosity is given here which will later have an important bearing on the story. Rages (Rhey or Rai, ruins near Teheran?) was a city of the Medes, far distant from Nineveh, but it can be supposed that Tobias was on one of his purchasing trips for the king.</w:t>
      </w:r>
      <w:r>
        <w:t xml:space="preserve"> </w:t>
      </w:r>
      <w:r>
        <w:rPr>
          <w:b/>
          <w:bCs/>
        </w:rPr>
        <w:t xml:space="preserve">17</w:t>
      </w:r>
      <w:r>
        <w:t xml:space="preserve">. His loan to Gabelus was a very large one, probably amounting to more than three thousand pounds.</w:t>
      </w:r>
    </w:p>
    <w:p>
      <w:pPr>
        <w:pStyle w:val="BodyText"/>
      </w:pPr>
      <w:r>
        <w:rPr>
          <w:b/>
          <w:bCs/>
        </w:rPr>
        <w:t xml:space="preserve">§ e.</w:t>
      </w:r>
      <w:r>
        <w:t xml:space="preserve"> </w:t>
      </w:r>
      <w:r>
        <w:rPr>
          <w:b/>
          <w:bCs/>
        </w:rPr>
        <w:t xml:space="preserve">18–25 Corporal Works of Mercy–18</w:t>
      </w:r>
      <w:r>
        <w:t xml:space="preserve">. Since Sennacherib was the son, not of Shalmaneser but of Sargon, the name</w:t>
      </w:r>
      <w:r>
        <w:t xml:space="preserve"> </w:t>
      </w:r>
      <w:r>
        <w:t xml:space="preserve">‘</w:t>
      </w:r>
      <w:r>
        <w:t xml:space="preserve">Salmanasar</w:t>
      </w:r>
      <w:r>
        <w:t xml:space="preserve">’</w:t>
      </w:r>
      <w:r>
        <w:t xml:space="preserve"> </w:t>
      </w:r>
      <w:r>
        <w:t xml:space="preserve">must be emended here, as in 2 and 13, to</w:t>
      </w:r>
      <w:r>
        <w:t xml:space="preserve"> </w:t>
      </w:r>
      <w:r>
        <w:rPr>
          <w:i/>
          <w:iCs/>
        </w:rPr>
        <w:t xml:space="preserve">Enemessar, i.e</w:t>
      </w:r>
      <w:r>
        <w:t xml:space="preserve">.</w:t>
      </w:r>
      <w:r>
        <w:t xml:space="preserve"> </w:t>
      </w:r>
      <w:r>
        <w:t xml:space="preserve">‘</w:t>
      </w:r>
      <w:r>
        <w:t xml:space="preserve">Sargon</w:t>
      </w:r>
      <w:r>
        <w:t xml:space="preserve">’</w:t>
      </w:r>
      <w:r>
        <w:t xml:space="preserve">. In Scripture mediate as well as immediate successors are often called</w:t>
      </w:r>
      <w:r>
        <w:t xml:space="preserve"> </w:t>
      </w:r>
      <w:r>
        <w:t xml:space="preserve">‘</w:t>
      </w:r>
      <w:r>
        <w:t xml:space="preserve">sons</w:t>
      </w:r>
      <w:r>
        <w:t xml:space="preserve">’</w:t>
      </w:r>
      <w:r>
        <w:t xml:space="preserve">, but that does not appear to be the solution of the difficulty here. It is more likely to be a question of a faulty text. The facts related in this and the following verses correspond with the data found in the Assyrian records of the time of Sennacherib as well as with the historical references of the Bible;</w:t>
      </w:r>
      <w:r>
        <w:t xml:space="preserve"> </w:t>
      </w:r>
      <w:r>
        <w:rPr>
          <w:i/>
          <w:iCs/>
        </w:rPr>
        <w:t xml:space="preserve">cf</w:t>
      </w:r>
      <w:r>
        <w:t xml:space="preserve">. 4 Kg 18:17 ff.; Is 36 f. </w:t>
      </w:r>
      <w:r>
        <w:rPr>
          <w:b/>
          <w:bCs/>
        </w:rPr>
        <w:t xml:space="preserve">21–25</w:t>
      </w:r>
      <w:r>
        <w:t xml:space="preserve">. In almost all forms of the text except Vg</w:t>
      </w:r>
      <w:r>
        <w:rPr>
          <w:rStyle w:val="FootnoteReference"/>
        </w:rPr>
        <w:footnoteReference w:id="55"/>
      </w:r>
      <w:r>
        <w:t xml:space="preserve"> </w:t>
      </w:r>
      <w:r>
        <w:t xml:space="preserve">this section is more detailed: Tobias’ good deeds are recounted in much the same form, but Vg</w:t>
      </w:r>
      <w:r>
        <w:rPr>
          <w:rStyle w:val="FootnoteReference"/>
        </w:rPr>
        <w:footnoteReference w:id="56"/>
      </w:r>
      <w:r>
        <w:t xml:space="preserve"> </w:t>
      </w:r>
      <w:r>
        <w:t xml:space="preserve">omits entirely any reference to Achikar,</w:t>
      </w:r>
      <w:r>
        <w:t xml:space="preserve"> </w:t>
      </w:r>
      <w:r>
        <w:rPr>
          <w:i/>
          <w:iCs/>
        </w:rPr>
        <w:t xml:space="preserve">cf</w:t>
      </w:r>
      <w:r>
        <w:t xml:space="preserve">. § 301</w:t>
      </w:r>
      <w:r>
        <w:rPr>
          <w:i/>
          <w:iCs/>
        </w:rPr>
        <w:t xml:space="preserve">h–i</w:t>
      </w:r>
      <w:r>
        <w:t xml:space="preserve">. In the other forms of the text Achikar is described as the administrator, or overseer, of the Assyrian king. He is called the cousin german of Tobias, and by his intercession with the king Tobias was permitted to return to Nineveh. It is clear that the time interval mentioned in 24 must refer to Tobias’ flight (23) and should, therefore, be understood of the period just preceding the assassination of Sennacherib; hence it has no connexion with Sennacherib’s retreat from Jerusalem (21) which took place some twenty years earlier.</w:t>
      </w:r>
    </w:p>
    <w:p>
      <w:r>
        <w:br w:type="page"/>
      </w:r>
    </w:p>
    <w:bookmarkEnd w:id="57"/>
    <w:bookmarkStart w:id="67" w:name="a-2118-the-blindness-of-tobias"/>
    <w:p>
      <w:pPr>
        <w:pStyle w:val="Heading2"/>
      </w:pPr>
      <w:r>
        <w:t xml:space="preserve">304A 2:1–18 The Blindness of Tobias</w:t>
      </w:r>
    </w:p>
    <w:p>
      <w:pPr>
        <w:pStyle w:val="FirstParagraph"/>
      </w:pPr>
      <w:r>
        <w:rPr>
          <w:b/>
          <w:bCs/>
        </w:rPr>
        <w:t xml:space="preserve">1.</w:t>
      </w:r>
      <w:r>
        <w:t xml:space="preserve"> </w:t>
      </w:r>
      <w:r>
        <w:t xml:space="preserve">Notwithstanding his many charitable works and his strict observance of the Law, the pious Israelite, Tobias, was soon to be afflicted with grave personal sufferings. Even in the ancient dispensation, God permitted his saints to be overwhelmed with afflictions that they might be more and more purified in the fire of suffering. In the Greek, the circumstances of the</w:t>
      </w:r>
      <w:r>
        <w:t xml:space="preserve"> </w:t>
      </w:r>
      <w:r>
        <w:t xml:space="preserve">‘</w:t>
      </w:r>
      <w:r>
        <w:t xml:space="preserve">festival</w:t>
      </w:r>
      <w:r>
        <w:t xml:space="preserve">’</w:t>
      </w:r>
      <w:r>
        <w:t xml:space="preserve"> </w:t>
      </w:r>
      <w:r>
        <w:t xml:space="preserve">are more detailed: Esarhaddon (681–669) is the Assyrian king, and the festival is the Feast of Pentecost. Such details fill out the narrative, but at least some of them are surely later additions.</w:t>
      </w:r>
      <w:r>
        <w:t xml:space="preserve"> </w:t>
      </w:r>
      <w:r>
        <w:rPr>
          <w:b/>
          <w:bCs/>
        </w:rPr>
        <w:t xml:space="preserve">4</w:t>
      </w:r>
      <w:r>
        <w:t xml:space="preserve">. Tobias acted with great caution lest he should again attract the unfavourable attention of the public authorities.</w:t>
      </w:r>
      <w:r>
        <w:t xml:space="preserve"> </w:t>
      </w:r>
      <w:r>
        <w:rPr>
          <w:b/>
          <w:bCs/>
        </w:rPr>
        <w:t xml:space="preserve">6</w:t>
      </w:r>
      <w:r>
        <w:t xml:space="preserve">. Amos, who prophesied some twenty-five years before the time of Tobias, is here cited freely. More literally the prophecy (Am 8:10) reads:</w:t>
      </w:r>
      <w:r>
        <w:t xml:space="preserve"> </w:t>
      </w:r>
      <w:r>
        <w:t xml:space="preserve">‘</w:t>
      </w:r>
      <w:r>
        <w:t xml:space="preserve">And I will turn your feasts into mourning and all your songs into lamentation</w:t>
      </w:r>
      <w:r>
        <w:t xml:space="preserve">’</w:t>
      </w:r>
      <w:r>
        <w:t xml:space="preserve">.</w:t>
      </w:r>
      <w:r>
        <w:t xml:space="preserve"> </w:t>
      </w:r>
      <w:r>
        <w:rPr>
          <w:b/>
          <w:bCs/>
        </w:rPr>
        <w:t xml:space="preserve">10–11</w:t>
      </w:r>
      <w:r>
        <w:t xml:space="preserve">. The Greek indicates that Tobias was blinded on the very night of the Feast; it also mentions sparrows rather than swallows, a very unimportant detail.</w:t>
      </w:r>
    </w:p>
    <w:p>
      <w:pPr>
        <w:pStyle w:val="BodyText"/>
      </w:pPr>
      <w:r>
        <w:rPr>
          <w:b/>
          <w:bCs/>
        </w:rPr>
        <w:t xml:space="preserve">§ b.</w:t>
      </w:r>
      <w:r>
        <w:t xml:space="preserve"> </w:t>
      </w:r>
      <w:r>
        <w:rPr>
          <w:b/>
          <w:bCs/>
        </w:rPr>
        <w:t xml:space="preserve">12–18</w:t>
      </w:r>
      <w:r>
        <w:t xml:space="preserve">. Of greater importance and interest is the fact that this brief passage is found only in Vg</w:t>
      </w:r>
      <w:r>
        <w:rPr>
          <w:rStyle w:val="FootnoteReference"/>
        </w:rPr>
        <w:footnoteReference w:id="58"/>
      </w:r>
      <w:r>
        <w:t xml:space="preserve">. The Greek has details of its own, for example, it relates Tobias’ unsuccessful visits to the physicians, and a further mention of Achikar, who</w:t>
      </w:r>
      <w:r>
        <w:t xml:space="preserve"> </w:t>
      </w:r>
      <w:r>
        <w:t xml:space="preserve">‘</w:t>
      </w:r>
      <w:r>
        <w:t xml:space="preserve">nourished me two years until he went to Elymais</w:t>
      </w:r>
      <w:r>
        <w:t xml:space="preserve">’</w:t>
      </w:r>
      <w:r>
        <w:t xml:space="preserve"> </w:t>
      </w:r>
      <w:r>
        <w:t xml:space="preserve">(</w:t>
      </w:r>
      <w:r>
        <w:rPr>
          <w:i/>
          <w:iCs/>
        </w:rPr>
        <w:t xml:space="preserve">cf</w:t>
      </w:r>
      <w:r>
        <w:t xml:space="preserve">. § 301</w:t>
      </w:r>
      <w:r>
        <w:rPr>
          <w:i/>
          <w:iCs/>
        </w:rPr>
        <w:t xml:space="preserve">h–i</w:t>
      </w:r>
      <w:r>
        <w:t xml:space="preserve">). It is extremely difficult to determine the exact form of the original text for this section. The differences in the Greek form are shared substantially by the other forms of the text now extant, and there is no exact agreement. As for the longer form of Vg</w:t>
      </w:r>
      <w:r>
        <w:rPr>
          <w:rStyle w:val="FootnoteReference"/>
        </w:rPr>
        <w:footnoteReference w:id="59"/>
      </w:r>
      <w:r>
        <w:t xml:space="preserve">, it is hard to believe that St Jerome simply added his own spiritual reflexions to the text he was translating. He must have had some basis for his rendering, even though it must be admitted that he translated freely. The Vg</w:t>
      </w:r>
      <w:r>
        <w:rPr>
          <w:rStyle w:val="FootnoteReference"/>
        </w:rPr>
        <w:footnoteReference w:id="60"/>
      </w:r>
      <w:r>
        <w:t xml:space="preserve"> </w:t>
      </w:r>
      <w:r>
        <w:t xml:space="preserve">fragment, at any rate, offers a precious spiritual lesson: the sufferings of Tobias were permitted by God, and this fact was clearly appreciated by the pious Israelite who looked towards a heavenly reward for his fidelity.</w:t>
      </w:r>
    </w:p>
    <w:p>
      <w:pPr>
        <w:pStyle w:val="BodyText"/>
      </w:pPr>
      <w:r>
        <w:rPr>
          <w:b/>
          <w:bCs/>
        </w:rPr>
        <w:t xml:space="preserve">§ c. 19–23 Tobias upbraided by his Wife.</w:t>
      </w:r>
      <w:r>
        <w:t xml:space="preserve"> </w:t>
      </w:r>
      <w:r>
        <w:t xml:space="preserve">The Greek makes it clearer why Tobias was worried: the kid was given to Anna by her employer over and above her wages. Hence Tobias, knowing that such a thing was not her ordinary wage, and realizing that it was beyond her simple means to purchase, feared that it had been stolen.</w:t>
      </w:r>
      <w:r>
        <w:t xml:space="preserve"> </w:t>
      </w:r>
      <w:r>
        <w:rPr>
          <w:b/>
          <w:bCs/>
        </w:rPr>
        <w:t xml:space="preserve">22</w:t>
      </w:r>
      <w:r>
        <w:t xml:space="preserve">. The domestic altercation that followed is delightful in its realism: the husband reasonably suspicious; the wife in perfectly good faith, and in no mood for argument after a hard day’s work; both quite blameless; and the wife very angry.</w:t>
      </w:r>
    </w:p>
    <w:p>
      <w:pPr>
        <w:pStyle w:val="BodyText"/>
      </w:pPr>
      <w:r>
        <w:rPr>
          <w:b/>
          <w:bCs/>
        </w:rPr>
        <w:t xml:space="preserve">§ d. 3:1–6 Tobias trusts in God.</w:t>
      </w:r>
      <w:r>
        <w:t xml:space="preserve"> </w:t>
      </w:r>
      <w:r>
        <w:t xml:space="preserve">This passage contains one of the five strikingly beautiful prayers quoted in the book: 3:1–6; 3:13–23; 8:7–9; 8:17–19; 13:1–23. These prayers are noticeably similar in form, and they contain several common elements: (1) praise of God; (2) confession; (3) petition; (4) doxology. The doxology is omitted in the first and fourth prayers, and the petitions vary in circumstance, but otherwise the similarity is remarkable. This similarity could easily be due to the fact that the Hebrews of the time used a uniform general formula in their prayers, as well as to the personal touch of a redactor. It is quite probable that the substantial elements of the prayers are due to the original characters themselves, although it is not necessary to attribute to them the exact verbal form. Perhaps the most striking doctrinal note in this first prayer is Tobias’ full submission to the will of God.</w:t>
      </w:r>
      <w:r>
        <w:t xml:space="preserve"> </w:t>
      </w:r>
      <w:r>
        <w:rPr>
          <w:b/>
          <w:bCs/>
        </w:rPr>
        <w:t xml:space="preserve">4</w:t>
      </w:r>
      <w:r>
        <w:t xml:space="preserve">. Just as God had so often promised: If Israel would not remain faithful she would certainly be punished, see 2 Kg 7:14, and</w:t>
      </w:r>
      <w:r>
        <w:t xml:space="preserve"> </w:t>
      </w:r>
      <w:r>
        <w:rPr>
          <w:i/>
          <w:iCs/>
        </w:rPr>
        <w:t xml:space="preserve">passim</w:t>
      </w:r>
      <w:r>
        <w:t xml:space="preserve"> </w:t>
      </w:r>
      <w:r>
        <w:t xml:space="preserve">in the Prophets.</w:t>
      </w:r>
    </w:p>
    <w:p>
      <w:pPr>
        <w:pStyle w:val="BodyText"/>
      </w:pPr>
      <w:r>
        <w:rPr>
          <w:b/>
          <w:bCs/>
        </w:rPr>
        <w:t xml:space="preserve">§ e. 7–10</w:t>
      </w:r>
      <w:r>
        <w:rPr>
          <w:b/>
          <w:bCs/>
          <w:i/>
          <w:iCs/>
        </w:rPr>
        <w:t xml:space="preserve">a</w:t>
      </w:r>
      <w:r>
        <w:rPr>
          <w:b/>
          <w:bCs/>
        </w:rPr>
        <w:t xml:space="preserve"> </w:t>
      </w:r>
      <w:r>
        <w:rPr>
          <w:b/>
          <w:bCs/>
        </w:rPr>
        <w:t xml:space="preserve">Sara is rebuked by a Maidservant.</w:t>
      </w:r>
      <w:r>
        <w:t xml:space="preserve"> </w:t>
      </w:r>
      <w:r>
        <w:t xml:space="preserve">Previous to this section, in most forms of the book, Tobias has related the story in the first person:</w:t>
      </w:r>
      <w:r>
        <w:t xml:space="preserve"> </w:t>
      </w:r>
      <w:r>
        <w:t xml:space="preserve">‘</w:t>
      </w:r>
      <w:r>
        <w:t xml:space="preserve">I Tobias….</w:t>
      </w:r>
      <w:r>
        <w:t xml:space="preserve">’</w:t>
      </w:r>
      <w:r>
        <w:t xml:space="preserve">. Henceforward, as in Vg</w:t>
      </w:r>
      <w:r>
        <w:rPr>
          <w:rStyle w:val="FootnoteReference"/>
        </w:rPr>
        <w:footnoteReference w:id="61"/>
      </w:r>
      <w:r>
        <w:t xml:space="preserve">, the narrative is in the third person.</w:t>
      </w:r>
      <w:r>
        <w:t xml:space="preserve"> </w:t>
      </w:r>
      <w:r>
        <w:rPr>
          <w:b/>
          <w:bCs/>
        </w:rPr>
        <w:t xml:space="preserve">7</w:t>
      </w:r>
      <w:r>
        <w:t xml:space="preserve">. At the same time that Tobias was being upbraided by his wife, Sara was reproached by one of her father’s maidservants. The city of Sara and Raguel is</w:t>
      </w:r>
      <w:r>
        <w:t xml:space="preserve"> </w:t>
      </w:r>
      <w:r>
        <w:rPr>
          <w:i/>
          <w:iCs/>
        </w:rPr>
        <w:t xml:space="preserve">Ecbatana</w:t>
      </w:r>
      <w:r>
        <w:t xml:space="preserve">, not Rages of Vg</w:t>
      </w:r>
      <w:r>
        <w:rPr>
          <w:rStyle w:val="FootnoteReference"/>
        </w:rPr>
        <w:footnoteReference w:id="62"/>
      </w:r>
      <w:r>
        <w:t xml:space="preserve"> </w:t>
      </w:r>
      <w:r>
        <w:t xml:space="preserve">and DV</w:t>
      </w:r>
      <w:r>
        <w:rPr>
          <w:rStyle w:val="FootnoteReference"/>
        </w:rPr>
        <w:footnoteReference w:id="63"/>
      </w:r>
      <w:r>
        <w:t xml:space="preserve">.</w:t>
      </w:r>
      <w:r>
        <w:t xml:space="preserve"> </w:t>
      </w:r>
      <w:r>
        <w:rPr>
          <w:b/>
          <w:bCs/>
        </w:rPr>
        <w:t xml:space="preserve">8</w:t>
      </w:r>
      <w:r>
        <w:t xml:space="preserve">. This is the first mention of an episode (</w:t>
      </w:r>
      <w:r>
        <w:rPr>
          <w:i/>
          <w:iCs/>
        </w:rPr>
        <w:t xml:space="preserve">cf</w:t>
      </w:r>
      <w:r>
        <w:t xml:space="preserve">. 6:14; 7:11; 8:12) which appears altogether incredible to many authors; some even viewing it as absolutely conclusive evidence that the whole book is a fantastic fairy-tale, with certain borrowings from pagan demonology. A more exhaustive study of the question, however, shows that the evidence for such views is far from conclusive. It should be noted in regard to the derivation of the name Asmodeus, that this is quite adequately explained by the Hebrew root</w:t>
      </w:r>
      <w:r>
        <w:t xml:space="preserve"> </w:t>
      </w:r>
      <w:r>
        <w:rPr>
          <w:i/>
          <w:iCs/>
        </w:rPr>
        <w:t xml:space="preserve">šāmaḏ</w:t>
      </w:r>
      <w:r>
        <w:t xml:space="preserve">, hence</w:t>
      </w:r>
      <w:r>
        <w:t xml:space="preserve"> </w:t>
      </w:r>
      <w:r>
        <w:t xml:space="preserve">‘</w:t>
      </w:r>
      <w:r>
        <w:t xml:space="preserve">the Destroyer</w:t>
      </w:r>
      <w:r>
        <w:t xml:space="preserve">’</w:t>
      </w:r>
      <w:r>
        <w:t xml:space="preserve">. Recourse to Persian derivation,</w:t>
      </w:r>
      <w:r>
        <w:t xml:space="preserve"> </w:t>
      </w:r>
      <w:r>
        <w:rPr>
          <w:i/>
          <w:iCs/>
        </w:rPr>
        <w:t xml:space="preserve">v.g. aešma daēva</w:t>
      </w:r>
      <w:r>
        <w:t xml:space="preserve">, should be had only when the word cannot be explained through Semitic etymology. It should also be noted that the references to Asmodeus in Tobias are quite different from those on the same subject found in later Jewish extrabiblical literature. These fabulous accounts cannot be used in explanation of our book. Moreover, even if a Persian derivation of the name be granted, a dependence of Tobias on Iranian demonology would not be proved. Asmodeus could have been a name commonly in use in Semitic circles for the devil, somewhat as</w:t>
      </w:r>
      <w:r>
        <w:t xml:space="preserve"> </w:t>
      </w:r>
      <w:r>
        <w:rPr>
          <w:i/>
          <w:iCs/>
        </w:rPr>
        <w:t xml:space="preserve">Beelzebub</w:t>
      </w:r>
      <w:r>
        <w:t xml:space="preserve"> </w:t>
      </w:r>
      <w:r>
        <w:t xml:space="preserve">at the time of Christ, and without any doctrinal implications.</w:t>
      </w:r>
    </w:p>
    <w:p>
      <w:pPr>
        <w:pStyle w:val="BodyText"/>
      </w:pPr>
      <w:r>
        <w:rPr>
          <w:b/>
          <w:bCs/>
        </w:rPr>
        <w:t xml:space="preserve">§ f.</w:t>
      </w:r>
      <w:r>
        <w:t xml:space="preserve"> </w:t>
      </w:r>
      <w:r>
        <w:t xml:space="preserve">Nor is there sufficient reason to believe that Sara was a subject of diabolic possession,</w:t>
      </w:r>
      <w:r>
        <w:t xml:space="preserve"> </w:t>
      </w:r>
      <w:r>
        <w:rPr>
          <w:i/>
          <w:iCs/>
        </w:rPr>
        <w:t xml:space="preserve">cf</w:t>
      </w:r>
      <w:r>
        <w:t xml:space="preserve">. 6:15. It has been urged, nevertheless, that it is quite incredible that Sara should have had seven successive husbands, and that all these men should have been killed by Asmodeus at the time of their first marital relations with her. Regarding the number seven, it is recognized Hebrew usage (</w:t>
      </w:r>
      <w:r>
        <w:rPr>
          <w:i/>
          <w:iCs/>
        </w:rPr>
        <w:t xml:space="preserve">cf</w:t>
      </w:r>
      <w:r>
        <w:t xml:space="preserve">. Gen 4:15; Lev 26:28; Deut 28:7; Prov 6:31; Ecclus 35:13; Lk 17:4; etc.) that this number often means</w:t>
      </w:r>
      <w:r>
        <w:t xml:space="preserve"> </w:t>
      </w:r>
      <w:r>
        <w:t xml:space="preserve">‘</w:t>
      </w:r>
      <w:r>
        <w:t xml:space="preserve">several</w:t>
      </w:r>
      <w:r>
        <w:t xml:space="preserve">’</w:t>
      </w:r>
      <w:r>
        <w:t xml:space="preserve">,</w:t>
      </w:r>
      <w:r>
        <w:t xml:space="preserve"> </w:t>
      </w:r>
      <w:r>
        <w:t xml:space="preserve">‘</w:t>
      </w:r>
      <w:r>
        <w:t xml:space="preserve">a number</w:t>
      </w:r>
      <w:r>
        <w:t xml:space="preserve">’</w:t>
      </w:r>
      <w:r>
        <w:t xml:space="preserve">, or that it stands for the perfect number, or fullness, without specific designation. So, Sara could easily have had several husbands, not necessarily seven. But were they all killed at the time of their first relations with her? The text does not indicate this with certainty, either here or elsewhere in the book. True, Vg</w:t>
      </w:r>
      <w:r>
        <w:rPr>
          <w:rStyle w:val="FootnoteReference"/>
        </w:rPr>
        <w:footnoteReference w:id="64"/>
      </w:r>
      <w:r>
        <w:t xml:space="preserve"> </w:t>
      </w:r>
      <w:r>
        <w:t xml:space="preserve">implies it, but the better textual witnesses have simply:</w:t>
      </w:r>
      <w:r>
        <w:t xml:space="preserve"> </w:t>
      </w:r>
      <w:r>
        <w:t xml:space="preserve">‘</w:t>
      </w:r>
      <w:r>
        <w:rPr>
          <w:i/>
          <w:iCs/>
        </w:rPr>
        <w:t xml:space="preserve">before they had been with her as it is appointed for women</w:t>
      </w:r>
      <w:r>
        <w:t xml:space="preserve">’</w:t>
      </w:r>
      <w:r>
        <w:t xml:space="preserve">, hence</w:t>
      </w:r>
      <w:r>
        <w:t xml:space="preserve"> </w:t>
      </w:r>
      <w:r>
        <w:rPr>
          <w:i/>
          <w:iCs/>
        </w:rPr>
        <w:t xml:space="preserve">before</w:t>
      </w:r>
      <w:r>
        <w:t xml:space="preserve"> </w:t>
      </w:r>
      <w:r>
        <w:t xml:space="preserve">marital congress. So, Sara’s husbands were killed by the devil, with God’s permission, before they had intercourse with her, and due to some guilt on their part. Though extraordinary, such an account is not incredible. Some have seen in this text an argument</w:t>
      </w:r>
      <w:r>
        <w:t xml:space="preserve"> </w:t>
      </w:r>
      <w:r>
        <w:rPr>
          <w:b/>
          <w:bCs/>
        </w:rPr>
        <w:t xml:space="preserve">§ g</w:t>
      </w:r>
      <w:r>
        <w:t xml:space="preserve"> </w:t>
      </w:r>
      <w:r>
        <w:t xml:space="preserve">against the sin of Birth Prevention. The argument, based mainly on the assumption that the husbands were killed</w:t>
      </w:r>
      <w:r>
        <w:t xml:space="preserve"> </w:t>
      </w:r>
      <w:r>
        <w:t xml:space="preserve">‘</w:t>
      </w:r>
      <w:r>
        <w:t xml:space="preserve">at their first going in unto her</w:t>
      </w:r>
      <w:r>
        <w:t xml:space="preserve">’</w:t>
      </w:r>
      <w:r>
        <w:t xml:space="preserve">, is not well-founded in the light of the better reading of the text. If the reasons given for the death of the husbands of Sara in Vg</w:t>
      </w:r>
      <w:r>
        <w:rPr>
          <w:rStyle w:val="FootnoteReference"/>
        </w:rPr>
        <w:footnoteReference w:id="65"/>
      </w:r>
      <w:r>
        <w:t xml:space="preserve"> </w:t>
      </w:r>
      <w:r>
        <w:t xml:space="preserve">are authentic (see 6:17; 7:12, 14), one might argue thus,</w:t>
      </w:r>
      <w:r>
        <w:t xml:space="preserve"> </w:t>
      </w:r>
      <w:r>
        <w:rPr>
          <w:i/>
          <w:iCs/>
        </w:rPr>
        <w:t xml:space="preserve">a fortiori</w:t>
      </w:r>
      <w:r>
        <w:t xml:space="preserve">, against the crime of Birth Prevention: since the husbands were punished by God on account of their lustful approach to matrimony, then the abuse of marriage by the direct interference of contraception would deserve even greater punishment.</w:t>
      </w:r>
      <w:r>
        <w:t xml:space="preserve"> </w:t>
      </w:r>
      <w:r>
        <w:rPr>
          <w:b/>
          <w:bCs/>
        </w:rPr>
        <w:t xml:space="preserve">9</w:t>
      </w:r>
      <w:r>
        <w:t xml:space="preserve">. The rejoinder of the servant is bitter and calumnious, for Sara had no guilt in the matter. The accusation,</w:t>
      </w:r>
      <w:r>
        <w:t xml:space="preserve"> </w:t>
      </w:r>
      <w:r>
        <w:t xml:space="preserve">‘</w:t>
      </w:r>
      <w:r>
        <w:t xml:space="preserve">thou murderer of thy husbands</w:t>
      </w:r>
      <w:r>
        <w:t xml:space="preserve">’</w:t>
      </w:r>
      <w:r>
        <w:t xml:space="preserve">, is either a gossip report or a purely mischievous invention of the maid.</w:t>
      </w:r>
    </w:p>
    <w:p>
      <w:pPr>
        <w:pStyle w:val="BodyText"/>
      </w:pPr>
      <w:r>
        <w:rPr>
          <w:b/>
          <w:bCs/>
        </w:rPr>
        <w:t xml:space="preserve">§ h. 10b–23 Sara’s Confidence in God.</w:t>
      </w:r>
      <w:r>
        <w:t xml:space="preserve"> </w:t>
      </w:r>
      <w:r>
        <w:t xml:space="preserve">The bitterness of the accusation, coupled, no doubt, with the memory of the facts, caused Sara to become greatly upset. Her emotions were in turmoil, she wished to be alone, she would neither eat nor drink. It is even likely that the Greek is correct here in its addition,</w:t>
      </w:r>
      <w:r>
        <w:t xml:space="preserve"> </w:t>
      </w:r>
      <w:r>
        <w:t xml:space="preserve">‘</w:t>
      </w:r>
      <w:r>
        <w:t xml:space="preserve">and (she) desired to hang herself</w:t>
      </w:r>
      <w:r>
        <w:t xml:space="preserve">’</w:t>
      </w:r>
      <w:r>
        <w:t xml:space="preserve">, for such a temptation could easily arise under great emotional stress. Sara, however, turned to God for help, and the prayer which follows is a model for those in great affliction. It is more extensive, more reasoned, in Vg</w:t>
      </w:r>
      <w:r>
        <w:rPr>
          <w:rStyle w:val="FootnoteReference"/>
        </w:rPr>
        <w:footnoteReference w:id="66"/>
      </w:r>
      <w:r>
        <w:t xml:space="preserve"> </w:t>
      </w:r>
      <w:r>
        <w:t xml:space="preserve">than in the Greek. The latter seems more primitive.</w:t>
      </w:r>
      <w:r>
        <w:t xml:space="preserve"> </w:t>
      </w:r>
      <w:r>
        <w:rPr>
          <w:b/>
          <w:bCs/>
        </w:rPr>
        <w:t xml:space="preserve">16</w:t>
      </w:r>
      <w:r>
        <w:t xml:space="preserve">. She never desired a husband lustfully.</w:t>
      </w:r>
      <w:r>
        <w:t xml:space="preserve"> </w:t>
      </w:r>
      <w:r>
        <w:rPr>
          <w:b/>
          <w:bCs/>
        </w:rPr>
        <w:t xml:space="preserve">17</w:t>
      </w:r>
      <w:r>
        <w:t xml:space="preserve">.</w:t>
      </w:r>
      <w:r>
        <w:t xml:space="preserve"> </w:t>
      </w:r>
      <w:r>
        <w:t xml:space="preserve">‘</w:t>
      </w:r>
      <w:r>
        <w:t xml:space="preserve">Play</w:t>
      </w:r>
      <w:r>
        <w:t xml:space="preserve">’</w:t>
      </w:r>
      <w:r>
        <w:t xml:space="preserve">, in the sense of sensual levity.</w:t>
      </w:r>
      <w:r>
        <w:t xml:space="preserve"> </w:t>
      </w:r>
      <w:r>
        <w:rPr>
          <w:b/>
          <w:bCs/>
        </w:rPr>
        <w:t xml:space="preserve">19</w:t>
      </w:r>
      <w:r>
        <w:t xml:space="preserve">. See 7:12, 14. The Greek indicates that Sara was the only heir of Raguel.</w:t>
      </w:r>
    </w:p>
    <w:p>
      <w:r>
        <w:br w:type="page"/>
      </w:r>
    </w:p>
    <w:bookmarkEnd w:id="67"/>
    <w:bookmarkStart w:id="79" w:name="a-324423-tobias-instructs-his-son"/>
    <w:p>
      <w:pPr>
        <w:pStyle w:val="Heading2"/>
      </w:pPr>
      <w:r>
        <w:t xml:space="preserve">305A 3:24–4:23 Tobias instructs his Son</w:t>
      </w:r>
    </w:p>
    <w:p>
      <w:pPr>
        <w:pStyle w:val="FirstParagraph"/>
      </w:pPr>
      <w:r>
        <w:rPr>
          <w:b/>
          <w:bCs/>
        </w:rPr>
        <w:t xml:space="preserve">24–25.</w:t>
      </w:r>
      <w:r>
        <w:t xml:space="preserve"> </w:t>
      </w:r>
      <w:r>
        <w:t xml:space="preserve">At</w:t>
      </w:r>
      <w:r>
        <w:t xml:space="preserve"> </w:t>
      </w:r>
      <w:r>
        <w:rPr>
          <w:i/>
          <w:iCs/>
        </w:rPr>
        <w:t xml:space="preserve">about</w:t>
      </w:r>
      <w:r>
        <w:t xml:space="preserve"> </w:t>
      </w:r>
      <w:r>
        <w:t xml:space="preserve">the same time the prayers of Tobias and Sara were heard by God, who sent the Angel Raphael to help them. These two verses act as a sort of summary introduction to the second part of the book, which deals chiefly with the intervention of the Archangel Raphael.</w:t>
      </w:r>
      <w:r>
        <w:t xml:space="preserve"> </w:t>
      </w:r>
      <w:r>
        <w:rPr>
          <w:b/>
          <w:bCs/>
        </w:rPr>
        <w:t xml:space="preserve">4:1</w:t>
      </w:r>
      <w:r>
        <w:t xml:space="preserve">. Tobias senior felt that his prayer (3:6) had been heard and that he would soon die. As a true Israelite (</w:t>
      </w:r>
      <w:r>
        <w:rPr>
          <w:i/>
          <w:iCs/>
        </w:rPr>
        <w:t xml:space="preserve">cf</w:t>
      </w:r>
      <w:r>
        <w:t xml:space="preserve">. Gen 49:1; Deut 33:1; 1 Mac 2:49, etc.) he called his son to give him a father’s parting counsel. His words of paternal advice are exemplary in every way. Vg</w:t>
      </w:r>
      <w:r>
        <w:rPr>
          <w:rStyle w:val="FootnoteReference"/>
        </w:rPr>
        <w:footnoteReference w:id="68"/>
      </w:r>
      <w:r>
        <w:t xml:space="preserve">, again, is freer than the Greek; and this is probably due to St Jerome.</w:t>
      </w:r>
      <w:r>
        <w:t xml:space="preserve"> </w:t>
      </w:r>
      <w:r>
        <w:rPr>
          <w:b/>
          <w:bCs/>
        </w:rPr>
        <w:t xml:space="preserve">6</w:t>
      </w:r>
      <w:r>
        <w:t xml:space="preserve">. Splendid counsel for a young man.</w:t>
      </w:r>
      <w:r>
        <w:t xml:space="preserve"> </w:t>
      </w:r>
      <w:r>
        <w:rPr>
          <w:b/>
          <w:bCs/>
        </w:rPr>
        <w:t xml:space="preserve">7–12</w:t>
      </w:r>
      <w:r>
        <w:t xml:space="preserve">. The truly religious man cannot turn away his face from the poor, and God in turn will look kindly on him. All should help the needy in so far as they can.</w:t>
      </w:r>
      <w:r>
        <w:t xml:space="preserve"> </w:t>
      </w:r>
      <w:r>
        <w:rPr>
          <w:b/>
          <w:bCs/>
        </w:rPr>
        <w:t xml:space="preserve">13</w:t>
      </w:r>
      <w:r>
        <w:t xml:space="preserve">. Tobias junior is instructed to keep from all impurity, and further (Greek)</w:t>
      </w:r>
      <w:r>
        <w:t xml:space="preserve"> </w:t>
      </w:r>
      <w:r>
        <w:t xml:space="preserve">‘</w:t>
      </w:r>
      <w:r>
        <w:t xml:space="preserve">to take first a wife of the seed of thy fathers, take not a strange wife, who is not of the tribe of thy father</w:t>
      </w:r>
      <w:r>
        <w:t xml:space="preserve">’</w:t>
      </w:r>
      <w:r>
        <w:t xml:space="preserve">.</w:t>
      </w:r>
      <w:r>
        <w:t xml:space="preserve"> </w:t>
      </w:r>
      <w:r>
        <w:rPr>
          <w:b/>
          <w:bCs/>
        </w:rPr>
        <w:t xml:space="preserve">14</w:t>
      </w:r>
      <w:r>
        <w:t xml:space="preserve">. The different codices show a variety of readings with regard to the evils of pride. Vg</w:t>
      </w:r>
      <w:r>
        <w:rPr>
          <w:rStyle w:val="FootnoteReference"/>
        </w:rPr>
        <w:footnoteReference w:id="69"/>
      </w:r>
      <w:r>
        <w:t xml:space="preserve"> </w:t>
      </w:r>
      <w:r>
        <w:t xml:space="preserve">and DV</w:t>
      </w:r>
      <w:r>
        <w:rPr>
          <w:rStyle w:val="FootnoteReference"/>
        </w:rPr>
        <w:footnoteReference w:id="70"/>
      </w:r>
      <w:r>
        <w:t xml:space="preserve"> </w:t>
      </w:r>
      <w:r>
        <w:t xml:space="preserve">give a sufficiently adequate summary of the sense of the passage.</w:t>
      </w:r>
      <w:r>
        <w:t xml:space="preserve"> </w:t>
      </w:r>
      <w:r>
        <w:rPr>
          <w:b/>
          <w:bCs/>
        </w:rPr>
        <w:t xml:space="preserve">16</w:t>
      </w:r>
      <w:r>
        <w:t xml:space="preserve">. This verse states negatively what our Lord later prescribed in positive form as the teaching of the Law and the Prophets,</w:t>
      </w:r>
      <w:r>
        <w:t xml:space="preserve"> </w:t>
      </w:r>
      <w:r>
        <w:rPr>
          <w:i/>
          <w:iCs/>
        </w:rPr>
        <w:t xml:space="preserve">cf</w:t>
      </w:r>
      <w:r>
        <w:t xml:space="preserve">. Mt 7:12. It is also the equivalent of the Saviour’s command:</w:t>
      </w:r>
      <w:r>
        <w:t xml:space="preserve"> </w:t>
      </w:r>
      <w:r>
        <w:t xml:space="preserve">‘</w:t>
      </w:r>
      <w:r>
        <w:t xml:space="preserve">Thou shalt love thy neighbour as thyself</w:t>
      </w:r>
      <w:r>
        <w:t xml:space="preserve">’</w:t>
      </w:r>
      <w:r>
        <w:t xml:space="preserve">, Mt 22:39, from Lev 19:18.</w:t>
      </w:r>
    </w:p>
    <w:p>
      <w:pPr>
        <w:pStyle w:val="BodyText"/>
      </w:pPr>
      <w:r>
        <w:rPr>
          <w:b/>
          <w:bCs/>
        </w:rPr>
        <w:t xml:space="preserve">§ b.</w:t>
      </w:r>
      <w:r>
        <w:t xml:space="preserve"> </w:t>
      </w:r>
      <w:r>
        <w:rPr>
          <w:b/>
          <w:bCs/>
        </w:rPr>
        <w:t xml:space="preserve">18</w:t>
      </w:r>
      <w:r>
        <w:t xml:space="preserve">. The unusual character of this verse, which in the Greek reads:</w:t>
      </w:r>
      <w:r>
        <w:t xml:space="preserve"> </w:t>
      </w:r>
      <w:r>
        <w:t xml:space="preserve">‘</w:t>
      </w:r>
      <w:r>
        <w:t xml:space="preserve">Pour out thy bread and wine on the tomb of the just …</w:t>
      </w:r>
      <w:r>
        <w:t xml:space="preserve">’</w:t>
      </w:r>
      <w:r>
        <w:t xml:space="preserve">, has given rise to much speculation. Some have at once jumped to the conclusion that this is a reference to sacrifice to the dead, or ancestor worship, or to pagan funeral rites. There is absolutely no evidence for this view. In fact it is incredible and incompatible with the context, that a pious Hebrew parent who thought he was about to die should recommend such practices to his son. Practices and rites of this nature were common amongst the gentiles, but were forbidden by the Law and altogether abhorrent to the fervent Israelite. The same holds for the rather common pagan practice of burying food with the dead or leaving it in their tombs, presumably for their needs in the after-life. On account of the difficulties involved, some authors recommend an emendation of the text: as if some scribe had written in Hebrew</w:t>
      </w:r>
      <w:r>
        <w:t xml:space="preserve"> </w:t>
      </w:r>
      <w:r>
        <w:t xml:space="preserve">‘</w:t>
      </w:r>
      <w:r>
        <w:t xml:space="preserve">tomb</w:t>
      </w:r>
      <w:r>
        <w:t xml:space="preserve">’</w:t>
      </w:r>
      <w:r>
        <w:t xml:space="preserve"> </w:t>
      </w:r>
      <w:r>
        <w:t xml:space="preserve">or</w:t>
      </w:r>
      <w:r>
        <w:t xml:space="preserve"> </w:t>
      </w:r>
      <w:r>
        <w:t xml:space="preserve">‘</w:t>
      </w:r>
      <w:r>
        <w:t xml:space="preserve">burial</w:t>
      </w:r>
      <w:r>
        <w:t xml:space="preserve">’</w:t>
      </w:r>
      <w:r>
        <w:t xml:space="preserve"> </w:t>
      </w:r>
      <w:r>
        <w:t xml:space="preserve">for</w:t>
      </w:r>
      <w:r>
        <w:t xml:space="preserve"> </w:t>
      </w:r>
      <w:r>
        <w:t xml:space="preserve">‘</w:t>
      </w:r>
      <w:r>
        <w:t xml:space="preserve">in the midst of</w:t>
      </w:r>
      <w:r>
        <w:t xml:space="preserve">’</w:t>
      </w:r>
      <w:r>
        <w:t xml:space="preserve">; or</w:t>
      </w:r>
      <w:r>
        <w:t xml:space="preserve"> </w:t>
      </w:r>
      <w:r>
        <w:t xml:space="preserve">‘</w:t>
      </w:r>
      <w:r>
        <w:t xml:space="preserve">bread</w:t>
      </w:r>
      <w:r>
        <w:t xml:space="preserve">’</w:t>
      </w:r>
      <w:r>
        <w:t xml:space="preserve"> </w:t>
      </w:r>
      <w:r>
        <w:t xml:space="preserve">in place of</w:t>
      </w:r>
      <w:r>
        <w:t xml:space="preserve"> </w:t>
      </w:r>
      <w:r>
        <w:t xml:space="preserve">‘</w:t>
      </w:r>
      <w:r>
        <w:t xml:space="preserve">mercy</w:t>
      </w:r>
      <w:r>
        <w:t xml:space="preserve">’</w:t>
      </w:r>
      <w:r>
        <w:t xml:space="preserve">. These textual corrections do solve the difficulties fairly well, but they are not sufficiently supported by the evidence to be admitted. Many older commentators suggested that the reference was to the practice of bringing food to the cemeteries as a sort of alms on behalf of the dead, the food being distributed to the surviving relatives or to the poor. It cannot be proven, however, that this practice was in use in OT times.</w:t>
      </w:r>
    </w:p>
    <w:p>
      <w:pPr>
        <w:pStyle w:val="BodyText"/>
      </w:pPr>
      <w:r>
        <w:rPr>
          <w:b/>
          <w:bCs/>
        </w:rPr>
        <w:t xml:space="preserve">§ c.</w:t>
      </w:r>
      <w:r>
        <w:t xml:space="preserve"> </w:t>
      </w:r>
      <w:r>
        <w:t xml:space="preserve">A much better proposal is the one which considers this verse as a recommendation to take part, according to custom, in the so-called</w:t>
      </w:r>
      <w:r>
        <w:t xml:space="preserve"> </w:t>
      </w:r>
      <w:r>
        <w:t xml:space="preserve">‘</w:t>
      </w:r>
      <w:r>
        <w:t xml:space="preserve">death banquets</w:t>
      </w:r>
      <w:r>
        <w:t xml:space="preserve">’</w:t>
      </w:r>
      <w:r>
        <w:t xml:space="preserve"> </w:t>
      </w:r>
      <w:r>
        <w:t xml:space="preserve">or funeral feasts, held as a means of dispensing consolation to the mourners at the funeral, somewhat after the fashion of the modern wake. The further recommendation of Tobias</w:t>
      </w:r>
      <w:r>
        <w:t xml:space="preserve"> </w:t>
      </w:r>
      <w:r>
        <w:t xml:space="preserve">‘</w:t>
      </w:r>
      <w:r>
        <w:t xml:space="preserve">do not eat and drink thereof with sinners</w:t>
      </w:r>
      <w:r>
        <w:t xml:space="preserve">’</w:t>
      </w:r>
      <w:r>
        <w:t xml:space="preserve">, fits in well with this explanation. Then the youth, Tobias, would be instructed not to fraternize with the gentiles in their funeral feasts. There is good evidence that such customs did exist among the Hebrews, see Jer 16:7; Ez 24:17; also Josephus,</w:t>
      </w:r>
      <w:r>
        <w:t xml:space="preserve"> </w:t>
      </w:r>
      <w:r>
        <w:rPr>
          <w:i/>
          <w:iCs/>
        </w:rPr>
        <w:t xml:space="preserve">Bell. Jud</w:t>
      </w:r>
      <w:r>
        <w:t xml:space="preserve">. 2, 1, 1. As for the alleged connexion between this verse and the Achikar story (</w:t>
      </w:r>
      <w:r>
        <w:rPr>
          <w:i/>
          <w:iCs/>
        </w:rPr>
        <w:t xml:space="preserve">cf</w:t>
      </w:r>
      <w:r>
        <w:t xml:space="preserve">. § 301</w:t>
      </w:r>
      <w:r>
        <w:rPr>
          <w:i/>
          <w:iCs/>
        </w:rPr>
        <w:t xml:space="preserve">h–i</w:t>
      </w:r>
      <w:r>
        <w:t xml:space="preserve">) the evidence is very tenuous. It should be noted, too, that any evidence there is depends on a general similarity between our verse and a passage found in the later, but not in the earlier, forms of the Achikar story.</w:t>
      </w:r>
      <w:r>
        <w:t xml:space="preserve"> </w:t>
      </w:r>
      <w:r>
        <w:rPr>
          <w:b/>
          <w:bCs/>
        </w:rPr>
        <w:t xml:space="preserve">21–23</w:t>
      </w:r>
      <w:r>
        <w:t xml:space="preserve">. This piece follows easily on the preceding section. The father, after having given several spiritual counsels, now thinks of the temporal care of his son and widow,</w:t>
      </w:r>
      <w:r>
        <w:t xml:space="preserve"> </w:t>
      </w:r>
      <w:r>
        <w:rPr>
          <w:i/>
          <w:iCs/>
        </w:rPr>
        <w:t xml:space="preserve">cf</w:t>
      </w:r>
      <w:r>
        <w:t xml:space="preserve">. 1:16. He concludes his recommendations with a fitting exhortation to serve God faithfully above all things.</w:t>
      </w:r>
    </w:p>
    <w:p>
      <w:pPr>
        <w:pStyle w:val="BodyText"/>
      </w:pPr>
      <w:r>
        <w:rPr>
          <w:b/>
          <w:bCs/>
        </w:rPr>
        <w:t xml:space="preserve">§ d.</w:t>
      </w:r>
      <w:r>
        <w:t xml:space="preserve"> </w:t>
      </w:r>
      <w:r>
        <w:rPr>
          <w:b/>
          <w:bCs/>
        </w:rPr>
        <w:t xml:space="preserve">5:1–9 Tobias meets the Archangel Raphael–1–2</w:t>
      </w:r>
      <w:r>
        <w:t xml:space="preserve">. Tobias junior is quite ready to obey, but he foresees two difficulties: he is unknown to Gabelus, and he is ignorant of the way leading to Rages of Media. Tobias senior gives a satisfactory answer to both objections.</w:t>
      </w:r>
      <w:r>
        <w:t xml:space="preserve"> </w:t>
      </w:r>
      <w:r>
        <w:rPr>
          <w:b/>
          <w:bCs/>
        </w:rPr>
        <w:t xml:space="preserve">5</w:t>
      </w:r>
      <w:r>
        <w:t xml:space="preserve">. The Angel had taken human form in order to carry out the mission given to him by God. The description of the Angel here is found only in Vg</w:t>
      </w:r>
      <w:r>
        <w:rPr>
          <w:rStyle w:val="FootnoteReference"/>
        </w:rPr>
        <w:footnoteReference w:id="71"/>
      </w:r>
      <w:r>
        <w:t xml:space="preserve">.</w:t>
      </w:r>
    </w:p>
    <w:p>
      <w:pPr>
        <w:pStyle w:val="BodyText"/>
      </w:pPr>
      <w:r>
        <w:rPr>
          <w:b/>
          <w:bCs/>
        </w:rPr>
        <w:t xml:space="preserve">§ e.</w:t>
      </w:r>
      <w:r>
        <w:t xml:space="preserve"> </w:t>
      </w:r>
      <w:r>
        <w:rPr>
          <w:b/>
          <w:bCs/>
        </w:rPr>
        <w:t xml:space="preserve">10–22. They set out on their Journey–16</w:t>
      </w:r>
      <w:r>
        <w:t xml:space="preserve">. The prudent father wishes to know something more of the stranger before committing his son to his care.</w:t>
      </w:r>
      <w:r>
        <w:t xml:space="preserve"> </w:t>
      </w:r>
      <w:r>
        <w:rPr>
          <w:b/>
          <w:bCs/>
        </w:rPr>
        <w:t xml:space="preserve">18</w:t>
      </w:r>
      <w:r>
        <w:t xml:space="preserve">. Some have wondered that the Angel should apparently tell a lie. In reality there is no question of a lie. The heavenly messenger had every right to conceal the truth of his identity, which he does by playing on the Hebrew names</w:t>
      </w:r>
      <w:r>
        <w:t xml:space="preserve"> </w:t>
      </w:r>
      <w:r>
        <w:t xml:space="preserve">‘</w:t>
      </w:r>
      <w:r>
        <w:t xml:space="preserve">Azarias</w:t>
      </w:r>
      <w:r>
        <w:t xml:space="preserve">’</w:t>
      </w:r>
      <w:r>
        <w:t xml:space="preserve"> </w:t>
      </w:r>
      <w:r>
        <w:t xml:space="preserve">(Heb.</w:t>
      </w:r>
      <w:r>
        <w:t xml:space="preserve"> </w:t>
      </w:r>
      <w:r>
        <w:t xml:space="preserve">‘</w:t>
      </w:r>
      <w:r>
        <w:t xml:space="preserve">The Lord has given aid</w:t>
      </w:r>
      <w:r>
        <w:t xml:space="preserve">’</w:t>
      </w:r>
      <w:r>
        <w:t xml:space="preserve">) and</w:t>
      </w:r>
      <w:r>
        <w:t xml:space="preserve"> </w:t>
      </w:r>
      <w:r>
        <w:t xml:space="preserve">‘</w:t>
      </w:r>
      <w:r>
        <w:t xml:space="preserve">Ananias</w:t>
      </w:r>
      <w:r>
        <w:t xml:space="preserve">’</w:t>
      </w:r>
      <w:r>
        <w:t xml:space="preserve"> </w:t>
      </w:r>
      <w:r>
        <w:t xml:space="preserve">(Heb.</w:t>
      </w:r>
      <w:r>
        <w:t xml:space="preserve"> </w:t>
      </w:r>
      <w:r>
        <w:t xml:space="preserve">‘</w:t>
      </w:r>
      <w:r>
        <w:t xml:space="preserve">The Lord is clement</w:t>
      </w:r>
      <w:r>
        <w:t xml:space="preserve">’</w:t>
      </w:r>
      <w:r>
        <w:t xml:space="preserve">), which truthfully describe his particular mission. Admittedly, there is always something mysterious from our viewpoint about the appearances in human form of the Angels, as they are described in Sacred Scripture. Such phenomena have no analogy in the natural order, and so, human terminology is usually inadequate to describe them. In this case it could well be that the Angel is expressing, by approximation, a twofold reality: his angelic nature and his appearance in human form. Thus when he says that he is</w:t>
      </w:r>
      <w:r>
        <w:t xml:space="preserve"> </w:t>
      </w:r>
      <w:r>
        <w:t xml:space="preserve">‘</w:t>
      </w:r>
      <w:r>
        <w:t xml:space="preserve">of the children of Israel</w:t>
      </w:r>
      <w:r>
        <w:t xml:space="preserve">’</w:t>
      </w:r>
      <w:r>
        <w:t xml:space="preserve"> </w:t>
      </w:r>
      <w:r>
        <w:t xml:space="preserve">(5:7), and that he is a</w:t>
      </w:r>
      <w:r>
        <w:t xml:space="preserve"> </w:t>
      </w:r>
      <w:r>
        <w:t xml:space="preserve">‘</w:t>
      </w:r>
      <w:r>
        <w:t xml:space="preserve">kinsman</w:t>
      </w:r>
      <w:r>
        <w:t xml:space="preserve">’</w:t>
      </w:r>
      <w:r>
        <w:t xml:space="preserve"> </w:t>
      </w:r>
      <w:r>
        <w:t xml:space="preserve">of Tobias senior (5:14, Gk) he means:</w:t>
      </w:r>
      <w:r>
        <w:t xml:space="preserve"> </w:t>
      </w:r>
      <w:r>
        <w:t xml:space="preserve">‘</w:t>
      </w:r>
      <w:r>
        <w:t xml:space="preserve">I, though an angel of God, have taken, at God’s command, the human form of the individual Israelite Azarias</w:t>
      </w:r>
      <w:r>
        <w:t xml:space="preserve">’</w:t>
      </w:r>
      <w:r>
        <w:t xml:space="preserve">. The language is vague and involved, but it is not false. That Tobias senior was deceived does not enter into the question of the veracity of the Angel’s statement. He had no obligation to make known his full identity.</w:t>
      </w:r>
      <w:r>
        <w:t xml:space="preserve"> </w:t>
      </w:r>
      <w:r>
        <w:rPr>
          <w:b/>
          <w:bCs/>
        </w:rPr>
        <w:t xml:space="preserve">19</w:t>
      </w:r>
      <w:r>
        <w:t xml:space="preserve">. At this stage Vg</w:t>
      </w:r>
      <w:r>
        <w:rPr>
          <w:rStyle w:val="FootnoteReference"/>
        </w:rPr>
        <w:footnoteReference w:id="72"/>
      </w:r>
      <w:r>
        <w:t xml:space="preserve"> </w:t>
      </w:r>
      <w:r>
        <w:t xml:space="preserve">is briefer than the other forms of the text, which add various details: Tobias senior remarks that he knew</w:t>
      </w:r>
      <w:r>
        <w:t xml:space="preserve"> </w:t>
      </w:r>
      <w:r>
        <w:t xml:space="preserve">‘</w:t>
      </w:r>
      <w:r>
        <w:t xml:space="preserve">Ananias and Nathan, the two sons of Semelias the great</w:t>
      </w:r>
      <w:r>
        <w:t xml:space="preserve">’</w:t>
      </w:r>
      <w:r>
        <w:t xml:space="preserve">; he offers the Angel</w:t>
      </w:r>
      <w:r>
        <w:t xml:space="preserve"> </w:t>
      </w:r>
      <w:r>
        <w:t xml:space="preserve">‘</w:t>
      </w:r>
      <w:r>
        <w:t xml:space="preserve">a drachma a day as wages</w:t>
      </w:r>
      <w:r>
        <w:t xml:space="preserve">’</w:t>
      </w:r>
      <w:r>
        <w:t xml:space="preserve">, etc.</w:t>
      </w:r>
      <w:r>
        <w:t xml:space="preserve"> </w:t>
      </w:r>
      <w:r>
        <w:rPr>
          <w:b/>
          <w:bCs/>
        </w:rPr>
        <w:t xml:space="preserve">21</w:t>
      </w:r>
      <w:r>
        <w:t xml:space="preserve">. A typically Israelitic farewell.</w:t>
      </w:r>
      <w:r>
        <w:t xml:space="preserve"> </w:t>
      </w:r>
      <w:r>
        <w:t xml:space="preserve">‘</w:t>
      </w:r>
      <w:r>
        <w:t xml:space="preserve">His angel accompany you</w:t>
      </w:r>
      <w:r>
        <w:t xml:space="preserve">’</w:t>
      </w:r>
      <w:r>
        <w:t xml:space="preserve">, is particularly apt in the circumstances, although the father did not realize the full implication of his words.</w:t>
      </w:r>
    </w:p>
    <w:p>
      <w:pPr>
        <w:pStyle w:val="BodyText"/>
      </w:pPr>
      <w:r>
        <w:rPr>
          <w:b/>
          <w:bCs/>
        </w:rPr>
        <w:t xml:space="preserve">§ f.</w:t>
      </w:r>
      <w:r>
        <w:t xml:space="preserve"> </w:t>
      </w:r>
      <w:r>
        <w:rPr>
          <w:b/>
          <w:bCs/>
        </w:rPr>
        <w:t xml:space="preserve">23–28 A Mother’s Tears–23</w:t>
      </w:r>
      <w:r>
        <w:t xml:space="preserve">. Anna, the mother, as mothers do, wept at the departure of her son on a long journey to a far country.</w:t>
      </w:r>
      <w:r>
        <w:t xml:space="preserve"> </w:t>
      </w:r>
      <w:r>
        <w:rPr>
          <w:b/>
          <w:bCs/>
        </w:rPr>
        <w:t xml:space="preserve">24</w:t>
      </w:r>
      <w:r>
        <w:t xml:space="preserve">. She was much more ready to give up the money than to lose her son. The Greek is more pointed:</w:t>
      </w:r>
      <w:r>
        <w:t xml:space="preserve"> </w:t>
      </w:r>
      <w:r>
        <w:t xml:space="preserve">‘</w:t>
      </w:r>
      <w:r>
        <w:t xml:space="preserve">let the money perish, rather than our son</w:t>
      </w:r>
      <w:r>
        <w:t xml:space="preserve">’</w:t>
      </w:r>
      <w:r>
        <w:t xml:space="preserve">.</w:t>
      </w:r>
      <w:r>
        <w:t xml:space="preserve"> </w:t>
      </w:r>
      <w:r>
        <w:rPr>
          <w:b/>
          <w:bCs/>
        </w:rPr>
        <w:t xml:space="preserve">26–27</w:t>
      </w:r>
      <w:r>
        <w:t xml:space="preserve">. The father, more confident, offers a good reason for his assurance. His words, once again, were more filled with meaning than he knew.</w:t>
      </w:r>
    </w:p>
    <w:p>
      <w:pPr>
        <w:pStyle w:val="BodyText"/>
      </w:pPr>
      <w:r>
        <w:rPr>
          <w:b/>
          <w:bCs/>
        </w:rPr>
        <w:t xml:space="preserve">§ g.</w:t>
      </w:r>
      <w:r>
        <w:t xml:space="preserve"> </w:t>
      </w:r>
      <w:r>
        <w:rPr>
          <w:b/>
          <w:bCs/>
        </w:rPr>
        <w:t xml:space="preserve">6:1–9 Tobias’ Adventure with the Fish–1</w:t>
      </w:r>
      <w:r>
        <w:t xml:space="preserve">. The reference to the dog adds a note of simple authenticity to the narrative. The author of our book has been accused of being ignorant of his geography: Nineveh, the city of Tobias, was situated on the river Tigris, and now, after a full day’s journey they reach this river. However, the text does not say that, but only</w:t>
      </w:r>
      <w:r>
        <w:t xml:space="preserve"> </w:t>
      </w:r>
      <w:r>
        <w:t xml:space="preserve">‘</w:t>
      </w:r>
      <w:r>
        <w:t xml:space="preserve">they lodged by the river Tigris the first night</w:t>
      </w:r>
      <w:r>
        <w:t xml:space="preserve">’</w:t>
      </w:r>
      <w:r>
        <w:t xml:space="preserve">. In other words, Tobias and the Angel, after a day’s walking along the river valley, rested the first night by the river.</w:t>
      </w:r>
      <w:r>
        <w:t xml:space="preserve"> </w:t>
      </w:r>
      <w:r>
        <w:rPr>
          <w:b/>
          <w:bCs/>
        </w:rPr>
        <w:t xml:space="preserve">2–4</w:t>
      </w:r>
      <w:r>
        <w:t xml:space="preserve">. It is possible to view this passage as altogether miraculous and to explain all the details as so many different miracles. Still, miracles are not to be multiplied without necessity, and the text does not demand a miracle in every detail. First of all, the extant forms of the text, although in agreement about the substance of the event, vary considerably regarding the details. In some, the fish is not qualified by any adjective such as</w:t>
      </w:r>
      <w:r>
        <w:t xml:space="preserve"> </w:t>
      </w:r>
      <w:r>
        <w:t xml:space="preserve">‘</w:t>
      </w:r>
      <w:r>
        <w:t xml:space="preserve">monstrous</w:t>
      </w:r>
      <w:r>
        <w:t xml:space="preserve">’</w:t>
      </w:r>
      <w:r>
        <w:t xml:space="preserve"> </w:t>
      </w:r>
      <w:r>
        <w:t xml:space="preserve">as in Vg</w:t>
      </w:r>
      <w:r>
        <w:rPr>
          <w:rStyle w:val="FootnoteReference"/>
        </w:rPr>
        <w:footnoteReference w:id="73"/>
      </w:r>
      <w:r>
        <w:t xml:space="preserve"> </w:t>
      </w:r>
      <w:r>
        <w:t xml:space="preserve">and DV</w:t>
      </w:r>
      <w:r>
        <w:rPr>
          <w:rStyle w:val="FootnoteReference"/>
        </w:rPr>
        <w:footnoteReference w:id="74"/>
      </w:r>
      <w:r>
        <w:t xml:space="preserve">. In one form, at least, the fish attacks the youth’s foot; in another, the fish tries to devour the youth’s bread. It is a question of what exactly in these accounts should be retained as primitive. It would seem quite probable that the integrity of the text is adequately preserved as follows:</w:t>
      </w:r>
      <w:r>
        <w:t xml:space="preserve"> </w:t>
      </w:r>
      <w:r>
        <w:t xml:space="preserve">‘</w:t>
      </w:r>
      <w:r>
        <w:rPr>
          <w:i/>
          <w:iCs/>
        </w:rPr>
        <w:t xml:space="preserve">and the youth went down to wash himself (’his feet’?) and a fish leaped out of the river seeking to devour the youth</w:t>
      </w:r>
      <w:r>
        <w:t xml:space="preserve">’</w:t>
      </w:r>
      <w:r>
        <w:t xml:space="preserve">. There is no need to presume that the fish was capable of swallowing the youth; it is sufficient to, see here the snapping attack of some large river fish (some think a species of pike) which would easily frighten the youth by its suddenness and ferocity. Most forms of the text then have the Angel simply telling the youth to seize the fish, which he does, hauling it up on land.</w:t>
      </w:r>
    </w:p>
    <w:p>
      <w:pPr>
        <w:pStyle w:val="BodyText"/>
      </w:pPr>
      <w:r>
        <w:rPr>
          <w:b/>
          <w:bCs/>
        </w:rPr>
        <w:t xml:space="preserve">§ h.</w:t>
      </w:r>
      <w:r>
        <w:t xml:space="preserve"> </w:t>
      </w:r>
      <w:r>
        <w:rPr>
          <w:b/>
          <w:bCs/>
        </w:rPr>
        <w:t xml:space="preserve">5</w:t>
      </w:r>
      <w:r>
        <w:t xml:space="preserve">. The internal organs of certain species of fish are still considered valuable medicaments.</w:t>
      </w:r>
      <w:r>
        <w:t xml:space="preserve"> </w:t>
      </w:r>
      <w:r>
        <w:rPr>
          <w:b/>
          <w:bCs/>
        </w:rPr>
        <w:t xml:space="preserve">6</w:t>
      </w:r>
      <w:r>
        <w:t xml:space="preserve">.</w:t>
      </w:r>
      <w:r>
        <w:t xml:space="preserve"> </w:t>
      </w:r>
      <w:r>
        <w:t xml:space="preserve">‘</w:t>
      </w:r>
      <w:r>
        <w:rPr>
          <w:i/>
          <w:iCs/>
        </w:rPr>
        <w:t xml:space="preserve">The youth did as the Angel told him, and having roasted the fish they ate it. And they journeyed both of them together until they came to Ecbatana</w:t>
      </w:r>
      <w:r>
        <w:t xml:space="preserve">’</w:t>
      </w:r>
      <w:r>
        <w:t xml:space="preserve">.</w:t>
      </w:r>
      <w:r>
        <w:t xml:space="preserve"> </w:t>
      </w:r>
      <w:r>
        <w:rPr>
          <w:b/>
          <w:bCs/>
        </w:rPr>
        <w:t xml:space="preserve">8</w:t>
      </w:r>
      <w:r>
        <w:t xml:space="preserve">. It is clear that burning parts of the fish could have no direct physical effect on incorporeal demons. The effect actually produced on Asmodeus, 8:3, is due to the power of God and his Angel. However, there is nothing against viewing this effect as produced in connexion with some religious symbolism attached to the action. The effect would then be attained indirectly through the material object, much as the effect of sacramentals approved by the Church–holy water, the sign of the cross, etc. In Vg</w:t>
      </w:r>
      <w:r>
        <w:rPr>
          <w:rStyle w:val="FootnoteReference"/>
        </w:rPr>
        <w:footnoteReference w:id="75"/>
      </w:r>
      <w:r>
        <w:t xml:space="preserve"> </w:t>
      </w:r>
      <w:r>
        <w:t xml:space="preserve">the heart of the fish is mentioned in this verse, and the liver in 6:19 and 8:2. Other forms of the text mention both the heart and the liver in all three passages. The omission of one or the other word in Vg</w:t>
      </w:r>
      <w:r>
        <w:rPr>
          <w:rStyle w:val="FootnoteReference"/>
        </w:rPr>
        <w:footnoteReference w:id="76"/>
      </w:r>
      <w:r>
        <w:t xml:space="preserve"> </w:t>
      </w:r>
      <w:r>
        <w:t xml:space="preserve">derives, perhaps, from the custom of classing heart and liver together; so, if one only is mentioned the other is to be presumed.</w:t>
      </w:r>
    </w:p>
    <w:p>
      <w:pPr>
        <w:pStyle w:val="BodyText"/>
      </w:pPr>
      <w:r>
        <w:rPr>
          <w:b/>
          <w:bCs/>
        </w:rPr>
        <w:t xml:space="preserve">§ i.</w:t>
      </w:r>
      <w:r>
        <w:t xml:space="preserve"> </w:t>
      </w:r>
      <w:r>
        <w:rPr>
          <w:b/>
          <w:bCs/>
        </w:rPr>
        <w:t xml:space="preserve">9</w:t>
      </w:r>
      <w:r>
        <w:t xml:space="preserve">. Many older Catholic commentators considered the cure of Tobias’ blindness, through the application of the gall of the fish, a natural process. The gall of various species of fish was considered in antiquity to have valuable curative powers in diseases and irritations of the eyes. Ointments made of this substance were highly prized for their stimulating and cleansing properties. Hence, the effect of the application of the gall (11:13 ff.) may have been a purely natural one, produced by a natural agent. However, the author of the book in his whole context seems to attribute the effect to God’s intervention on behalf of Tobias,</w:t>
      </w:r>
      <w:r>
        <w:t xml:space="preserve"> </w:t>
      </w:r>
      <w:r>
        <w:rPr>
          <w:i/>
          <w:iCs/>
        </w:rPr>
        <w:t xml:space="preserve">cf</w:t>
      </w:r>
      <w:r>
        <w:t xml:space="preserve">. 12:14, even though he does not say precisely whether the healing was miraculous or natural. It would be well to bear in mind that it is an angel who prescribes a remedy apparently unknown to Tobias, and that the particular material used is an instrument for the operation of the power of God. This incident recalls the cure of the blind man by our Lord, Jn 9:6.</w:t>
      </w:r>
    </w:p>
    <w:p>
      <w:pPr>
        <w:pStyle w:val="BodyText"/>
      </w:pPr>
      <w:r>
        <w:rPr>
          <w:b/>
          <w:bCs/>
        </w:rPr>
        <w:t xml:space="preserve">§ j.</w:t>
      </w:r>
      <w:r>
        <w:t xml:space="preserve"> </w:t>
      </w:r>
      <w:r>
        <w:rPr>
          <w:b/>
          <w:bCs/>
        </w:rPr>
        <w:t xml:space="preserve">10–22 The Angel counsels Marriage with Sara–10–13</w:t>
      </w:r>
      <w:r>
        <w:t xml:space="preserve">. Sara, the sole heir to the property and wealth of her parents, was obliged to marry one of her own tribe, Num 36:6 ff. Since Tobias, as it appears, was the only one who fulfilled this requirement, he alone was a suitable husband for Sara. The purpose of the Law was to keep tribal and family possessions from passing to strangers. For this reason, then, the Angel recommends marriage with Sara.</w:t>
      </w:r>
      <w:r>
        <w:t xml:space="preserve"> </w:t>
      </w:r>
      <w:r>
        <w:rPr>
          <w:b/>
          <w:bCs/>
        </w:rPr>
        <w:t xml:space="preserve">14</w:t>
      </w:r>
      <w:r>
        <w:t xml:space="preserve">. See above, 3:7. Note that Tobias’ objection is based on hearsay evidence and is not a statement of the author of the book.</w:t>
      </w:r>
      <w:r>
        <w:t xml:space="preserve"> </w:t>
      </w:r>
      <w:r>
        <w:rPr>
          <w:b/>
          <w:bCs/>
        </w:rPr>
        <w:t xml:space="preserve">15</w:t>
      </w:r>
      <w:r>
        <w:t xml:space="preserve">. The Vatican Codex and the Old Latin and Syriac Versions are the principal witnesses to an odd addition to this verse: they give as the reason why the devil killed the seven husbands,</w:t>
      </w:r>
      <w:r>
        <w:t xml:space="preserve"> </w:t>
      </w:r>
      <w:r>
        <w:t xml:space="preserve">‘</w:t>
      </w:r>
      <w:r>
        <w:t xml:space="preserve">because a devil loves (or ’is fond of</w:t>
      </w:r>
      <w:r>
        <w:t xml:space="preserve">’</w:t>
      </w:r>
      <w:r>
        <w:t xml:space="preserve">) her’. Even with these witnesses the authenticity of the addition may be questioned. If the statement is genuine, it should not be attributed to the sacred author, since it forms part of the hearsay popular opinion quoted by Tobias. Nor, on the same presumption, would it follow that the devil sought Sara with a carnal love, for at least in the Greek the verb used ordinarily indicates</w:t>
      </w:r>
      <w:r>
        <w:t xml:space="preserve"> </w:t>
      </w:r>
      <w:r>
        <w:t xml:space="preserve">‘</w:t>
      </w:r>
      <w:r>
        <w:t xml:space="preserve">to like</w:t>
      </w:r>
      <w:r>
        <w:t xml:space="preserve">’</w:t>
      </w:r>
      <w:r>
        <w:t xml:space="preserve"> </w:t>
      </w:r>
      <w:r>
        <w:t xml:space="preserve">or</w:t>
      </w:r>
      <w:r>
        <w:t xml:space="preserve"> </w:t>
      </w:r>
      <w:r>
        <w:t xml:space="preserve">‘</w:t>
      </w:r>
      <w:r>
        <w:t xml:space="preserve">to cherish</w:t>
      </w:r>
      <w:r>
        <w:t xml:space="preserve">’</w:t>
      </w:r>
      <w:r>
        <w:t xml:space="preserve">.</w:t>
      </w:r>
    </w:p>
    <w:p>
      <w:pPr>
        <w:pStyle w:val="BodyText"/>
      </w:pPr>
      <w:r>
        <w:rPr>
          <w:b/>
          <w:bCs/>
        </w:rPr>
        <w:t xml:space="preserve">§ k.</w:t>
      </w:r>
      <w:r>
        <w:t xml:space="preserve"> </w:t>
      </w:r>
      <w:r>
        <w:rPr>
          <w:b/>
          <w:bCs/>
        </w:rPr>
        <w:t xml:space="preserve">17</w:t>
      </w:r>
      <w:r>
        <w:t xml:space="preserve">. Although the doctrine in this verse, so beautifully as well as realistically expressed, is both beyond question and in agreement with Jewish ideas on the sanctity of marriage, it can hardly be proved that the verse as it stands is authentic. Since it is found only in Vg</w:t>
      </w:r>
      <w:r>
        <w:rPr>
          <w:rStyle w:val="FootnoteReference"/>
        </w:rPr>
        <w:footnoteReference w:id="77"/>
      </w:r>
      <w:r>
        <w:t xml:space="preserve"> </w:t>
      </w:r>
      <w:r>
        <w:t xml:space="preserve">it is probably due to the influence of St Jerome or some previous redactor. Part of it is undoubtedly a borrowing from Ps 31:9.</w:t>
      </w:r>
      <w:r>
        <w:t xml:space="preserve"> </w:t>
      </w:r>
      <w:r>
        <w:rPr>
          <w:b/>
          <w:bCs/>
        </w:rPr>
        <w:t xml:space="preserve">18–22</w:t>
      </w:r>
      <w:r>
        <w:t xml:space="preserve">. Similar recommendations are ascribed to the Angel in all forms of the text. They recommend prayer as a preparation for the marital union, although the three-day period of continence is not found in all. In 22 Vg</w:t>
      </w:r>
      <w:r>
        <w:rPr>
          <w:rStyle w:val="FootnoteReference"/>
        </w:rPr>
        <w:footnoteReference w:id="78"/>
      </w:r>
      <w:r>
        <w:t xml:space="preserve"> </w:t>
      </w:r>
      <w:r>
        <w:t xml:space="preserve">alone has the counsel,</w:t>
      </w:r>
      <w:r>
        <w:t xml:space="preserve"> </w:t>
      </w:r>
      <w:r>
        <w:t xml:space="preserve">‘</w:t>
      </w:r>
      <w:r>
        <w:t xml:space="preserve">moved rather for love of children than for lust</w:t>
      </w:r>
      <w:r>
        <w:t xml:space="preserve">’</w:t>
      </w:r>
      <w:r>
        <w:t xml:space="preserve">. This is quite in line with the general context, but the actual expressions used are probably the result of Jerome’s free translation.</w:t>
      </w:r>
    </w:p>
    <w:p>
      <w:r>
        <w:br w:type="page"/>
      </w:r>
    </w:p>
    <w:bookmarkEnd w:id="79"/>
    <w:bookmarkStart w:id="98" w:name="a-7110-the-welcome-of-raguel"/>
    <w:p>
      <w:pPr>
        <w:pStyle w:val="Heading2"/>
      </w:pPr>
      <w:r>
        <w:t xml:space="preserve">306A 7:1–10 The Welcome of Raguel</w:t>
      </w:r>
    </w:p>
    <w:p>
      <w:pPr>
        <w:pStyle w:val="FirstParagraph"/>
      </w:pPr>
      <w:r>
        <w:t xml:space="preserve">This section is clear, and substantially the same in all forms. There is some variation in the details: Raguel’s wife in Vg</w:t>
      </w:r>
      <w:r>
        <w:rPr>
          <w:rStyle w:val="FootnoteReference"/>
        </w:rPr>
        <w:footnoteReference w:id="80"/>
      </w:r>
      <w:r>
        <w:t xml:space="preserve"> </w:t>
      </w:r>
      <w:r>
        <w:t xml:space="preserve">and Old Latin is</w:t>
      </w:r>
      <w:r>
        <w:t xml:space="preserve"> </w:t>
      </w:r>
      <w:r>
        <w:t xml:space="preserve">‘</w:t>
      </w:r>
      <w:r>
        <w:t xml:space="preserve">Anna</w:t>
      </w:r>
      <w:r>
        <w:t xml:space="preserve">’</w:t>
      </w:r>
      <w:r>
        <w:t xml:space="preserve">, while the Greek reads</w:t>
      </w:r>
      <w:r>
        <w:t xml:space="preserve"> </w:t>
      </w:r>
      <w:r>
        <w:t xml:space="preserve">‘</w:t>
      </w:r>
      <w:r>
        <w:t xml:space="preserve">Edna</w:t>
      </w:r>
      <w:r>
        <w:t xml:space="preserve">’</w:t>
      </w:r>
      <w:r>
        <w:t xml:space="preserve">; the questions of Raguel in 3 and 5 are asked by his wife in most forms of the text; while the response of the Angel (Vg</w:t>
      </w:r>
      <w:r>
        <w:rPr>
          <w:rStyle w:val="FootnoteReference"/>
        </w:rPr>
        <w:footnoteReference w:id="81"/>
      </w:r>
      <w:r>
        <w:t xml:space="preserve"> </w:t>
      </w:r>
      <w:r>
        <w:t xml:space="preserve">6) is attributed to Tobias himself by all but Vg</w:t>
      </w:r>
      <w:r>
        <w:rPr>
          <w:rStyle w:val="FootnoteReference"/>
        </w:rPr>
        <w:footnoteReference w:id="82"/>
      </w:r>
      <w:r>
        <w:t xml:space="preserve">. The Latin rendering is simpler and more connected. The sincere and ready hospitality extended to the visitors, especially as they were both considered kinsmen, is typically Semitic. Tobias loses no time in requesting the hand of Sara.</w:t>
      </w:r>
    </w:p>
    <w:p>
      <w:pPr>
        <w:pStyle w:val="BodyText"/>
      </w:pPr>
      <w:r>
        <w:rPr>
          <w:b/>
          <w:bCs/>
        </w:rPr>
        <w:t xml:space="preserve">§ b.</w:t>
      </w:r>
      <w:r>
        <w:t xml:space="preserve"> </w:t>
      </w:r>
      <w:r>
        <w:rPr>
          <w:b/>
          <w:bCs/>
        </w:rPr>
        <w:t xml:space="preserve">11–20 Marriage Negotiations–11</w:t>
      </w:r>
      <w:r>
        <w:t xml:space="preserve">. The thoughtful suspense of Raguel in Vg</w:t>
      </w:r>
      <w:r>
        <w:rPr>
          <w:rStyle w:val="FootnoteReference"/>
        </w:rPr>
        <w:footnoteReference w:id="83"/>
      </w:r>
      <w:r>
        <w:t xml:space="preserve"> </w:t>
      </w:r>
      <w:r>
        <w:t xml:space="preserve">and DV</w:t>
      </w:r>
      <w:r>
        <w:rPr>
          <w:rStyle w:val="FootnoteReference"/>
        </w:rPr>
        <w:footnoteReference w:id="84"/>
      </w:r>
      <w:r>
        <w:t xml:space="preserve"> </w:t>
      </w:r>
      <w:r>
        <w:t xml:space="preserve">is put into words by the Greek, for Raguel there replies at length.</w:t>
      </w:r>
      <w:r>
        <w:t xml:space="preserve"> </w:t>
      </w:r>
      <w:r>
        <w:rPr>
          <w:b/>
          <w:bCs/>
        </w:rPr>
        <w:t xml:space="preserve">14</w:t>
      </w:r>
      <w:r>
        <w:t xml:space="preserve">. Gentile marriages were not altogether forbidden by Law to the Hebrews, although they were commanded not to intermarry with certain Canaanite tribes, Ex 34:11 ff.; Deut 7:1 ff.;</w:t>
      </w:r>
      <w:r>
        <w:t xml:space="preserve"> </w:t>
      </w:r>
      <w:r>
        <w:rPr>
          <w:i/>
          <w:iCs/>
        </w:rPr>
        <w:t xml:space="preserve">cf</w:t>
      </w:r>
      <w:r>
        <w:t xml:space="preserve">. also Num 36:1–10. Since, however, marriages with pagans always carried with them a danger to the faith, they were never fully approved; hence, the chaste Sara would be much more appropriately betrothed to the God-fearing youth, Tobias, than to her previous pagan consorts.</w:t>
      </w:r>
      <w:r>
        <w:t xml:space="preserve"> </w:t>
      </w:r>
      <w:r>
        <w:rPr>
          <w:b/>
          <w:bCs/>
        </w:rPr>
        <w:t xml:space="preserve">15</w:t>
      </w:r>
      <w:r>
        <w:t xml:space="preserve">. Describes the actual betrothal ceremony of Tobias and Sara. The giving of the right hand as a sign or pledge of faith was used in antiquity much as it is today, although this is the only scriptural example of its use in a betrothal ceremony. The signing of a marriage document is not described elsewhere in Scripture, but scarcely anywhere else do we find so detailed and intimate an account of a marriage ceremony.</w:t>
      </w:r>
      <w:r>
        <w:t xml:space="preserve"> </w:t>
      </w:r>
      <w:r>
        <w:rPr>
          <w:b/>
          <w:bCs/>
        </w:rPr>
        <w:t xml:space="preserve">19</w:t>
      </w:r>
      <w:r>
        <w:t xml:space="preserve">. The Greek suggests that both mother and daughter wept; nor is this unlikely on so solemn an occasion.</w:t>
      </w:r>
    </w:p>
    <w:p>
      <w:pPr>
        <w:pStyle w:val="BodyText"/>
      </w:pPr>
      <w:r>
        <w:rPr>
          <w:b/>
          <w:bCs/>
        </w:rPr>
        <w:t xml:space="preserve">§ c. 8:1–10 A Chaste Marriage.</w:t>
      </w:r>
      <w:r>
        <w:t xml:space="preserve"> </w:t>
      </w:r>
      <w:r>
        <w:t xml:space="preserve">The delicate artistry of the author is much in evidence throughout this chapter.</w:t>
      </w:r>
      <w:r>
        <w:t xml:space="preserve"> </w:t>
      </w:r>
      <w:r>
        <w:rPr>
          <w:b/>
          <w:bCs/>
        </w:rPr>
        <w:t xml:space="preserve">1</w:t>
      </w:r>
      <w:r>
        <w:t xml:space="preserve">. The simple dinner of welcome had turned into a happy marriage-banquet.</w:t>
      </w:r>
      <w:r>
        <w:t xml:space="preserve"> </w:t>
      </w:r>
      <w:r>
        <w:rPr>
          <w:b/>
          <w:bCs/>
        </w:rPr>
        <w:t xml:space="preserve">2</w:t>
      </w:r>
      <w:r>
        <w:t xml:space="preserve">. See 6:8. It is clearer here that the chief efficacy of the burning heart and liver of the fish is due to the power of God and his Angel over the demon.</w:t>
      </w:r>
      <w:r>
        <w:t xml:space="preserve"> </w:t>
      </w:r>
      <w:r>
        <w:rPr>
          <w:b/>
          <w:bCs/>
        </w:rPr>
        <w:t xml:space="preserve">3</w:t>
      </w:r>
      <w:r>
        <w:t xml:space="preserve">. There is no question of the demon being bound in chains, or otherwise made captive materially; it is a moral restraint, exercised by one spirit on another. The</w:t>
      </w:r>
      <w:r>
        <w:t xml:space="preserve"> </w:t>
      </w:r>
      <w:r>
        <w:t xml:space="preserve">‘</w:t>
      </w:r>
      <w:r>
        <w:t xml:space="preserve">desert of Upper Egypt</w:t>
      </w:r>
      <w:r>
        <w:t xml:space="preserve">’</w:t>
      </w:r>
      <w:r>
        <w:t xml:space="preserve">, a place far distant from Nineveh and Ecbatana, is used figuratively of the complete removal of Asmodeus’ harmful influence over Sara. The desert was popularly considered the normal abode of demons,</w:t>
      </w:r>
      <w:r>
        <w:t xml:space="preserve"> </w:t>
      </w:r>
      <w:r>
        <w:rPr>
          <w:i/>
          <w:iCs/>
        </w:rPr>
        <w:t xml:space="preserve">cf</w:t>
      </w:r>
      <w:r>
        <w:t xml:space="preserve">. Mt 12:43.</w:t>
      </w:r>
      <w:r>
        <w:t xml:space="preserve"> </w:t>
      </w:r>
      <w:r>
        <w:rPr>
          <w:b/>
          <w:bCs/>
        </w:rPr>
        <w:t xml:space="preserve">4–6</w:t>
      </w:r>
      <w:r>
        <w:t xml:space="preserve">. While Vg</w:t>
      </w:r>
      <w:r>
        <w:rPr>
          <w:rStyle w:val="FootnoteReference"/>
        </w:rPr>
        <w:footnoteReference w:id="85"/>
      </w:r>
      <w:r>
        <w:t xml:space="preserve"> </w:t>
      </w:r>
      <w:r>
        <w:t xml:space="preserve">continues the idea of the three nights,</w:t>
      </w:r>
      <w:r>
        <w:t xml:space="preserve"> </w:t>
      </w:r>
      <w:r>
        <w:rPr>
          <w:i/>
          <w:iCs/>
        </w:rPr>
        <w:t xml:space="preserve">cf</w:t>
      </w:r>
      <w:r>
        <w:t xml:space="preserve">. 6:18, the Greek implies that the events take place during one night. All forms narrate the prayers of Tobias and Sara for God’s help.</w:t>
      </w:r>
      <w:r>
        <w:t xml:space="preserve"> </w:t>
      </w:r>
      <w:r>
        <w:rPr>
          <w:b/>
          <w:bCs/>
        </w:rPr>
        <w:t xml:space="preserve">7–10</w:t>
      </w:r>
      <w:r>
        <w:t xml:space="preserve">. The third prayer;</w:t>
      </w:r>
      <w:r>
        <w:t xml:space="preserve"> </w:t>
      </w:r>
      <w:r>
        <w:rPr>
          <w:i/>
          <w:iCs/>
        </w:rPr>
        <w:t xml:space="preserve">cf</w:t>
      </w:r>
      <w:r>
        <w:t xml:space="preserve">. 3:1. The main doctrinal elements are: the recognition of God as creator of all things, 7; and the confession of sincerity in 9, which shows the upright purpose with which Tobias entered matrimony.</w:t>
      </w:r>
    </w:p>
    <w:p>
      <w:pPr>
        <w:pStyle w:val="BodyText"/>
      </w:pPr>
      <w:r>
        <w:rPr>
          <w:b/>
          <w:bCs/>
        </w:rPr>
        <w:t xml:space="preserve">§ d.</w:t>
      </w:r>
      <w:r>
        <w:t xml:space="preserve"> </w:t>
      </w:r>
      <w:r>
        <w:rPr>
          <w:b/>
          <w:bCs/>
        </w:rPr>
        <w:t xml:space="preserve">11–20 Thanksgiving for the Safety of Tobias and Sara–11</w:t>
      </w:r>
      <w:r>
        <w:t xml:space="preserve">. Apparently Raguel was not fully reassured by the Angel; he hoped, but he wondered; and he feared lest the fate of the former husbands of Sara should also befall Tobias. The time indicated,</w:t>
      </w:r>
      <w:r>
        <w:t xml:space="preserve"> </w:t>
      </w:r>
      <w:r>
        <w:t xml:space="preserve">‘</w:t>
      </w:r>
      <w:r>
        <w:t xml:space="preserve">about the cock-crowing</w:t>
      </w:r>
      <w:r>
        <w:t xml:space="preserve">’</w:t>
      </w:r>
      <w:r>
        <w:t xml:space="preserve">, is a Vg</w:t>
      </w:r>
      <w:r>
        <w:rPr>
          <w:rStyle w:val="FootnoteReference"/>
        </w:rPr>
        <w:footnoteReference w:id="86"/>
      </w:r>
      <w:r>
        <w:t xml:space="preserve"> </w:t>
      </w:r>
      <w:r>
        <w:t xml:space="preserve">reading; the other forms of the text have the equivalent of</w:t>
      </w:r>
      <w:r>
        <w:t xml:space="preserve"> </w:t>
      </w:r>
      <w:r>
        <w:t xml:space="preserve">‘</w:t>
      </w:r>
      <w:r>
        <w:t xml:space="preserve">by night</w:t>
      </w:r>
      <w:r>
        <w:t xml:space="preserve">’</w:t>
      </w:r>
      <w:r>
        <w:t xml:space="preserve"> </w:t>
      </w:r>
      <w:r>
        <w:t xml:space="preserve">or</w:t>
      </w:r>
      <w:r>
        <w:t xml:space="preserve"> </w:t>
      </w:r>
      <w:r>
        <w:t xml:space="preserve">‘</w:t>
      </w:r>
      <w:r>
        <w:t xml:space="preserve">during the night</w:t>
      </w:r>
      <w:r>
        <w:t xml:space="preserve">’</w:t>
      </w:r>
      <w:r>
        <w:t xml:space="preserve">.</w:t>
      </w:r>
      <w:r>
        <w:t xml:space="preserve"> </w:t>
      </w:r>
      <w:r>
        <w:rPr>
          <w:b/>
          <w:bCs/>
        </w:rPr>
        <w:t xml:space="preserve">14</w:t>
      </w:r>
      <w:r>
        <w:t xml:space="preserve">. The Greek assigns the reason for Raguel’s stealth:</w:t>
      </w:r>
      <w:r>
        <w:t xml:space="preserve"> </w:t>
      </w:r>
      <w:r>
        <w:t xml:space="preserve">‘</w:t>
      </w:r>
      <w:r>
        <w:t xml:space="preserve">and if he is dead that we may bury him, so that no one know it</w:t>
      </w:r>
      <w:r>
        <w:t xml:space="preserve">’</w:t>
      </w:r>
      <w:r>
        <w:t xml:space="preserve">.</w:t>
      </w:r>
      <w:r>
        <w:t xml:space="preserve"> </w:t>
      </w:r>
      <w:r>
        <w:rPr>
          <w:b/>
          <w:bCs/>
        </w:rPr>
        <w:t xml:space="preserve">17–19</w:t>
      </w:r>
      <w:r>
        <w:t xml:space="preserve">. The theme of this, the fourth prayer,</w:t>
      </w:r>
      <w:r>
        <w:t xml:space="preserve"> </w:t>
      </w:r>
      <w:r>
        <w:rPr>
          <w:i/>
          <w:iCs/>
        </w:rPr>
        <w:t xml:space="preserve">cf</w:t>
      </w:r>
      <w:r>
        <w:t xml:space="preserve">. 3:1, is clearly thanksgiving to God for the favour received.</w:t>
      </w:r>
    </w:p>
    <w:p>
      <w:pPr>
        <w:pStyle w:val="BodyText"/>
      </w:pPr>
      <w:r>
        <w:rPr>
          <w:b/>
          <w:bCs/>
        </w:rPr>
        <w:t xml:space="preserve">§ e.</w:t>
      </w:r>
      <w:r>
        <w:t xml:space="preserve"> </w:t>
      </w:r>
      <w:r>
        <w:rPr>
          <w:b/>
          <w:bCs/>
        </w:rPr>
        <w:t xml:space="preserve">21–24 A Joyful Feast–21</w:t>
      </w:r>
      <w:r>
        <w:t xml:space="preserve">. Only Vg</w:t>
      </w:r>
      <w:r>
        <w:rPr>
          <w:rStyle w:val="FootnoteReference"/>
        </w:rPr>
        <w:footnoteReference w:id="87"/>
      </w:r>
      <w:r>
        <w:t xml:space="preserve"> </w:t>
      </w:r>
      <w:r>
        <w:t xml:space="preserve">suggests that the preparations are for a journey. It is more likely that Raguel gave orders to prepare the nuptial banquet, which now could be fully celebrated; this would be the banquet described in the following verse. The preparation for a journey would not fit well with Raguel’s invitation,</w:t>
      </w:r>
      <w:r>
        <w:t xml:space="preserve"> </w:t>
      </w:r>
      <w:r>
        <w:rPr>
          <w:b/>
          <w:bCs/>
        </w:rPr>
        <w:t xml:space="preserve">23</w:t>
      </w:r>
      <w:r>
        <w:t xml:space="preserve">. to remain.</w:t>
      </w:r>
      <w:r>
        <w:t xml:space="preserve"> </w:t>
      </w:r>
      <w:r>
        <w:rPr>
          <w:b/>
          <w:bCs/>
        </w:rPr>
        <w:t xml:space="preserve">24</w:t>
      </w:r>
      <w:r>
        <w:t xml:space="preserve">. This is substantially the same in all forms, except that Vg</w:t>
      </w:r>
      <w:r>
        <w:rPr>
          <w:rStyle w:val="FootnoteReference"/>
        </w:rPr>
        <w:footnoteReference w:id="88"/>
      </w:r>
      <w:r>
        <w:t xml:space="preserve"> </w:t>
      </w:r>
      <w:r>
        <w:t xml:space="preserve">alone relates that the promise was put in writing.</w:t>
      </w:r>
    </w:p>
    <w:p>
      <w:pPr>
        <w:pStyle w:val="BodyText"/>
      </w:pPr>
      <w:r>
        <w:rPr>
          <w:b/>
          <w:bCs/>
        </w:rPr>
        <w:t xml:space="preserve">§ f.</w:t>
      </w:r>
      <w:r>
        <w:t xml:space="preserve"> </w:t>
      </w:r>
      <w:r>
        <w:rPr>
          <w:b/>
          <w:bCs/>
        </w:rPr>
        <w:t xml:space="preserve">9:1–12 The Angel Raphael visits Gabelus–2</w:t>
      </w:r>
      <w:r>
        <w:t xml:space="preserve"> </w:t>
      </w:r>
      <w:r>
        <w:t xml:space="preserve">is a Vg</w:t>
      </w:r>
      <w:r>
        <w:rPr>
          <w:rStyle w:val="FootnoteReference"/>
        </w:rPr>
        <w:footnoteReference w:id="89"/>
      </w:r>
      <w:r>
        <w:t xml:space="preserve"> </w:t>
      </w:r>
      <w:r>
        <w:t xml:space="preserve">reading.</w:t>
      </w:r>
      <w:r>
        <w:t xml:space="preserve"> </w:t>
      </w:r>
      <w:r>
        <w:rPr>
          <w:b/>
          <w:bCs/>
        </w:rPr>
        <w:t xml:space="preserve">3</w:t>
      </w:r>
      <w:r>
        <w:t xml:space="preserve">. In the Greek, Tobias tells Raphael to take four servants and two camels,</w:t>
      </w:r>
      <w:r>
        <w:t xml:space="preserve"> </w:t>
      </w:r>
      <w:r>
        <w:rPr>
          <w:i/>
          <w:iCs/>
        </w:rPr>
        <w:t xml:space="preserve">cf</w:t>
      </w:r>
      <w:r>
        <w:t xml:space="preserve">. Vg</w:t>
      </w:r>
      <w:r>
        <w:rPr>
          <w:rStyle w:val="FootnoteReference"/>
        </w:rPr>
        <w:footnoteReference w:id="90"/>
      </w:r>
      <w:r>
        <w:t xml:space="preserve"> </w:t>
      </w:r>
      <w:r>
        <w:t xml:space="preserve">6.</w:t>
      </w:r>
      <w:r>
        <w:t xml:space="preserve"> </w:t>
      </w:r>
      <w:r>
        <w:rPr>
          <w:b/>
          <w:bCs/>
        </w:rPr>
        <w:t xml:space="preserve">6</w:t>
      </w:r>
      <w:r>
        <w:t xml:space="preserve">. Raphael made the journey, as requested, from Ecbatana to Rages, and redeemed the money deposited with Gabelus, see 1:17; 4:21.</w:t>
      </w:r>
      <w:r>
        <w:t xml:space="preserve"> </w:t>
      </w:r>
      <w:r>
        <w:rPr>
          <w:b/>
          <w:bCs/>
        </w:rPr>
        <w:t xml:space="preserve">8</w:t>
      </w:r>
      <w:r>
        <w:t xml:space="preserve">. Owing to the Semitic colouring of the passage it would seem that Raphael is still the subject, whereas it is really Gabelus, as Vg</w:t>
      </w:r>
      <w:r>
        <w:rPr>
          <w:rStyle w:val="FootnoteReference"/>
        </w:rPr>
        <w:footnoteReference w:id="91"/>
      </w:r>
      <w:r>
        <w:t xml:space="preserve"> </w:t>
      </w:r>
      <w:r>
        <w:t xml:space="preserve">indicates, who enters, weeps and blesses.</w:t>
      </w:r>
      <w:r>
        <w:t xml:space="preserve"> </w:t>
      </w:r>
      <w:r>
        <w:rPr>
          <w:b/>
          <w:bCs/>
        </w:rPr>
        <w:t xml:space="preserve">11</w:t>
      </w:r>
      <w:r>
        <w:t xml:space="preserve">. A truly Hebrew blessing, both polite and religious.</w:t>
      </w:r>
    </w:p>
    <w:p>
      <w:pPr>
        <w:pStyle w:val="BodyText"/>
      </w:pPr>
      <w:r>
        <w:rPr>
          <w:b/>
          <w:bCs/>
        </w:rPr>
        <w:t xml:space="preserve">§ g.</w:t>
      </w:r>
      <w:r>
        <w:t xml:space="preserve"> </w:t>
      </w:r>
      <w:r>
        <w:rPr>
          <w:b/>
          <w:bCs/>
        </w:rPr>
        <w:t xml:space="preserve">10:1–7 Anxiety of the Parents of Tobias–1–2</w:t>
      </w:r>
      <w:r>
        <w:t xml:space="preserve">. While these events were taking place in Ecbatana and Rages, Tobias, the father, was counting the days in Nineveh. No doubt he had often made this journey himself and knew exactly how long it should take. Since his son did not return on schedule he became anxious, and, as a father would, began to consider the possibility of misfortune.</w:t>
      </w:r>
      <w:r>
        <w:t xml:space="preserve"> </w:t>
      </w:r>
      <w:r>
        <w:rPr>
          <w:b/>
          <w:bCs/>
        </w:rPr>
        <w:t xml:space="preserve">3</w:t>
      </w:r>
      <w:r>
        <w:t xml:space="preserve">. In the Greek, although Tobias begins to grieve, there is more than a suggestion that he hides his sorrow in attempting to console his wife. The domestic scene is both beautifully related and very touching.</w:t>
      </w:r>
      <w:r>
        <w:t xml:space="preserve"> </w:t>
      </w:r>
      <w:r>
        <w:rPr>
          <w:b/>
          <w:bCs/>
        </w:rPr>
        <w:t xml:space="preserve">4–7</w:t>
      </w:r>
      <w:r>
        <w:t xml:space="preserve">. The mother is not so easily comforted:</w:t>
      </w:r>
      <w:r>
        <w:t xml:space="preserve"> </w:t>
      </w:r>
      <w:r>
        <w:t xml:space="preserve">‘</w:t>
      </w:r>
      <w:r>
        <w:t xml:space="preserve">And she said to him (Tobias):</w:t>
      </w:r>
      <w:r>
        <w:t xml:space="preserve"> </w:t>
      </w:r>
      <w:r>
        <w:rPr>
          <w:i/>
          <w:iCs/>
        </w:rPr>
        <w:t xml:space="preserve">Hold thy peace and do not deceive me; my child has perished</w:t>
      </w:r>
      <w:r>
        <w:t xml:space="preserve">’</w:t>
      </w:r>
      <w:r>
        <w:t xml:space="preserve">.</w:t>
      </w:r>
    </w:p>
    <w:p>
      <w:pPr>
        <w:pStyle w:val="BodyText"/>
      </w:pPr>
      <w:r>
        <w:rPr>
          <w:b/>
          <w:bCs/>
        </w:rPr>
        <w:t xml:space="preserve">§ h.</w:t>
      </w:r>
      <w:r>
        <w:t xml:space="preserve"> </w:t>
      </w:r>
      <w:r>
        <w:rPr>
          <w:b/>
          <w:bCs/>
        </w:rPr>
        <w:t xml:space="preserve">8–13 Tobias sets out for Home–8–10</w:t>
      </w:r>
      <w:r>
        <w:t xml:space="preserve">. Raguel invites Tobias junior to stay on with him, possibly to continue the wedding festivities; but Tobias, knowing that his parents will be anxious for his return, feels bound to refuse. Raguel then hands over half of his possessions, as he had promised to do,</w:t>
      </w:r>
      <w:r>
        <w:t xml:space="preserve"> </w:t>
      </w:r>
      <w:r>
        <w:rPr>
          <w:i/>
          <w:iCs/>
        </w:rPr>
        <w:t xml:space="preserve">cf</w:t>
      </w:r>
      <w:r>
        <w:t xml:space="preserve">. 8:24.</w:t>
      </w:r>
      <w:r>
        <w:t xml:space="preserve"> </w:t>
      </w:r>
      <w:r>
        <w:rPr>
          <w:b/>
          <w:bCs/>
        </w:rPr>
        <w:t xml:space="preserve">11</w:t>
      </w:r>
      <w:r>
        <w:t xml:space="preserve">. Raguel speaks more truly than he knows when he mentions the Angel of the Lord; however, in the other forms of the text, the blessing is invoked in the name of</w:t>
      </w:r>
      <w:r>
        <w:t xml:space="preserve"> </w:t>
      </w:r>
      <w:r>
        <w:t xml:space="preserve">‘</w:t>
      </w:r>
      <w:r>
        <w:t xml:space="preserve">the Lord of heaven</w:t>
      </w:r>
      <w:r>
        <w:t xml:space="preserve">’</w:t>
      </w:r>
      <w:r>
        <w:t xml:space="preserve">.</w:t>
      </w:r>
      <w:r>
        <w:t xml:space="preserve"> </w:t>
      </w:r>
      <w:r>
        <w:rPr>
          <w:b/>
          <w:bCs/>
        </w:rPr>
        <w:t xml:space="preserve">13</w:t>
      </w:r>
      <w:r>
        <w:t xml:space="preserve">. The admonitions in Vg</w:t>
      </w:r>
      <w:r>
        <w:rPr>
          <w:rStyle w:val="FootnoteReference"/>
        </w:rPr>
        <w:footnoteReference w:id="92"/>
      </w:r>
      <w:r>
        <w:t xml:space="preserve"> </w:t>
      </w:r>
      <w:r>
        <w:t xml:space="preserve">are most likely a summarization and adaptation of St Jerome’s. In the Greek, Raguel tells Sara to go to her father-in-law and to look upon him and his wife as her own parents; then he bids her farewell, saying:</w:t>
      </w:r>
      <w:r>
        <w:t xml:space="preserve"> </w:t>
      </w:r>
      <w:r>
        <w:t xml:space="preserve">‘</w:t>
      </w:r>
      <w:r>
        <w:rPr>
          <w:i/>
          <w:iCs/>
        </w:rPr>
        <w:t xml:space="preserve">May I hear a good report of thee as long as I shall live!</w:t>
      </w:r>
      <w:r>
        <w:t xml:space="preserve"> </w:t>
      </w:r>
      <w:r>
        <w:t xml:space="preserve">Then Anna (Edna), the wife, addresses Tobias:</w:t>
      </w:r>
      <w:r>
        <w:t xml:space="preserve">’</w:t>
      </w:r>
      <w:r>
        <w:rPr>
          <w:i/>
          <w:iCs/>
        </w:rPr>
        <w:t xml:space="preserve">Beloved child and brother, may the Lord bring thee back, and may I see children of thee while I live, and of Sara my daughter before I die. I commit my daughter to thee in trust before the Lord. Grieve her not all the days of thy life</w:t>
      </w:r>
      <w:r>
        <w:t xml:space="preserve">’.</w:t>
      </w:r>
    </w:p>
    <w:p>
      <w:pPr>
        <w:pStyle w:val="BodyText"/>
      </w:pPr>
      <w:r>
        <w:rPr>
          <w:b/>
          <w:bCs/>
        </w:rPr>
        <w:t xml:space="preserve">§ i.</w:t>
      </w:r>
      <w:r>
        <w:t xml:space="preserve"> </w:t>
      </w:r>
      <w:r>
        <w:rPr>
          <w:b/>
          <w:bCs/>
        </w:rPr>
        <w:t xml:space="preserve">11:1–12 The Home-coming–1</w:t>
      </w:r>
      <w:r>
        <w:t xml:space="preserve">. The place-name seems to have been</w:t>
      </w:r>
      <w:r>
        <w:t xml:space="preserve"> </w:t>
      </w:r>
      <w:r>
        <w:rPr>
          <w:i/>
          <w:iCs/>
        </w:rPr>
        <w:t xml:space="preserve">Akram</w:t>
      </w:r>
      <w:r>
        <w:t xml:space="preserve"> </w:t>
      </w:r>
      <w:r>
        <w:t xml:space="preserve">or</w:t>
      </w:r>
      <w:r>
        <w:t xml:space="preserve"> </w:t>
      </w:r>
      <w:r>
        <w:rPr>
          <w:i/>
          <w:iCs/>
        </w:rPr>
        <w:t xml:space="preserve">Charam</w:t>
      </w:r>
      <w:r>
        <w:t xml:space="preserve">, but its exact location cannot be determined. It is certainly not Haran, Abraham’s city, of Gen 11:31. The further determinations,</w:t>
      </w:r>
      <w:r>
        <w:t xml:space="preserve"> </w:t>
      </w:r>
      <w:r>
        <w:t xml:space="preserve">‘</w:t>
      </w:r>
      <w:r>
        <w:t xml:space="preserve">midway to Nineveh, the eleventh day</w:t>
      </w:r>
      <w:r>
        <w:t xml:space="preserve">’</w:t>
      </w:r>
      <w:r>
        <w:t xml:space="preserve">, are found only in Vg</w:t>
      </w:r>
      <w:r>
        <w:rPr>
          <w:rStyle w:val="FootnoteReference"/>
        </w:rPr>
        <w:footnoteReference w:id="93"/>
      </w:r>
      <w:r>
        <w:t xml:space="preserve">.</w:t>
      </w:r>
      <w:r>
        <w:t xml:space="preserve"> </w:t>
      </w:r>
      <w:r>
        <w:rPr>
          <w:b/>
          <w:bCs/>
        </w:rPr>
        <w:t xml:space="preserve">2–3</w:t>
      </w:r>
      <w:r>
        <w:t xml:space="preserve">. The caravan was moving too slowly, whereas Raphael and Tobias, travelling alone, could quickly reach Nineveh.</w:t>
      </w:r>
      <w:r>
        <w:t xml:space="preserve"> </w:t>
      </w:r>
      <w:r>
        <w:rPr>
          <w:b/>
          <w:bCs/>
        </w:rPr>
        <w:t xml:space="preserve">4</w:t>
      </w:r>
      <w:r>
        <w:t xml:space="preserve">. The Greek suggests that the fish-gall, through its astringent qualities, will scale off the films from the eyes of the elder Tobias. However, here (</w:t>
      </w:r>
      <w:r>
        <w:rPr>
          <w:i/>
          <w:iCs/>
        </w:rPr>
        <w:t xml:space="preserve">cf</w:t>
      </w:r>
      <w:r>
        <w:t xml:space="preserve">. 6:9) there is also a hint that the effect is due to some higher power. The Angel is more certain of the effect being produced than the use of an ordinary medicine would warrant, see 8; 12:14.</w:t>
      </w:r>
      <w:r>
        <w:t xml:space="preserve"> </w:t>
      </w:r>
      <w:r>
        <w:rPr>
          <w:b/>
          <w:bCs/>
        </w:rPr>
        <w:t xml:space="preserve">9</w:t>
      </w:r>
      <w:r>
        <w:t xml:space="preserve">. The reference to the celebrated dog of Tobias is surely an authentic part of the narrative here as in 6:1; although most of the dog’s antics are related only in Vg</w:t>
      </w:r>
      <w:r>
        <w:rPr>
          <w:rStyle w:val="FootnoteReference"/>
        </w:rPr>
        <w:footnoteReference w:id="94"/>
      </w:r>
      <w:r>
        <w:t xml:space="preserve">, and are likely to be an addition.</w:t>
      </w:r>
      <w:r>
        <w:t xml:space="preserve"> </w:t>
      </w:r>
      <w:r>
        <w:rPr>
          <w:b/>
          <w:bCs/>
        </w:rPr>
        <w:t xml:space="preserve">10</w:t>
      </w:r>
      <w:r>
        <w:t xml:space="preserve">. The picture of the blind old father stumbling out to meet his son is very affecting; it is also surely authentic.</w:t>
      </w:r>
    </w:p>
    <w:p>
      <w:pPr>
        <w:pStyle w:val="BodyText"/>
      </w:pPr>
      <w:r>
        <w:rPr>
          <w:b/>
          <w:bCs/>
        </w:rPr>
        <w:t xml:space="preserve">§ j.</w:t>
      </w:r>
      <w:r>
        <w:t xml:space="preserve"> </w:t>
      </w:r>
      <w:r>
        <w:rPr>
          <w:b/>
          <w:bCs/>
        </w:rPr>
        <w:t xml:space="preserve">13–17 Tobias recovers his Sight–13–15</w:t>
      </w:r>
      <w:r>
        <w:t xml:space="preserve">. All the textual witnesses report the healing of Tobias’ blindness in substantially the same way. The variants to be found are mostly verbal: Vg</w:t>
      </w:r>
      <w:r>
        <w:rPr>
          <w:rStyle w:val="FootnoteReference"/>
        </w:rPr>
        <w:footnoteReference w:id="95"/>
      </w:r>
      <w:r>
        <w:t xml:space="preserve"> </w:t>
      </w:r>
      <w:r>
        <w:t xml:space="preserve">alone has the time interval,</w:t>
      </w:r>
      <w:r>
        <w:t xml:space="preserve"> </w:t>
      </w:r>
      <w:r>
        <w:t xml:space="preserve">‘</w:t>
      </w:r>
      <w:r>
        <w:t xml:space="preserve">about half an hour</w:t>
      </w:r>
      <w:r>
        <w:t xml:space="preserve">’</w:t>
      </w:r>
      <w:r>
        <w:t xml:space="preserve">, as also the description,</w:t>
      </w:r>
      <w:r>
        <w:t xml:space="preserve"> </w:t>
      </w:r>
      <w:r>
        <w:t xml:space="preserve">‘</w:t>
      </w:r>
      <w:r>
        <w:t xml:space="preserve">like the skin of an egg</w:t>
      </w:r>
      <w:r>
        <w:t xml:space="preserve">’</w:t>
      </w:r>
      <w:r>
        <w:t xml:space="preserve">. Other forms indicate a peeling of</w:t>
      </w:r>
      <w:r>
        <w:t xml:space="preserve"> </w:t>
      </w:r>
      <w:r>
        <w:t xml:space="preserve">‘</w:t>
      </w:r>
      <w:r>
        <w:t xml:space="preserve">white films</w:t>
      </w:r>
      <w:r>
        <w:t xml:space="preserve">’</w:t>
      </w:r>
      <w:r>
        <w:t xml:space="preserve"> </w:t>
      </w:r>
      <w:r>
        <w:t xml:space="preserve">or</w:t>
      </w:r>
      <w:r>
        <w:t xml:space="preserve"> </w:t>
      </w:r>
      <w:r>
        <w:t xml:space="preserve">‘</w:t>
      </w:r>
      <w:r>
        <w:t xml:space="preserve">white scales</w:t>
      </w:r>
      <w:r>
        <w:t xml:space="preserve">’</w:t>
      </w:r>
      <w:r>
        <w:t xml:space="preserve">.</w:t>
      </w:r>
      <w:r>
        <w:t xml:space="preserve"> </w:t>
      </w:r>
      <w:r>
        <w:rPr>
          <w:b/>
          <w:bCs/>
        </w:rPr>
        <w:t xml:space="preserve">16</w:t>
      </w:r>
      <w:r>
        <w:t xml:space="preserve">.</w:t>
      </w:r>
      <w:r>
        <w:t xml:space="preserve"> </w:t>
      </w:r>
      <w:r>
        <w:t xml:space="preserve">‘</w:t>
      </w:r>
      <w:r>
        <w:t xml:space="preserve">All that knew him</w:t>
      </w:r>
      <w:r>
        <w:t xml:space="preserve">’</w:t>
      </w:r>
      <w:r>
        <w:t xml:space="preserve">, is more detailed in the Greek, which pictures the men of Nineveh marvelling that Tobias was cured and able to walk without anyone to lead him.</w:t>
      </w:r>
      <w:r>
        <w:t xml:space="preserve"> </w:t>
      </w:r>
      <w:r>
        <w:rPr>
          <w:b/>
          <w:bCs/>
        </w:rPr>
        <w:t xml:space="preserve">17</w:t>
      </w:r>
      <w:r>
        <w:t xml:space="preserve">. The Scriptures frequently relate similar praises or blessings, see Deut 32:39; 1 Kg 2:6; Wis 16:13.</w:t>
      </w:r>
    </w:p>
    <w:p>
      <w:pPr>
        <w:pStyle w:val="BodyText"/>
      </w:pPr>
      <w:r>
        <w:rPr>
          <w:b/>
          <w:bCs/>
        </w:rPr>
        <w:t xml:space="preserve">§ k.</w:t>
      </w:r>
      <w:r>
        <w:t xml:space="preserve"> </w:t>
      </w:r>
      <w:r>
        <w:rPr>
          <w:b/>
          <w:bCs/>
        </w:rPr>
        <w:t xml:space="preserve">18–21. The Arrival of Sara–18–19</w:t>
      </w:r>
      <w:r>
        <w:t xml:space="preserve">. Once again Vg</w:t>
      </w:r>
      <w:r>
        <w:rPr>
          <w:rStyle w:val="FootnoteReference"/>
        </w:rPr>
        <w:footnoteReference w:id="96"/>
      </w:r>
      <w:r>
        <w:t xml:space="preserve"> </w:t>
      </w:r>
      <w:r>
        <w:t xml:space="preserve">and the London Hebrew alone have the time interval,</w:t>
      </w:r>
      <w:r>
        <w:t xml:space="preserve"> </w:t>
      </w:r>
      <w:r>
        <w:t xml:space="preserve">‘</w:t>
      </w:r>
      <w:r>
        <w:t xml:space="preserve">after seven days</w:t>
      </w:r>
      <w:r>
        <w:t xml:space="preserve">’</w:t>
      </w:r>
      <w:r>
        <w:t xml:space="preserve">; also the mention of the family and the cattle and the abundance of money is proper to these two texts which are curiously interrelated throughout the whole story.</w:t>
      </w:r>
      <w:r>
        <w:t xml:space="preserve"> </w:t>
      </w:r>
      <w:r>
        <w:rPr>
          <w:b/>
          <w:bCs/>
        </w:rPr>
        <w:t xml:space="preserve">20</w:t>
      </w:r>
      <w:r>
        <w:t xml:space="preserve">. This is the only reference in Vg</w:t>
      </w:r>
      <w:r>
        <w:rPr>
          <w:rStyle w:val="FootnoteReference"/>
        </w:rPr>
        <w:footnoteReference w:id="97"/>
      </w:r>
      <w:r>
        <w:t xml:space="preserve"> </w:t>
      </w:r>
      <w:r>
        <w:t xml:space="preserve">to the Achikar story, see § 301</w:t>
      </w:r>
      <w:r>
        <w:rPr>
          <w:i/>
          <w:iCs/>
        </w:rPr>
        <w:t xml:space="preserve">h–i</w:t>
      </w:r>
      <w:r>
        <w:t xml:space="preserve">. Although the names are slightly different here, it is clear that the same persons are intended;</w:t>
      </w:r>
      <w:r>
        <w:t xml:space="preserve"> </w:t>
      </w:r>
      <w:r>
        <w:t xml:space="preserve">‘</w:t>
      </w:r>
      <w:r>
        <w:t xml:space="preserve">Achior</w:t>
      </w:r>
      <w:r>
        <w:t xml:space="preserve">’</w:t>
      </w:r>
      <w:r>
        <w:t xml:space="preserve"> </w:t>
      </w:r>
      <w:r>
        <w:t xml:space="preserve">is simply a Latin transcription of</w:t>
      </w:r>
      <w:r>
        <w:t xml:space="preserve"> </w:t>
      </w:r>
      <w:r>
        <w:rPr>
          <w:i/>
          <w:iCs/>
        </w:rPr>
        <w:t xml:space="preserve">Achikar</w:t>
      </w:r>
      <w:r>
        <w:t xml:space="preserve">, and</w:t>
      </w:r>
      <w:r>
        <w:t xml:space="preserve"> </w:t>
      </w:r>
      <w:r>
        <w:t xml:space="preserve">‘</w:t>
      </w:r>
      <w:r>
        <w:t xml:space="preserve">Nabath</w:t>
      </w:r>
      <w:r>
        <w:t xml:space="preserve">’</w:t>
      </w:r>
      <w:r>
        <w:t xml:space="preserve"> </w:t>
      </w:r>
      <w:r>
        <w:t xml:space="preserve">the equivalent of the nephew’s name,</w:t>
      </w:r>
      <w:r>
        <w:t xml:space="preserve"> </w:t>
      </w:r>
      <w:r>
        <w:rPr>
          <w:i/>
          <w:iCs/>
        </w:rPr>
        <w:t xml:space="preserve">i.e. Nadan</w:t>
      </w:r>
      <w:r>
        <w:t xml:space="preserve">.</w:t>
      </w:r>
    </w:p>
    <w:p>
      <w:r>
        <w:br w:type="page"/>
      </w:r>
    </w:p>
    <w:bookmarkEnd w:id="98"/>
    <w:bookmarkStart w:id="108" w:name="a-1215-raphael-is-offered-a-reward"/>
    <w:p>
      <w:pPr>
        <w:pStyle w:val="Heading2"/>
      </w:pPr>
      <w:r>
        <w:t xml:space="preserve">307A 12:1–5 Raphael is offered a Reward</w:t>
      </w:r>
    </w:p>
    <w:p>
      <w:pPr>
        <w:pStyle w:val="FirstParagraph"/>
      </w:pPr>
      <w:r>
        <w:t xml:space="preserve">There is a remarkable agreement among the textual witnesses, including Vg</w:t>
      </w:r>
      <w:r>
        <w:rPr>
          <w:rStyle w:val="FootnoteReference"/>
        </w:rPr>
        <w:footnoteReference w:id="99"/>
      </w:r>
      <w:r>
        <w:t xml:space="preserve">, in this little section. Except for the Aramaic, which goes its own strange way, all forms of the story which have come down to us are very similar in content and order.</w:t>
      </w:r>
      <w:r>
        <w:t xml:space="preserve"> </w:t>
      </w:r>
      <w:r>
        <w:rPr>
          <w:b/>
          <w:bCs/>
        </w:rPr>
        <w:t xml:space="preserve">3</w:t>
      </w:r>
      <w:r>
        <w:t xml:space="preserve">.</w:t>
      </w:r>
      <w:r>
        <w:t xml:space="preserve"> </w:t>
      </w:r>
      <w:r>
        <w:t xml:space="preserve">‘</w:t>
      </w:r>
      <w:r>
        <w:t xml:space="preserve">Devoured by the fish</w:t>
      </w:r>
      <w:r>
        <w:t xml:space="preserve">’</w:t>
      </w:r>
      <w:r>
        <w:t xml:space="preserve">, is probably an addition.</w:t>
      </w:r>
      <w:r>
        <w:t xml:space="preserve"> </w:t>
      </w:r>
      <w:r>
        <w:rPr>
          <w:b/>
          <w:bCs/>
        </w:rPr>
        <w:t xml:space="preserve">4–5</w:t>
      </w:r>
      <w:r>
        <w:t xml:space="preserve">. If the Greek, 5:19, was correct in recording that the proffered wages amounted to</w:t>
      </w:r>
      <w:r>
        <w:t xml:space="preserve"> </w:t>
      </w:r>
      <w:r>
        <w:t xml:space="preserve">‘</w:t>
      </w:r>
      <w:r>
        <w:t xml:space="preserve">a drachma a day</w:t>
      </w:r>
      <w:r>
        <w:t xml:space="preserve">’</w:t>
      </w:r>
      <w:r>
        <w:t xml:space="preserve">, the father and son are now exceedingly more generous.</w:t>
      </w:r>
    </w:p>
    <w:p>
      <w:pPr>
        <w:pStyle w:val="BodyText"/>
      </w:pPr>
      <w:r>
        <w:rPr>
          <w:b/>
          <w:bCs/>
        </w:rPr>
        <w:t xml:space="preserve">§ b.</w:t>
      </w:r>
      <w:r>
        <w:t xml:space="preserve"> </w:t>
      </w:r>
      <w:r>
        <w:rPr>
          <w:b/>
          <w:bCs/>
        </w:rPr>
        <w:t xml:space="preserve">6–22 Raphael reveals his Identity–6</w:t>
      </w:r>
      <w:r>
        <w:t xml:space="preserve">. The Angel probably took them aside into an inner room of the house to reveal his secret. The first point of his revelation was the mercy of God; in fact, this is the core of Raphael’s whole message.</w:t>
      </w:r>
      <w:r>
        <w:t xml:space="preserve"> </w:t>
      </w:r>
      <w:r>
        <w:rPr>
          <w:b/>
          <w:bCs/>
        </w:rPr>
        <w:t xml:space="preserve">7</w:t>
      </w:r>
      <w:r>
        <w:t xml:space="preserve">. What the king deigns to reveal to his subjects should be treated confidentially; still, in the case of God, whose works are always eminently just and good, there is no need of secrecy.</w:t>
      </w:r>
      <w:r>
        <w:t xml:space="preserve"> </w:t>
      </w:r>
      <w:r>
        <w:rPr>
          <w:b/>
          <w:bCs/>
        </w:rPr>
        <w:t xml:space="preserve">8</w:t>
      </w:r>
      <w:r>
        <w:t xml:space="preserve">. Raphael proceeds somewhat obliquely: first, he shows the value of good works, works which Tobias and his son had done; then he will explain why, despite these good deeds, they had to suffer. It is here, particularly, that the Angel stresses the value of almsgiving. Some forms read:</w:t>
      </w:r>
      <w:r>
        <w:t xml:space="preserve"> </w:t>
      </w:r>
      <w:r>
        <w:t xml:space="preserve">‘</w:t>
      </w:r>
      <w:r>
        <w:t xml:space="preserve">Prayer is good with</w:t>
      </w:r>
      <w:r>
        <w:t xml:space="preserve"> </w:t>
      </w:r>
      <w:r>
        <w:rPr>
          <w:i/>
          <w:iCs/>
        </w:rPr>
        <w:t xml:space="preserve">truth</w:t>
      </w:r>
      <w:r>
        <w:t xml:space="preserve">’</w:t>
      </w:r>
      <w:r>
        <w:t xml:space="preserve">.</w:t>
      </w:r>
      <w:r>
        <w:t xml:space="preserve"> </w:t>
      </w:r>
      <w:r>
        <w:rPr>
          <w:b/>
          <w:bCs/>
        </w:rPr>
        <w:t xml:space="preserve">9</w:t>
      </w:r>
      <w:r>
        <w:t xml:space="preserve">. Clearly states the value of good works.</w:t>
      </w:r>
      <w:r>
        <w:t xml:space="preserve"> </w:t>
      </w:r>
      <w:r>
        <w:rPr>
          <w:b/>
          <w:bCs/>
        </w:rPr>
        <w:t xml:space="preserve">10</w:t>
      </w:r>
      <w:r>
        <w:t xml:space="preserve">. As good deeds lead to eternal life, wicked deeds lead to death.</w:t>
      </w:r>
      <w:r>
        <w:t xml:space="preserve"> </w:t>
      </w:r>
      <w:r>
        <w:t xml:space="preserve">‘</w:t>
      </w:r>
      <w:r>
        <w:t xml:space="preserve">Enemies of their own</w:t>
      </w:r>
      <w:r>
        <w:t xml:space="preserve"> </w:t>
      </w:r>
      <w:r>
        <w:rPr>
          <w:i/>
          <w:iCs/>
        </w:rPr>
        <w:t xml:space="preserve">life</w:t>
      </w:r>
      <w:r>
        <w:t xml:space="preserve">’</w:t>
      </w:r>
      <w:r>
        <w:t xml:space="preserve">,</w:t>
      </w:r>
      <w:r>
        <w:t xml:space="preserve"> </w:t>
      </w:r>
      <w:r>
        <w:rPr>
          <w:i/>
          <w:iCs/>
        </w:rPr>
        <w:t xml:space="preserve">i.e</w:t>
      </w:r>
      <w:r>
        <w:t xml:space="preserve">. those who do evil, kill themselves. Some argue that since this is not necessarily true of mortal life, the reference must be to eternal life and death.</w:t>
      </w:r>
    </w:p>
    <w:p>
      <w:pPr>
        <w:pStyle w:val="BodyText"/>
      </w:pPr>
      <w:r>
        <w:rPr>
          <w:b/>
          <w:bCs/>
        </w:rPr>
        <w:t xml:space="preserve">§ c.</w:t>
      </w:r>
      <w:r>
        <w:t xml:space="preserve"> </w:t>
      </w:r>
      <w:r>
        <w:rPr>
          <w:b/>
          <w:bCs/>
        </w:rPr>
        <w:t xml:space="preserve">11–13</w:t>
      </w:r>
      <w:r>
        <w:t xml:space="preserve">. The revelation of the secret proper. The whole life of Tobias was mysterious, enigmatic: although from his youth he had been faithful to God, he seemed to gain no reward but rather more and greater afflictions. Now all is made clear: God permitted Tobias to suffer in order to try him. While he was suffering, Raphael was interceding for him before the throne of God.</w:t>
      </w:r>
      <w:r>
        <w:t xml:space="preserve"> </w:t>
      </w:r>
      <w:r>
        <w:rPr>
          <w:b/>
          <w:bCs/>
        </w:rPr>
        <w:t xml:space="preserve">15</w:t>
      </w:r>
      <w:r>
        <w:t xml:space="preserve">. Previously the Angel had opened out to Tobias the secret of the forces at work in the life of the pious Israelite, now Raphael reveals the secret of his own person. He is an Angel, and amongst these heavenly spirits one of a special order who assist at the throne of God,</w:t>
      </w:r>
      <w:r>
        <w:t xml:space="preserve"> </w:t>
      </w:r>
      <w:r>
        <w:rPr>
          <w:i/>
          <w:iCs/>
        </w:rPr>
        <w:t xml:space="preserve">i.e</w:t>
      </w:r>
      <w:r>
        <w:t xml:space="preserve">. who constantly see God face to face and receive from him special revelations. He is</w:t>
      </w:r>
      <w:r>
        <w:t xml:space="preserve"> </w:t>
      </w:r>
      <w:r>
        <w:t xml:space="preserve">‘</w:t>
      </w:r>
      <w:r>
        <w:t xml:space="preserve">one of the seven</w:t>
      </w:r>
      <w:r>
        <w:t xml:space="preserve">’</w:t>
      </w:r>
      <w:r>
        <w:t xml:space="preserve">: the number</w:t>
      </w:r>
      <w:r>
        <w:t xml:space="preserve"> </w:t>
      </w:r>
      <w:r>
        <w:t xml:space="preserve">‘</w:t>
      </w:r>
      <w:r>
        <w:t xml:space="preserve">seven</w:t>
      </w:r>
      <w:r>
        <w:t xml:space="preserve">’</w:t>
      </w:r>
      <w:r>
        <w:t xml:space="preserve"> </w:t>
      </w:r>
      <w:r>
        <w:t xml:space="preserve">probably refers to a special group holding a particularly important office, rather than to an exact number. It is not unlikely that the term</w:t>
      </w:r>
      <w:r>
        <w:t xml:space="preserve"> </w:t>
      </w:r>
      <w:r>
        <w:t xml:space="preserve">‘</w:t>
      </w:r>
      <w:r>
        <w:t xml:space="preserve">seven</w:t>
      </w:r>
      <w:r>
        <w:t xml:space="preserve">’</w:t>
      </w:r>
      <w:r>
        <w:t xml:space="preserve"> </w:t>
      </w:r>
      <w:r>
        <w:t xml:space="preserve">is an allusion to Median court terminology, because at that time among the Medes the celebrated</w:t>
      </w:r>
      <w:r>
        <w:t xml:space="preserve"> </w:t>
      </w:r>
      <w:r>
        <w:t xml:space="preserve">‘</w:t>
      </w:r>
      <w:r>
        <w:t xml:space="preserve">seven counsellors</w:t>
      </w:r>
      <w:r>
        <w:t xml:space="preserve">’</w:t>
      </w:r>
      <w:r>
        <w:t xml:space="preserve"> </w:t>
      </w:r>
      <w:r>
        <w:t xml:space="preserve">were familiar to everyone,</w:t>
      </w:r>
      <w:r>
        <w:t xml:space="preserve"> </w:t>
      </w:r>
      <w:r>
        <w:rPr>
          <w:i/>
          <w:iCs/>
        </w:rPr>
        <w:t xml:space="preserve">cf</w:t>
      </w:r>
      <w:r>
        <w:t xml:space="preserve">. Esd 7:14. There is no evidence, however, to support the view of some scholars who profess to see here a reference to the Zoroastrian teaching on the spirits who stand about the throne of Ahura-Mazda. There is nothing but a very superficial similarity between the spirits of Parseeism and the Angels of the Bible; the basic doctrines of each are poles apart.</w:t>
      </w:r>
    </w:p>
    <w:p>
      <w:pPr>
        <w:pStyle w:val="BodyText"/>
      </w:pPr>
      <w:r>
        <w:rPr>
          <w:b/>
          <w:bCs/>
        </w:rPr>
        <w:t xml:space="preserve">§ d.</w:t>
      </w:r>
      <w:r>
        <w:t xml:space="preserve"> </w:t>
      </w:r>
      <w:r>
        <w:rPr>
          <w:b/>
          <w:bCs/>
        </w:rPr>
        <w:t xml:space="preserve">16–17</w:t>
      </w:r>
      <w:r>
        <w:t xml:space="preserve">. There was a belief among the Hebrews that whoever looked upon an angel would die at once, see Jg 6:22; 13:21 f. Hence Tobias and his son were greatly frightened when Raphael revealed his identity. This circumstance as well as the consoling words of the Angel recall other similar angelic appearances in Scripture,</w:t>
      </w:r>
      <w:r>
        <w:t xml:space="preserve"> </w:t>
      </w:r>
      <w:r>
        <w:rPr>
          <w:i/>
          <w:iCs/>
        </w:rPr>
        <w:t xml:space="preserve">v.g</w:t>
      </w:r>
      <w:r>
        <w:t xml:space="preserve">. Dan 10:12; Lk 1:13, 30.</w:t>
      </w:r>
      <w:r>
        <w:t xml:space="preserve"> </w:t>
      </w:r>
      <w:r>
        <w:rPr>
          <w:b/>
          <w:bCs/>
        </w:rPr>
        <w:t xml:space="preserve">18</w:t>
      </w:r>
      <w:r>
        <w:t xml:space="preserve">. There is no need of fear, because the Angel has been with them at God’s command. Angels are</w:t>
      </w:r>
      <w:r>
        <w:t xml:space="preserve"> </w:t>
      </w:r>
      <w:r>
        <w:rPr>
          <w:i/>
          <w:iCs/>
        </w:rPr>
        <w:t xml:space="preserve">sent</w:t>
      </w:r>
      <w:r>
        <w:t xml:space="preserve"> </w:t>
      </w:r>
      <w:r>
        <w:t xml:space="preserve">to men by the will of God.</w:t>
      </w:r>
      <w:r>
        <w:t xml:space="preserve"> </w:t>
      </w:r>
      <w:r>
        <w:rPr>
          <w:b/>
          <w:bCs/>
        </w:rPr>
        <w:t xml:space="preserve">19</w:t>
      </w:r>
      <w:r>
        <w:t xml:space="preserve">. The second part of this verse, in most forms of the text, declares,</w:t>
      </w:r>
      <w:r>
        <w:t xml:space="preserve"> </w:t>
      </w:r>
      <w:r>
        <w:t xml:space="preserve">‘</w:t>
      </w:r>
      <w:r>
        <w:rPr>
          <w:i/>
          <w:iCs/>
        </w:rPr>
        <w:t xml:space="preserve">and I did neither eat nor drink</w:t>
      </w:r>
      <w:r>
        <w:t xml:space="preserve">’</w:t>
      </w:r>
      <w:r>
        <w:t xml:space="preserve">. St Jerome probably attempted to clarify this by showing that the Angel was sustained otherwise than by natural food.</w:t>
      </w:r>
      <w:r>
        <w:t xml:space="preserve"> </w:t>
      </w:r>
      <w:r>
        <w:rPr>
          <w:b/>
          <w:bCs/>
        </w:rPr>
        <w:t xml:space="preserve">20</w:t>
      </w:r>
      <w:r>
        <w:t xml:space="preserve">. Raphael’s special mission from God was now finished. Many forms have</w:t>
      </w:r>
      <w:r>
        <w:t xml:space="preserve"> </w:t>
      </w:r>
      <w:r>
        <w:t xml:space="preserve">‘</w:t>
      </w:r>
      <w:r>
        <w:rPr>
          <w:i/>
          <w:iCs/>
        </w:rPr>
        <w:t xml:space="preserve">write down all these things</w:t>
      </w:r>
      <w:r>
        <w:t xml:space="preserve"> </w:t>
      </w:r>
      <w:r>
        <w:t xml:space="preserve">…</w:t>
      </w:r>
      <w:r>
        <w:t xml:space="preserve">’</w:t>
      </w:r>
      <w:r>
        <w:t xml:space="preserve">,</w:t>
      </w:r>
      <w:r>
        <w:t xml:space="preserve"> </w:t>
      </w:r>
      <w:r>
        <w:rPr>
          <w:i/>
          <w:iCs/>
        </w:rPr>
        <w:t xml:space="preserve">cf</w:t>
      </w:r>
      <w:r>
        <w:t xml:space="preserve">. § 300</w:t>
      </w:r>
      <w:r>
        <w:rPr>
          <w:i/>
          <w:iCs/>
        </w:rPr>
        <w:t xml:space="preserve">e</w:t>
      </w:r>
      <w:r>
        <w:t xml:space="preserve">.</w:t>
      </w:r>
      <w:r>
        <w:t xml:space="preserve"> </w:t>
      </w:r>
      <w:r>
        <w:rPr>
          <w:b/>
          <w:bCs/>
        </w:rPr>
        <w:t xml:space="preserve">21–22</w:t>
      </w:r>
      <w:r>
        <w:t xml:space="preserve">. Only Vg</w:t>
      </w:r>
      <w:r>
        <w:rPr>
          <w:rStyle w:val="FootnoteReference"/>
        </w:rPr>
        <w:footnoteReference w:id="100"/>
      </w:r>
      <w:r>
        <w:t xml:space="preserve"> </w:t>
      </w:r>
      <w:r>
        <w:t xml:space="preserve">extends their prayer,</w:t>
      </w:r>
      <w:r>
        <w:t xml:space="preserve"> </w:t>
      </w:r>
      <w:r>
        <w:t xml:space="preserve">‘</w:t>
      </w:r>
      <w:r>
        <w:t xml:space="preserve">for three hours</w:t>
      </w:r>
      <w:r>
        <w:t xml:space="preserve">’</w:t>
      </w:r>
      <w:r>
        <w:t xml:space="preserve">.</w:t>
      </w:r>
    </w:p>
    <w:p>
      <w:pPr>
        <w:pStyle w:val="BodyText"/>
      </w:pPr>
      <w:r>
        <w:rPr>
          <w:b/>
          <w:bCs/>
        </w:rPr>
        <w:t xml:space="preserve">§ e. 13:1–10 The Canticle of Tobias: First Part.</w:t>
      </w:r>
      <w:r>
        <w:t xml:space="preserve"> </w:t>
      </w:r>
      <w:r>
        <w:t xml:space="preserve">This section contains the fifth prayer of the book. Although longer, in general form it is similar to the others already mentioned,</w:t>
      </w:r>
      <w:r>
        <w:t xml:space="preserve"> </w:t>
      </w:r>
      <w:r>
        <w:rPr>
          <w:i/>
          <w:iCs/>
        </w:rPr>
        <w:t xml:space="preserve">cf</w:t>
      </w:r>
      <w:r>
        <w:t xml:space="preserve">. 3:1. These two final chapters form a sort of epilogue.</w:t>
      </w:r>
      <w:r>
        <w:t xml:space="preserve"> </w:t>
      </w:r>
      <w:r>
        <w:rPr>
          <w:b/>
          <w:bCs/>
        </w:rPr>
        <w:t xml:space="preserve">2</w:t>
      </w:r>
      <w:r>
        <w:t xml:space="preserve">. See above, 11:17. By the</w:t>
      </w:r>
      <w:r>
        <w:t xml:space="preserve"> </w:t>
      </w:r>
      <w:r>
        <w:t xml:space="preserve">‘</w:t>
      </w:r>
      <w:r>
        <w:t xml:space="preserve">hand of God</w:t>
      </w:r>
      <w:r>
        <w:t xml:space="preserve">’</w:t>
      </w:r>
      <w:r>
        <w:t xml:space="preserve"> </w:t>
      </w:r>
      <w:r>
        <w:t xml:space="preserve">is usually meant his Power, or his Providence guiding all things.</w:t>
      </w:r>
      <w:r>
        <w:t xml:space="preserve"> </w:t>
      </w:r>
      <w:r>
        <w:rPr>
          <w:b/>
          <w:bCs/>
        </w:rPr>
        <w:t xml:space="preserve">5</w:t>
      </w:r>
      <w:r>
        <w:t xml:space="preserve">. The children of Israel had brought chastisement on themselves by their own sins; they will be saved solely through God’s mercy.</w:t>
      </w:r>
      <w:r>
        <w:t xml:space="preserve"> </w:t>
      </w:r>
      <w:r>
        <w:rPr>
          <w:b/>
          <w:bCs/>
        </w:rPr>
        <w:t xml:space="preserve">7</w:t>
      </w:r>
      <w:r>
        <w:t xml:space="preserve">. What he recommends to others, Tobias will do himself. The poetic parallelism noticeable throughout this passage is more striking here if the Old Latin form is followed:</w:t>
      </w:r>
      <w:r>
        <w:t xml:space="preserve"> </w:t>
      </w:r>
      <w:r>
        <w:t xml:space="preserve">‘</w:t>
      </w:r>
      <w:r>
        <w:rPr>
          <w:i/>
          <w:iCs/>
        </w:rPr>
        <w:t xml:space="preserve">I confess him in the land of my captivity, and I show forth his power and majesty before a sinful nation</w:t>
      </w:r>
      <w:r>
        <w:t xml:space="preserve">’</w:t>
      </w:r>
      <w:r>
        <w:t xml:space="preserve">.</w:t>
      </w:r>
    </w:p>
    <w:p>
      <w:pPr>
        <w:pStyle w:val="BodyText"/>
      </w:pPr>
      <w:r>
        <w:rPr>
          <w:b/>
          <w:bCs/>
        </w:rPr>
        <w:t xml:space="preserve">§ f. 11–23 Canticle: Second Part.</w:t>
      </w:r>
      <w:r>
        <w:t xml:space="preserve"> </w:t>
      </w:r>
      <w:r>
        <w:t xml:space="preserve">Whereas the first part of Tobias’ prayer, or canticle, was almost wholly taken up with praise of God, this second part is principally prophetical. The entire canticle is poetical in form, and for the most part in synonymous parallelism. Vg</w:t>
      </w:r>
      <w:r>
        <w:rPr>
          <w:rStyle w:val="FootnoteReference"/>
        </w:rPr>
        <w:footnoteReference w:id="101"/>
      </w:r>
      <w:r>
        <w:t xml:space="preserve"> </w:t>
      </w:r>
      <w:r>
        <w:t xml:space="preserve">in some instances seems to have connected the verses poorly, and several are apparently out of their proper order. On the whole, the various forms of the text are in fair agreement.</w:t>
      </w:r>
    </w:p>
    <w:p>
      <w:pPr>
        <w:pStyle w:val="BodyText"/>
      </w:pPr>
      <w:r>
        <w:rPr>
          <w:b/>
          <w:bCs/>
        </w:rPr>
        <w:t xml:space="preserve">§ g.</w:t>
      </w:r>
      <w:r>
        <w:t xml:space="preserve"> </w:t>
      </w:r>
      <w:r>
        <w:rPr>
          <w:b/>
          <w:bCs/>
        </w:rPr>
        <w:t xml:space="preserve">12</w:t>
      </w:r>
      <w:r>
        <w:t xml:space="preserve">. Vg</w:t>
      </w:r>
      <w:r>
        <w:rPr>
          <w:rStyle w:val="FootnoteReference"/>
        </w:rPr>
        <w:footnoteReference w:id="102"/>
      </w:r>
      <w:r>
        <w:t xml:space="preserve"> </w:t>
      </w:r>
      <w:r>
        <w:t xml:space="preserve">seems to intimate that Jerusalem and the temple have been already destroyed, whereas these calamities did not come to pass until after the death of Tobias. It is possible that Tobias, in a prophetic vision, saw both the destruction and restoration of the Holy City. However, the reference to the temple is not textually certain, for the text could read:</w:t>
      </w:r>
      <w:r>
        <w:t xml:space="preserve"> </w:t>
      </w:r>
      <w:r>
        <w:t xml:space="preserve">‘</w:t>
      </w:r>
      <w:r>
        <w:t xml:space="preserve">let new</w:t>
      </w:r>
      <w:r>
        <w:t xml:space="preserve"> </w:t>
      </w:r>
      <w:r>
        <w:rPr>
          <w:i/>
          <w:iCs/>
        </w:rPr>
        <w:t xml:space="preserve">homes</w:t>
      </w:r>
      <w:r>
        <w:t xml:space="preserve"> </w:t>
      </w:r>
      <w:r>
        <w:t xml:space="preserve">be built</w:t>
      </w:r>
      <w:r>
        <w:t xml:space="preserve">’</w:t>
      </w:r>
      <w:r>
        <w:t xml:space="preserve">; and so, the destruction of the city would not necessarily be implied. Besides, Jerusalem often stood as a symbol of the lot of the People of Israel. Thus, when Jerusalem was said to flourish, Israel’s lot was a happy one; when Jerusalem suffered, the nation was in peril,</w:t>
      </w:r>
      <w:r>
        <w:t xml:space="preserve"> </w:t>
      </w:r>
      <w:r>
        <w:rPr>
          <w:i/>
          <w:iCs/>
        </w:rPr>
        <w:t xml:space="preserve">cf</w:t>
      </w:r>
      <w:r>
        <w:t xml:space="preserve">. Is 60. Hence Tobias may have been praying for, or even predicting, the return of the captives to their homeland and the future happier lot of the Children of Israel. If such a general interpretation be decided upon, the particular verses in Vg</w:t>
      </w:r>
      <w:r>
        <w:rPr>
          <w:rStyle w:val="FootnoteReference"/>
        </w:rPr>
        <w:footnoteReference w:id="103"/>
      </w:r>
      <w:r>
        <w:t xml:space="preserve"> </w:t>
      </w:r>
      <w:r>
        <w:t xml:space="preserve">and DV</w:t>
      </w:r>
      <w:r>
        <w:rPr>
          <w:rStyle w:val="FootnoteReference"/>
        </w:rPr>
        <w:footnoteReference w:id="104"/>
      </w:r>
      <w:r>
        <w:t xml:space="preserve"> </w:t>
      </w:r>
      <w:r>
        <w:t xml:space="preserve">hardly require comment.</w:t>
      </w:r>
      <w:r>
        <w:t xml:space="preserve"> </w:t>
      </w:r>
      <w:r>
        <w:rPr>
          <w:b/>
          <w:bCs/>
        </w:rPr>
        <w:t xml:space="preserve">21–22</w:t>
      </w:r>
      <w:r>
        <w:t xml:space="preserve">. In the Greek, the towers are built with gold, and the streets are paved with carbuncles and stones from Ophir. These precious minerals and gems are used figuratively to signify the prosperity of the New Jerusalem. According to some interpreters, all the references to Jerusalem have, besides their literal meaning, a typical sense. Then, the earthly Jerusalem would be a type of the heavenly Jerusalem, much as in the strikingly similar passage of Apoc 21:2, 18 ff.</w:t>
      </w:r>
    </w:p>
    <w:p>
      <w:pPr>
        <w:pStyle w:val="BodyText"/>
      </w:pPr>
      <w:r>
        <w:rPr>
          <w:b/>
          <w:bCs/>
        </w:rPr>
        <w:t xml:space="preserve">§ h.</w:t>
      </w:r>
      <w:r>
        <w:t xml:space="preserve"> </w:t>
      </w:r>
      <w:r>
        <w:rPr>
          <w:b/>
          <w:bCs/>
        </w:rPr>
        <w:t xml:space="preserve">14:1–17 The Last Days of Tobias and his Son–1–4</w:t>
      </w:r>
      <w:r>
        <w:t xml:space="preserve">. The chronological data of this final chapter seem to have suffered greatly at the hands of copyists or redactors. It is next to impossible, in view of the great variation among textual witnesses, to reconstruct any satisfactory chronology of the history of Tobias. Nor is it surprising that the figures should vary so greatly in the different recensions and versions. As all who have worked with ancient documents know, numbers easily suffer corruption as they are transcribed. This fact is observable in many books of the OT which have been transmitted to us in a far better state than the Book of Tobias. It would be beyond the scope of this commentary to attempt to estimate the value of the divergent chronological tables found in the different forms of the book. Suffice it to say that Vg</w:t>
      </w:r>
      <w:r>
        <w:rPr>
          <w:rStyle w:val="FootnoteReference"/>
        </w:rPr>
        <w:footnoteReference w:id="105"/>
      </w:r>
      <w:r>
        <w:t xml:space="preserve"> </w:t>
      </w:r>
      <w:r>
        <w:t xml:space="preserve">and DV, as they stand, must be revised; and that no single form of the book as we have it today is certainly accurate in this connexion.</w:t>
      </w:r>
      <w:r>
        <w:t xml:space="preserve"> </w:t>
      </w:r>
      <w:r>
        <w:rPr>
          <w:b/>
          <w:bCs/>
        </w:rPr>
        <w:t xml:space="preserve">5–9</w:t>
      </w:r>
      <w:r>
        <w:t xml:space="preserve">. Tobias,</w:t>
      </w:r>
      <w:r>
        <w:t xml:space="preserve"> </w:t>
      </w:r>
      <w:r>
        <w:rPr>
          <w:b/>
          <w:bCs/>
        </w:rPr>
        <w:t xml:space="preserve">§ i</w:t>
      </w:r>
      <w:r>
        <w:t xml:space="preserve"> </w:t>
      </w:r>
      <w:r>
        <w:t xml:space="preserve">the elder, foretells the destruction of Nineveh (612 b.c.) and Jerusalem (587), as well as the restoration of Israel.</w:t>
      </w:r>
      <w:r>
        <w:t xml:space="preserve"> </w:t>
      </w:r>
      <w:r>
        <w:rPr>
          <w:b/>
          <w:bCs/>
        </w:rPr>
        <w:t xml:space="preserve">10–13</w:t>
      </w:r>
      <w:r>
        <w:t xml:space="preserve">. The Greek, Syriac and Old Latin contain a rather lengthy reference to the story of Achikar (</w:t>
      </w:r>
      <w:r>
        <w:rPr>
          <w:i/>
          <w:iCs/>
        </w:rPr>
        <w:t xml:space="preserve">cf</w:t>
      </w:r>
      <w:r>
        <w:t xml:space="preserve">. § 301</w:t>
      </w:r>
      <w:r>
        <w:rPr>
          <w:i/>
          <w:iCs/>
        </w:rPr>
        <w:t xml:space="preserve">h–i</w:t>
      </w:r>
      <w:r>
        <w:t xml:space="preserve">). This is less likely to be an authentic part of the narrative than were the previous allusions to the Achikar story.</w:t>
      </w:r>
      <w:r>
        <w:t xml:space="preserve"> </w:t>
      </w:r>
      <w:r>
        <w:rPr>
          <w:b/>
          <w:bCs/>
        </w:rPr>
        <w:t xml:space="preserve">14–17</w:t>
      </w:r>
      <w:r>
        <w:t xml:space="preserve">. After the death of Tobias senior his son leaves Nineveh as he had been counselled to do, and with his family goes to live with Raguel and Anna in Ecbatana. There he had the happiness of seeing many descendants before dying in the Lord.</w:t>
      </w:r>
      <w:r>
        <w:rPr>
          <w:rStyle w:val="FootnoteReference"/>
        </w:rPr>
        <w:footnoteReference w:id="106"/>
      </w:r>
    </w:p>
    <w:bookmarkEnd w:id="108"/>
    <w:bookmarkEnd w:id="10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CSEL Corpus Scriptorum Ecclesiasticorum Latinorum, Vindobonae</w:t>
      </w:r>
    </w:p>
  </w:footnote>
  <w:footnote w:id="21">
    <w:p>
      <w:pPr>
        <w:pStyle w:val="FootnoteText"/>
      </w:pPr>
      <w:r>
        <w:rPr>
          <w:rStyle w:val="FootnoteReference"/>
        </w:rPr>
        <w:footnoteRef/>
      </w:r>
      <w:r>
        <w:t xml:space="preserve"> </w:t>
      </w:r>
      <w:r>
        <w:t xml:space="preserve">PL Patrologia Latina (Migne)</w:t>
      </w:r>
    </w:p>
  </w:footnote>
  <w:footnote w:id="22">
    <w:p>
      <w:pPr>
        <w:pStyle w:val="FootnoteText"/>
      </w:pPr>
      <w:r>
        <w:rPr>
          <w:rStyle w:val="FootnoteReference"/>
        </w:rPr>
        <w:footnoteRef/>
      </w:r>
      <w:r>
        <w:t xml:space="preserve"> </w:t>
      </w:r>
      <w:r>
        <w:t xml:space="preserve">RB Revue Biblique</w:t>
      </w:r>
    </w:p>
  </w:footnote>
  <w:footnote w:id="23">
    <w:p>
      <w:pPr>
        <w:pStyle w:val="FootnoteText"/>
      </w:pPr>
      <w:r>
        <w:rPr>
          <w:rStyle w:val="FootnoteReference"/>
        </w:rPr>
        <w:footnoteRef/>
      </w:r>
      <w:r>
        <w:t xml:space="preserve"> </w:t>
      </w:r>
      <w:r>
        <w:t xml:space="preserve">TQ Theologische Quartalschrift (Tübingen)</w:t>
      </w:r>
    </w:p>
  </w:footnote>
  <w:footnote w:id="24">
    <w:p>
      <w:pPr>
        <w:pStyle w:val="FootnoteText"/>
      </w:pPr>
      <w:r>
        <w:rPr>
          <w:rStyle w:val="FootnoteReference"/>
        </w:rPr>
        <w:footnoteRef/>
      </w:r>
      <w:r>
        <w:t xml:space="preserve"> </w:t>
      </w:r>
      <w:r>
        <w:t xml:space="preserve">DbR Dublin Review</w:t>
      </w:r>
    </w:p>
  </w:footnote>
  <w:footnote w:id="25">
    <w:p>
      <w:pPr>
        <w:pStyle w:val="FootnoteText"/>
      </w:pPr>
      <w:r>
        <w:rPr>
          <w:rStyle w:val="FootnoteReference"/>
        </w:rPr>
        <w:footnoteRef/>
      </w:r>
      <w:r>
        <w:t xml:space="preserve"> </w:t>
      </w:r>
      <w:r>
        <w:t xml:space="preserve">CSS Cursus Scripturae Sacrae, Paris, 1890–</w:t>
      </w:r>
    </w:p>
  </w:footnote>
  <w:footnote w:id="26">
    <w:p>
      <w:pPr>
        <w:pStyle w:val="FootnoteText"/>
      </w:pPr>
      <w:r>
        <w:rPr>
          <w:rStyle w:val="FootnoteReference"/>
        </w:rPr>
        <w:footnoteRef/>
      </w:r>
      <w:r>
        <w:t xml:space="preserve"> </w:t>
      </w:r>
      <w:r>
        <w:t xml:space="preserve">* The names of non-Catholic writers</w:t>
      </w:r>
    </w:p>
  </w:footnote>
  <w:footnote w:id="27">
    <w:p>
      <w:pPr>
        <w:pStyle w:val="FootnoteText"/>
      </w:pPr>
      <w:r>
        <w:rPr>
          <w:rStyle w:val="FootnoteReference"/>
        </w:rPr>
        <w:footnoteRef/>
      </w:r>
      <w:r>
        <w:t xml:space="preserve"> </w:t>
      </w:r>
      <w:r>
        <w:t xml:space="preserve">CAP Charles,</w:t>
      </w:r>
      <w:r>
        <w:t xml:space="preserve"> </w:t>
      </w:r>
      <w:r>
        <w:rPr>
          <w:i/>
          <w:iCs/>
        </w:rPr>
        <w:t xml:space="preserve">Apocrypha and Pseudepigrapha</w:t>
      </w:r>
      <w:r>
        <w:t xml:space="preserve">, 2 vols, Oxford, 1913</w:t>
      </w:r>
    </w:p>
  </w:footnote>
  <w:footnote w:id="28">
    <w:p>
      <w:pPr>
        <w:pStyle w:val="FootnoteText"/>
      </w:pPr>
      <w:r>
        <w:rPr>
          <w:rStyle w:val="FootnoteReference"/>
        </w:rPr>
        <w:footnoteRef/>
      </w:r>
      <w:r>
        <w:t xml:space="preserve"> </w:t>
      </w:r>
      <w:r>
        <w:t xml:space="preserve">* The names of non-Catholic writers</w:t>
      </w:r>
    </w:p>
  </w:footnote>
  <w:footnote w:id="29">
    <w:p>
      <w:pPr>
        <w:pStyle w:val="FootnoteText"/>
      </w:pPr>
      <w:r>
        <w:rPr>
          <w:rStyle w:val="FootnoteReference"/>
        </w:rPr>
        <w:footnoteRef/>
      </w:r>
      <w:r>
        <w:t xml:space="preserve"> </w:t>
      </w:r>
      <w:r>
        <w:t xml:space="preserve">* The names of non-Catholic writers</w:t>
      </w:r>
    </w:p>
  </w:footnote>
  <w:footnote w:id="30">
    <w:p>
      <w:pPr>
        <w:pStyle w:val="FootnoteText"/>
      </w:pPr>
      <w:r>
        <w:rPr>
          <w:rStyle w:val="FootnoteReference"/>
        </w:rPr>
        <w:footnoteRef/>
      </w:r>
      <w:r>
        <w:t xml:space="preserve"> </w:t>
      </w:r>
      <w:r>
        <w:t xml:space="preserve">* The names of non-Catholic writers</w:t>
      </w:r>
    </w:p>
  </w:footnote>
  <w:footnote w:id="31">
    <w:p>
      <w:pPr>
        <w:pStyle w:val="FootnoteText"/>
      </w:pPr>
      <w:r>
        <w:rPr>
          <w:rStyle w:val="FootnoteReference"/>
        </w:rPr>
        <w:footnoteRef/>
      </w:r>
      <w:r>
        <w:t xml:space="preserve"> </w:t>
      </w:r>
      <w:r>
        <w:t xml:space="preserve">* The names of non-Catholic writers</w:t>
      </w:r>
    </w:p>
  </w:footnote>
  <w:footnote w:id="32">
    <w:p>
      <w:pPr>
        <w:pStyle w:val="FootnoteText"/>
      </w:pPr>
      <w:r>
        <w:rPr>
          <w:rStyle w:val="FootnoteReference"/>
        </w:rPr>
        <w:footnoteRef/>
      </w:r>
      <w:r>
        <w:t xml:space="preserve"> </w:t>
      </w:r>
      <w:r>
        <w:t xml:space="preserve">Vg Vulgate (Sixtine-Clementine Edition)</w:t>
      </w:r>
    </w:p>
  </w:footnote>
  <w:footnote w:id="33">
    <w:p>
      <w:pPr>
        <w:pStyle w:val="FootnoteText"/>
      </w:pPr>
      <w:r>
        <w:rPr>
          <w:rStyle w:val="FootnoteReference"/>
        </w:rPr>
        <w:footnoteRef/>
      </w:r>
      <w:r>
        <w:t xml:space="preserve"> </w:t>
      </w:r>
      <w:r>
        <w:t xml:space="preserve">PL Patrologia Latina (Migne)</w:t>
      </w:r>
    </w:p>
  </w:footnote>
  <w:footnote w:id="34">
    <w:p>
      <w:pPr>
        <w:pStyle w:val="FootnoteText"/>
      </w:pPr>
      <w:r>
        <w:rPr>
          <w:rStyle w:val="FootnoteReference"/>
        </w:rPr>
        <w:footnoteRef/>
      </w:r>
      <w:r>
        <w:t xml:space="preserve"> </w:t>
      </w:r>
      <w:r>
        <w:t xml:space="preserve">Vg Vulgate (Sixtine-Clementine Edition)</w:t>
      </w:r>
    </w:p>
  </w:footnote>
  <w:footnote w:id="35">
    <w:p>
      <w:pPr>
        <w:pStyle w:val="FootnoteText"/>
      </w:pPr>
      <w:r>
        <w:rPr>
          <w:rStyle w:val="FootnoteReference"/>
        </w:rPr>
        <w:footnoteRef/>
      </w:r>
      <w:r>
        <w:t xml:space="preserve"> </w:t>
      </w:r>
      <w:r>
        <w:t xml:space="preserve">Vg Vulgate (Sixtine-Clementine Edition)</w:t>
      </w:r>
    </w:p>
  </w:footnote>
  <w:footnote w:id="36">
    <w:p>
      <w:pPr>
        <w:pStyle w:val="FootnoteText"/>
      </w:pPr>
      <w:r>
        <w:rPr>
          <w:rStyle w:val="FootnoteReference"/>
        </w:rPr>
        <w:footnoteRef/>
      </w:r>
      <w:r>
        <w:t xml:space="preserve"> </w:t>
      </w:r>
      <w:r>
        <w:t xml:space="preserve">Vg Vulgate (Sixtine-Clementine Edition)</w:t>
      </w:r>
    </w:p>
  </w:footnote>
  <w:footnote w:id="37">
    <w:p>
      <w:pPr>
        <w:pStyle w:val="FootnoteText"/>
      </w:pPr>
      <w:r>
        <w:rPr>
          <w:rStyle w:val="FootnoteReference"/>
        </w:rPr>
        <w:footnoteRef/>
      </w:r>
      <w:r>
        <w:t xml:space="preserve"> </w:t>
      </w:r>
      <w:r>
        <w:t xml:space="preserve">Vg Vulgate (Sixtine-Clementine Edition)</w:t>
      </w:r>
    </w:p>
  </w:footnote>
  <w:footnote w:id="38">
    <w:p>
      <w:pPr>
        <w:pStyle w:val="FootnoteText"/>
      </w:pPr>
      <w:r>
        <w:rPr>
          <w:rStyle w:val="FootnoteReference"/>
        </w:rPr>
        <w:footnoteRef/>
      </w:r>
      <w:r>
        <w:t xml:space="preserve"> </w:t>
      </w:r>
      <w:r>
        <w:t xml:space="preserve">DV Douay Version</w:t>
      </w:r>
    </w:p>
  </w:footnote>
  <w:footnote w:id="39">
    <w:p>
      <w:pPr>
        <w:pStyle w:val="FootnoteText"/>
      </w:pPr>
      <w:r>
        <w:rPr>
          <w:rStyle w:val="FootnoteReference"/>
        </w:rPr>
        <w:footnoteRef/>
      </w:r>
      <w:r>
        <w:t xml:space="preserve"> </w:t>
      </w:r>
      <w:r>
        <w:t xml:space="preserve">* The names of non-Catholic writers</w:t>
      </w:r>
    </w:p>
  </w:footnote>
  <w:footnote w:id="40">
    <w:p>
      <w:pPr>
        <w:pStyle w:val="FootnoteText"/>
      </w:pPr>
      <w:r>
        <w:rPr>
          <w:rStyle w:val="FootnoteReference"/>
        </w:rPr>
        <w:footnoteRef/>
      </w:r>
      <w:r>
        <w:t xml:space="preserve"> </w:t>
      </w:r>
      <w:r>
        <w:t xml:space="preserve">* The names of non-Catholic writers</w:t>
      </w:r>
    </w:p>
  </w:footnote>
  <w:footnote w:id="42">
    <w:p>
      <w:pPr>
        <w:pStyle w:val="FootnoteText"/>
      </w:pPr>
      <w:r>
        <w:rPr>
          <w:rStyle w:val="FootnoteReference"/>
        </w:rPr>
        <w:footnoteRef/>
      </w:r>
      <w:r>
        <w:t xml:space="preserve"> </w:t>
      </w:r>
      <w:r>
        <w:t xml:space="preserve">* The names of non-Catholic writers</w:t>
      </w:r>
    </w:p>
  </w:footnote>
  <w:footnote w:id="43">
    <w:p>
      <w:pPr>
        <w:pStyle w:val="FootnoteText"/>
      </w:pPr>
      <w:r>
        <w:rPr>
          <w:rStyle w:val="FootnoteReference"/>
        </w:rPr>
        <w:footnoteRef/>
      </w:r>
      <w:r>
        <w:t xml:space="preserve"> </w:t>
      </w:r>
      <w:r>
        <w:t xml:space="preserve">EB</w:t>
      </w:r>
      <w:r>
        <w:t xml:space="preserve"> </w:t>
      </w:r>
      <w:r>
        <w:rPr>
          <w:i/>
          <w:iCs/>
        </w:rPr>
        <w:t xml:space="preserve">Enchiridion Biblicum</w:t>
      </w:r>
    </w:p>
  </w:footnote>
  <w:footnote w:id="44">
    <w:p>
      <w:pPr>
        <w:pStyle w:val="FootnoteText"/>
      </w:pPr>
      <w:r>
        <w:rPr>
          <w:rStyle w:val="FootnoteReference"/>
        </w:rPr>
        <w:footnoteRef/>
      </w:r>
      <w:r>
        <w:t xml:space="preserve"> </w:t>
      </w:r>
      <w:r>
        <w:t xml:space="preserve">* The names of non-Catholic writers</w:t>
      </w:r>
    </w:p>
  </w:footnote>
  <w:footnote w:id="45">
    <w:p>
      <w:pPr>
        <w:pStyle w:val="FootnoteText"/>
      </w:pPr>
      <w:r>
        <w:rPr>
          <w:rStyle w:val="FootnoteReference"/>
        </w:rPr>
        <w:footnoteRef/>
      </w:r>
      <w:r>
        <w:t xml:space="preserve"> </w:t>
      </w:r>
      <w:r>
        <w:t xml:space="preserve">* The names of non-Catholic writers</w:t>
      </w:r>
    </w:p>
  </w:footnote>
  <w:footnote w:id="46">
    <w:p>
      <w:pPr>
        <w:pStyle w:val="FootnoteText"/>
      </w:pPr>
      <w:r>
        <w:rPr>
          <w:rStyle w:val="FootnoteReference"/>
        </w:rPr>
        <w:footnoteRef/>
      </w:r>
      <w:r>
        <w:t xml:space="preserve"> </w:t>
      </w:r>
      <w:r>
        <w:t xml:space="preserve">2 The number of the edition.</w:t>
      </w:r>
    </w:p>
  </w:footnote>
  <w:footnote w:id="47">
    <w:p>
      <w:pPr>
        <w:pStyle w:val="FootnoteText"/>
      </w:pPr>
      <w:r>
        <w:rPr>
          <w:rStyle w:val="FootnoteReference"/>
        </w:rPr>
        <w:footnoteRef/>
      </w:r>
      <w:r>
        <w:t xml:space="preserve"> </w:t>
      </w:r>
      <w:r>
        <w:t xml:space="preserve">Vg Vulgate (Sixtine-Clementine Edition)</w:t>
      </w:r>
    </w:p>
  </w:footnote>
  <w:footnote w:id="48">
    <w:p>
      <w:pPr>
        <w:pStyle w:val="FootnoteText"/>
      </w:pPr>
      <w:r>
        <w:rPr>
          <w:rStyle w:val="FootnoteReference"/>
        </w:rPr>
        <w:footnoteRef/>
      </w:r>
      <w:r>
        <w:t xml:space="preserve"> </w:t>
      </w:r>
      <w:r>
        <w:t xml:space="preserve">DV Douay Version</w:t>
      </w:r>
    </w:p>
  </w:footnote>
  <w:footnote w:id="51">
    <w:p>
      <w:pPr>
        <w:pStyle w:val="FootnoteText"/>
      </w:pPr>
      <w:r>
        <w:rPr>
          <w:rStyle w:val="FootnoteReference"/>
        </w:rPr>
        <w:footnoteRef/>
      </w:r>
      <w:r>
        <w:t xml:space="preserve"> </w:t>
      </w:r>
      <w:r>
        <w:t xml:space="preserve">Vg Vulgate (Sixtine-Clementine Edition)</w:t>
      </w:r>
    </w:p>
  </w:footnote>
  <w:footnote w:id="52">
    <w:p>
      <w:pPr>
        <w:pStyle w:val="FootnoteText"/>
      </w:pPr>
      <w:r>
        <w:rPr>
          <w:rStyle w:val="FootnoteReference"/>
        </w:rPr>
        <w:footnoteRef/>
      </w:r>
      <w:r>
        <w:t xml:space="preserve"> </w:t>
      </w:r>
      <w:r>
        <w:t xml:space="preserve">PL Patrologia Latina (Migne)</w:t>
      </w:r>
    </w:p>
  </w:footnote>
  <w:footnote w:id="53">
    <w:p>
      <w:pPr>
        <w:pStyle w:val="FootnoteText"/>
      </w:pPr>
      <w:r>
        <w:rPr>
          <w:rStyle w:val="FootnoteReference"/>
        </w:rPr>
        <w:footnoteRef/>
      </w:r>
      <w:r>
        <w:t xml:space="preserve"> </w:t>
      </w:r>
      <w:r>
        <w:t xml:space="preserve">Vg Vulgate (Sixtine-Clementine Edition)</w:t>
      </w:r>
    </w:p>
  </w:footnote>
  <w:footnote w:id="54">
    <w:p>
      <w:pPr>
        <w:pStyle w:val="FootnoteText"/>
      </w:pPr>
      <w:r>
        <w:rPr>
          <w:rStyle w:val="FootnoteReference"/>
        </w:rPr>
        <w:footnoteRef/>
      </w:r>
      <w:r>
        <w:t xml:space="preserve"> </w:t>
      </w:r>
      <w:r>
        <w:t xml:space="preserve">Vg Vulgate (Sixtine-Clementine Edition)</w:t>
      </w:r>
    </w:p>
  </w:footnote>
  <w:footnote w:id="55">
    <w:p>
      <w:pPr>
        <w:pStyle w:val="FootnoteText"/>
      </w:pPr>
      <w:r>
        <w:rPr>
          <w:rStyle w:val="FootnoteReference"/>
        </w:rPr>
        <w:footnoteRef/>
      </w:r>
      <w:r>
        <w:t xml:space="preserve"> </w:t>
      </w:r>
      <w:r>
        <w:t xml:space="preserve">Vg Vulgate (Sixtine-Clementine Edition)</w:t>
      </w:r>
    </w:p>
  </w:footnote>
  <w:footnote w:id="56">
    <w:p>
      <w:pPr>
        <w:pStyle w:val="FootnoteText"/>
      </w:pPr>
      <w:r>
        <w:rPr>
          <w:rStyle w:val="FootnoteReference"/>
        </w:rPr>
        <w:footnoteRef/>
      </w:r>
      <w:r>
        <w:t xml:space="preserve"> </w:t>
      </w:r>
      <w:r>
        <w:t xml:space="preserve">Vg Vulgate (Sixtine-Clementine Edition)</w:t>
      </w:r>
    </w:p>
  </w:footnote>
  <w:footnote w:id="58">
    <w:p>
      <w:pPr>
        <w:pStyle w:val="FootnoteText"/>
      </w:pPr>
      <w:r>
        <w:rPr>
          <w:rStyle w:val="FootnoteReference"/>
        </w:rPr>
        <w:footnoteRef/>
      </w:r>
      <w:r>
        <w:t xml:space="preserve"> </w:t>
      </w:r>
      <w:r>
        <w:t xml:space="preserve">Vg Vulgate (Sixtine-Clementine Edition)</w:t>
      </w:r>
    </w:p>
  </w:footnote>
  <w:footnote w:id="59">
    <w:p>
      <w:pPr>
        <w:pStyle w:val="FootnoteText"/>
      </w:pPr>
      <w:r>
        <w:rPr>
          <w:rStyle w:val="FootnoteReference"/>
        </w:rPr>
        <w:footnoteRef/>
      </w:r>
      <w:r>
        <w:t xml:space="preserve"> </w:t>
      </w:r>
      <w:r>
        <w:t xml:space="preserve">Vg Vulgate (Sixtine-Clementine Edition)</w:t>
      </w:r>
    </w:p>
  </w:footnote>
  <w:footnote w:id="60">
    <w:p>
      <w:pPr>
        <w:pStyle w:val="FootnoteText"/>
      </w:pPr>
      <w:r>
        <w:rPr>
          <w:rStyle w:val="FootnoteReference"/>
        </w:rPr>
        <w:footnoteRef/>
      </w:r>
      <w:r>
        <w:t xml:space="preserve"> </w:t>
      </w:r>
      <w:r>
        <w:t xml:space="preserve">Vg Vulgate (Sixtine-Clementine Edition)</w:t>
      </w:r>
    </w:p>
  </w:footnote>
  <w:footnote w:id="61">
    <w:p>
      <w:pPr>
        <w:pStyle w:val="FootnoteText"/>
      </w:pPr>
      <w:r>
        <w:rPr>
          <w:rStyle w:val="FootnoteReference"/>
        </w:rPr>
        <w:footnoteRef/>
      </w:r>
      <w:r>
        <w:t xml:space="preserve"> </w:t>
      </w:r>
      <w:r>
        <w:t xml:space="preserve">Vg Vulgate (Sixtine-Clementine Edition)</w:t>
      </w:r>
    </w:p>
  </w:footnote>
  <w:footnote w:id="62">
    <w:p>
      <w:pPr>
        <w:pStyle w:val="FootnoteText"/>
      </w:pPr>
      <w:r>
        <w:rPr>
          <w:rStyle w:val="FootnoteReference"/>
        </w:rPr>
        <w:footnoteRef/>
      </w:r>
      <w:r>
        <w:t xml:space="preserve"> </w:t>
      </w:r>
      <w:r>
        <w:t xml:space="preserve">Vg Vulgate (Sixtine-Clementine Edition)</w:t>
      </w:r>
    </w:p>
  </w:footnote>
  <w:footnote w:id="63">
    <w:p>
      <w:pPr>
        <w:pStyle w:val="FootnoteText"/>
      </w:pPr>
      <w:r>
        <w:rPr>
          <w:rStyle w:val="FootnoteReference"/>
        </w:rPr>
        <w:footnoteRef/>
      </w:r>
      <w:r>
        <w:t xml:space="preserve"> </w:t>
      </w:r>
      <w:r>
        <w:t xml:space="preserve">DV Douay Version</w:t>
      </w:r>
    </w:p>
  </w:footnote>
  <w:footnote w:id="64">
    <w:p>
      <w:pPr>
        <w:pStyle w:val="FootnoteText"/>
      </w:pPr>
      <w:r>
        <w:rPr>
          <w:rStyle w:val="FootnoteReference"/>
        </w:rPr>
        <w:footnoteRef/>
      </w:r>
      <w:r>
        <w:t xml:space="preserve"> </w:t>
      </w:r>
      <w:r>
        <w:t xml:space="preserve">Vg Vulgate (Sixtine-Clementine Edition)</w:t>
      </w:r>
    </w:p>
  </w:footnote>
  <w:footnote w:id="65">
    <w:p>
      <w:pPr>
        <w:pStyle w:val="FootnoteText"/>
      </w:pPr>
      <w:r>
        <w:rPr>
          <w:rStyle w:val="FootnoteReference"/>
        </w:rPr>
        <w:footnoteRef/>
      </w:r>
      <w:r>
        <w:t xml:space="preserve"> </w:t>
      </w:r>
      <w:r>
        <w:t xml:space="preserve">Vg Vulgate (Sixtine-Clementine Edition)</w:t>
      </w:r>
    </w:p>
  </w:footnote>
  <w:footnote w:id="66">
    <w:p>
      <w:pPr>
        <w:pStyle w:val="FootnoteText"/>
      </w:pPr>
      <w:r>
        <w:rPr>
          <w:rStyle w:val="FootnoteReference"/>
        </w:rPr>
        <w:footnoteRef/>
      </w:r>
      <w:r>
        <w:t xml:space="preserve"> </w:t>
      </w:r>
      <w:r>
        <w:t xml:space="preserve">Vg Vulgate (Sixtine-Clementine Edition)</w:t>
      </w:r>
    </w:p>
  </w:footnote>
  <w:footnote w:id="68">
    <w:p>
      <w:pPr>
        <w:pStyle w:val="FootnoteText"/>
      </w:pPr>
      <w:r>
        <w:rPr>
          <w:rStyle w:val="FootnoteReference"/>
        </w:rPr>
        <w:footnoteRef/>
      </w:r>
      <w:r>
        <w:t xml:space="preserve"> </w:t>
      </w:r>
      <w:r>
        <w:t xml:space="preserve">Vg Vulgate (Sixtine-Clementine Edition)</w:t>
      </w:r>
    </w:p>
  </w:footnote>
  <w:footnote w:id="69">
    <w:p>
      <w:pPr>
        <w:pStyle w:val="FootnoteText"/>
      </w:pPr>
      <w:r>
        <w:rPr>
          <w:rStyle w:val="FootnoteReference"/>
        </w:rPr>
        <w:footnoteRef/>
      </w:r>
      <w:r>
        <w:t xml:space="preserve"> </w:t>
      </w:r>
      <w:r>
        <w:t xml:space="preserve">Vg Vulgate (Sixtine-Clementine Edition)</w:t>
      </w:r>
    </w:p>
  </w:footnote>
  <w:footnote w:id="70">
    <w:p>
      <w:pPr>
        <w:pStyle w:val="FootnoteText"/>
      </w:pPr>
      <w:r>
        <w:rPr>
          <w:rStyle w:val="FootnoteReference"/>
        </w:rPr>
        <w:footnoteRef/>
      </w:r>
      <w:r>
        <w:t xml:space="preserve"> </w:t>
      </w:r>
      <w:r>
        <w:t xml:space="preserve">DV Douay Version</w:t>
      </w:r>
    </w:p>
  </w:footnote>
  <w:footnote w:id="71">
    <w:p>
      <w:pPr>
        <w:pStyle w:val="FootnoteText"/>
      </w:pPr>
      <w:r>
        <w:rPr>
          <w:rStyle w:val="FootnoteReference"/>
        </w:rPr>
        <w:footnoteRef/>
      </w:r>
      <w:r>
        <w:t xml:space="preserve"> </w:t>
      </w:r>
      <w:r>
        <w:t xml:space="preserve">Vg Vulgate (Sixtine-Clementine Edition)</w:t>
      </w:r>
    </w:p>
  </w:footnote>
  <w:footnote w:id="72">
    <w:p>
      <w:pPr>
        <w:pStyle w:val="FootnoteText"/>
      </w:pPr>
      <w:r>
        <w:rPr>
          <w:rStyle w:val="FootnoteReference"/>
        </w:rPr>
        <w:footnoteRef/>
      </w:r>
      <w:r>
        <w:t xml:space="preserve"> </w:t>
      </w:r>
      <w:r>
        <w:t xml:space="preserve">Vg Vulgate (Sixtine-Clementine Edition)</w:t>
      </w:r>
    </w:p>
  </w:footnote>
  <w:footnote w:id="73">
    <w:p>
      <w:pPr>
        <w:pStyle w:val="FootnoteText"/>
      </w:pPr>
      <w:r>
        <w:rPr>
          <w:rStyle w:val="FootnoteReference"/>
        </w:rPr>
        <w:footnoteRef/>
      </w:r>
      <w:r>
        <w:t xml:space="preserve"> </w:t>
      </w:r>
      <w:r>
        <w:t xml:space="preserve">Vg Vulgate (Sixtine-Clementine Edition)</w:t>
      </w:r>
    </w:p>
  </w:footnote>
  <w:footnote w:id="74">
    <w:p>
      <w:pPr>
        <w:pStyle w:val="FootnoteText"/>
      </w:pPr>
      <w:r>
        <w:rPr>
          <w:rStyle w:val="FootnoteReference"/>
        </w:rPr>
        <w:footnoteRef/>
      </w:r>
      <w:r>
        <w:t xml:space="preserve"> </w:t>
      </w:r>
      <w:r>
        <w:t xml:space="preserve">DV Douay Version</w:t>
      </w:r>
    </w:p>
  </w:footnote>
  <w:footnote w:id="75">
    <w:p>
      <w:pPr>
        <w:pStyle w:val="FootnoteText"/>
      </w:pPr>
      <w:r>
        <w:rPr>
          <w:rStyle w:val="FootnoteReference"/>
        </w:rPr>
        <w:footnoteRef/>
      </w:r>
      <w:r>
        <w:t xml:space="preserve"> </w:t>
      </w:r>
      <w:r>
        <w:t xml:space="preserve">Vg Vulgate (Sixtine-Clementine Edition)</w:t>
      </w:r>
    </w:p>
  </w:footnote>
  <w:footnote w:id="76">
    <w:p>
      <w:pPr>
        <w:pStyle w:val="FootnoteText"/>
      </w:pPr>
      <w:r>
        <w:rPr>
          <w:rStyle w:val="FootnoteReference"/>
        </w:rPr>
        <w:footnoteRef/>
      </w:r>
      <w:r>
        <w:t xml:space="preserve"> </w:t>
      </w:r>
      <w:r>
        <w:t xml:space="preserve">Vg Vulgate (Sixtine-Clementine Edition)</w:t>
      </w:r>
    </w:p>
  </w:footnote>
  <w:footnote w:id="77">
    <w:p>
      <w:pPr>
        <w:pStyle w:val="FootnoteText"/>
      </w:pPr>
      <w:r>
        <w:rPr>
          <w:rStyle w:val="FootnoteReference"/>
        </w:rPr>
        <w:footnoteRef/>
      </w:r>
      <w:r>
        <w:t xml:space="preserve"> </w:t>
      </w:r>
      <w:r>
        <w:t xml:space="preserve">Vg Vulgate (Sixtine-Clementine Edition)</w:t>
      </w:r>
    </w:p>
  </w:footnote>
  <w:footnote w:id="78">
    <w:p>
      <w:pPr>
        <w:pStyle w:val="FootnoteText"/>
      </w:pPr>
      <w:r>
        <w:rPr>
          <w:rStyle w:val="FootnoteReference"/>
        </w:rPr>
        <w:footnoteRef/>
      </w:r>
      <w:r>
        <w:t xml:space="preserve"> </w:t>
      </w:r>
      <w:r>
        <w:t xml:space="preserve">Vg Vulgate (Sixtine-Clementine Edition)</w:t>
      </w:r>
    </w:p>
  </w:footnote>
  <w:footnote w:id="80">
    <w:p>
      <w:pPr>
        <w:pStyle w:val="FootnoteText"/>
      </w:pPr>
      <w:r>
        <w:rPr>
          <w:rStyle w:val="FootnoteReference"/>
        </w:rPr>
        <w:footnoteRef/>
      </w:r>
      <w:r>
        <w:t xml:space="preserve"> </w:t>
      </w:r>
      <w:r>
        <w:t xml:space="preserve">Vg Vulgate (Sixtine-Clementine Edition)</w:t>
      </w:r>
    </w:p>
  </w:footnote>
  <w:footnote w:id="81">
    <w:p>
      <w:pPr>
        <w:pStyle w:val="FootnoteText"/>
      </w:pPr>
      <w:r>
        <w:rPr>
          <w:rStyle w:val="FootnoteReference"/>
        </w:rPr>
        <w:footnoteRef/>
      </w:r>
      <w:r>
        <w:t xml:space="preserve"> </w:t>
      </w:r>
      <w:r>
        <w:t xml:space="preserve">Vg Vulgate (Sixtine-Clementine Edition)</w:t>
      </w:r>
    </w:p>
  </w:footnote>
  <w:footnote w:id="82">
    <w:p>
      <w:pPr>
        <w:pStyle w:val="FootnoteText"/>
      </w:pPr>
      <w:r>
        <w:rPr>
          <w:rStyle w:val="FootnoteReference"/>
        </w:rPr>
        <w:footnoteRef/>
      </w:r>
      <w:r>
        <w:t xml:space="preserve"> </w:t>
      </w:r>
      <w:r>
        <w:t xml:space="preserve">Vg Vulgate (Sixtine-Clementine Edition)</w:t>
      </w:r>
    </w:p>
  </w:footnote>
  <w:footnote w:id="83">
    <w:p>
      <w:pPr>
        <w:pStyle w:val="FootnoteText"/>
      </w:pPr>
      <w:r>
        <w:rPr>
          <w:rStyle w:val="FootnoteReference"/>
        </w:rPr>
        <w:footnoteRef/>
      </w:r>
      <w:r>
        <w:t xml:space="preserve"> </w:t>
      </w:r>
      <w:r>
        <w:t xml:space="preserve">Vg Vulgate (Sixtine-Clementine Edition)</w:t>
      </w:r>
    </w:p>
  </w:footnote>
  <w:footnote w:id="84">
    <w:p>
      <w:pPr>
        <w:pStyle w:val="FootnoteText"/>
      </w:pPr>
      <w:r>
        <w:rPr>
          <w:rStyle w:val="FootnoteReference"/>
        </w:rPr>
        <w:footnoteRef/>
      </w:r>
      <w:r>
        <w:t xml:space="preserve"> </w:t>
      </w:r>
      <w:r>
        <w:t xml:space="preserve">DV Douay Version</w:t>
      </w:r>
    </w:p>
  </w:footnote>
  <w:footnote w:id="85">
    <w:p>
      <w:pPr>
        <w:pStyle w:val="FootnoteText"/>
      </w:pPr>
      <w:r>
        <w:rPr>
          <w:rStyle w:val="FootnoteReference"/>
        </w:rPr>
        <w:footnoteRef/>
      </w:r>
      <w:r>
        <w:t xml:space="preserve"> </w:t>
      </w:r>
      <w:r>
        <w:t xml:space="preserve">Vg Vulgate (Sixtine-Clementine Edition)</w:t>
      </w:r>
    </w:p>
  </w:footnote>
  <w:footnote w:id="86">
    <w:p>
      <w:pPr>
        <w:pStyle w:val="FootnoteText"/>
      </w:pPr>
      <w:r>
        <w:rPr>
          <w:rStyle w:val="FootnoteReference"/>
        </w:rPr>
        <w:footnoteRef/>
      </w:r>
      <w:r>
        <w:t xml:space="preserve"> </w:t>
      </w:r>
      <w:r>
        <w:t xml:space="preserve">Vg Vulgate (Sixtine-Clementine Edition)</w:t>
      </w:r>
    </w:p>
  </w:footnote>
  <w:footnote w:id="87">
    <w:p>
      <w:pPr>
        <w:pStyle w:val="FootnoteText"/>
      </w:pPr>
      <w:r>
        <w:rPr>
          <w:rStyle w:val="FootnoteReference"/>
        </w:rPr>
        <w:footnoteRef/>
      </w:r>
      <w:r>
        <w:t xml:space="preserve"> </w:t>
      </w:r>
      <w:r>
        <w:t xml:space="preserve">Vg Vulgate (Sixtine-Clementine Edition)</w:t>
      </w:r>
    </w:p>
  </w:footnote>
  <w:footnote w:id="88">
    <w:p>
      <w:pPr>
        <w:pStyle w:val="FootnoteText"/>
      </w:pPr>
      <w:r>
        <w:rPr>
          <w:rStyle w:val="FootnoteReference"/>
        </w:rPr>
        <w:footnoteRef/>
      </w:r>
      <w:r>
        <w:t xml:space="preserve"> </w:t>
      </w:r>
      <w:r>
        <w:t xml:space="preserve">Vg Vulgate (Sixtine-Clementine Edition)</w:t>
      </w:r>
    </w:p>
  </w:footnote>
  <w:footnote w:id="89">
    <w:p>
      <w:pPr>
        <w:pStyle w:val="FootnoteText"/>
      </w:pPr>
      <w:r>
        <w:rPr>
          <w:rStyle w:val="FootnoteReference"/>
        </w:rPr>
        <w:footnoteRef/>
      </w:r>
      <w:r>
        <w:t xml:space="preserve"> </w:t>
      </w:r>
      <w:r>
        <w:t xml:space="preserve">Vg Vulgate (Sixtine-Clementine Edition)</w:t>
      </w:r>
    </w:p>
  </w:footnote>
  <w:footnote w:id="90">
    <w:p>
      <w:pPr>
        <w:pStyle w:val="FootnoteText"/>
      </w:pPr>
      <w:r>
        <w:rPr>
          <w:rStyle w:val="FootnoteReference"/>
        </w:rPr>
        <w:footnoteRef/>
      </w:r>
      <w:r>
        <w:t xml:space="preserve"> </w:t>
      </w:r>
      <w:r>
        <w:t xml:space="preserve">Vg Vulgate (Sixtine-Clementine Edition)</w:t>
      </w:r>
    </w:p>
  </w:footnote>
  <w:footnote w:id="91">
    <w:p>
      <w:pPr>
        <w:pStyle w:val="FootnoteText"/>
      </w:pPr>
      <w:r>
        <w:rPr>
          <w:rStyle w:val="FootnoteReference"/>
        </w:rPr>
        <w:footnoteRef/>
      </w:r>
      <w:r>
        <w:t xml:space="preserve"> </w:t>
      </w:r>
      <w:r>
        <w:t xml:space="preserve">Vg Vulgate (Sixtine-Clementine Edition)</w:t>
      </w:r>
    </w:p>
  </w:footnote>
  <w:footnote w:id="92">
    <w:p>
      <w:pPr>
        <w:pStyle w:val="FootnoteText"/>
      </w:pPr>
      <w:r>
        <w:rPr>
          <w:rStyle w:val="FootnoteReference"/>
        </w:rPr>
        <w:footnoteRef/>
      </w:r>
      <w:r>
        <w:t xml:space="preserve"> </w:t>
      </w:r>
      <w:r>
        <w:t xml:space="preserve">Vg Vulgate (Sixtine-Clementine Edition)</w:t>
      </w:r>
    </w:p>
  </w:footnote>
  <w:footnote w:id="93">
    <w:p>
      <w:pPr>
        <w:pStyle w:val="FootnoteText"/>
      </w:pPr>
      <w:r>
        <w:rPr>
          <w:rStyle w:val="FootnoteReference"/>
        </w:rPr>
        <w:footnoteRef/>
      </w:r>
      <w:r>
        <w:t xml:space="preserve"> </w:t>
      </w:r>
      <w:r>
        <w:t xml:space="preserve">Vg Vulgate (Sixtine-Clementine Edition)</w:t>
      </w:r>
    </w:p>
  </w:footnote>
  <w:footnote w:id="94">
    <w:p>
      <w:pPr>
        <w:pStyle w:val="FootnoteText"/>
      </w:pPr>
      <w:r>
        <w:rPr>
          <w:rStyle w:val="FootnoteReference"/>
        </w:rPr>
        <w:footnoteRef/>
      </w:r>
      <w:r>
        <w:t xml:space="preserve"> </w:t>
      </w:r>
      <w:r>
        <w:t xml:space="preserve">Vg Vulgate (Sixtine-Clementine Edition)</w:t>
      </w:r>
    </w:p>
  </w:footnote>
  <w:footnote w:id="95">
    <w:p>
      <w:pPr>
        <w:pStyle w:val="FootnoteText"/>
      </w:pPr>
      <w:r>
        <w:rPr>
          <w:rStyle w:val="FootnoteReference"/>
        </w:rPr>
        <w:footnoteRef/>
      </w:r>
      <w:r>
        <w:t xml:space="preserve"> </w:t>
      </w:r>
      <w:r>
        <w:t xml:space="preserve">Vg Vulgate (Sixtine-Clementine Edition)</w:t>
      </w:r>
    </w:p>
  </w:footnote>
  <w:footnote w:id="96">
    <w:p>
      <w:pPr>
        <w:pStyle w:val="FootnoteText"/>
      </w:pPr>
      <w:r>
        <w:rPr>
          <w:rStyle w:val="FootnoteReference"/>
        </w:rPr>
        <w:footnoteRef/>
      </w:r>
      <w:r>
        <w:t xml:space="preserve"> </w:t>
      </w:r>
      <w:r>
        <w:t xml:space="preserve">Vg Vulgate (Sixtine-Clementine Edition)</w:t>
      </w:r>
    </w:p>
  </w:footnote>
  <w:footnote w:id="97">
    <w:p>
      <w:pPr>
        <w:pStyle w:val="FootnoteText"/>
      </w:pPr>
      <w:r>
        <w:rPr>
          <w:rStyle w:val="FootnoteReference"/>
        </w:rPr>
        <w:footnoteRef/>
      </w:r>
      <w:r>
        <w:t xml:space="preserve"> </w:t>
      </w:r>
      <w:r>
        <w:t xml:space="preserve">Vg Vulgate (Sixtine-Clementine Edition)</w:t>
      </w:r>
    </w:p>
  </w:footnote>
  <w:footnote w:id="99">
    <w:p>
      <w:pPr>
        <w:pStyle w:val="FootnoteText"/>
      </w:pPr>
      <w:r>
        <w:rPr>
          <w:rStyle w:val="FootnoteReference"/>
        </w:rPr>
        <w:footnoteRef/>
      </w:r>
      <w:r>
        <w:t xml:space="preserve"> </w:t>
      </w:r>
      <w:r>
        <w:t xml:space="preserve">Vg Vulgate (Sixtine-Clementine Edition)</w:t>
      </w:r>
    </w:p>
  </w:footnote>
  <w:footnote w:id="100">
    <w:p>
      <w:pPr>
        <w:pStyle w:val="FootnoteText"/>
      </w:pPr>
      <w:r>
        <w:rPr>
          <w:rStyle w:val="FootnoteReference"/>
        </w:rPr>
        <w:footnoteRef/>
      </w:r>
      <w:r>
        <w:t xml:space="preserve"> </w:t>
      </w:r>
      <w:r>
        <w:t xml:space="preserve">Vg Vulgate (Sixtine-Clementine Edition)</w:t>
      </w:r>
    </w:p>
  </w:footnote>
  <w:footnote w:id="101">
    <w:p>
      <w:pPr>
        <w:pStyle w:val="FootnoteText"/>
      </w:pPr>
      <w:r>
        <w:rPr>
          <w:rStyle w:val="FootnoteReference"/>
        </w:rPr>
        <w:footnoteRef/>
      </w:r>
      <w:r>
        <w:t xml:space="preserve"> </w:t>
      </w:r>
      <w:r>
        <w:t xml:space="preserve">Vg Vulgate (Sixtine-Clementine Edition)</w:t>
      </w:r>
    </w:p>
  </w:footnote>
  <w:footnote w:id="102">
    <w:p>
      <w:pPr>
        <w:pStyle w:val="FootnoteText"/>
      </w:pPr>
      <w:r>
        <w:rPr>
          <w:rStyle w:val="FootnoteReference"/>
        </w:rPr>
        <w:footnoteRef/>
      </w:r>
      <w:r>
        <w:t xml:space="preserve"> </w:t>
      </w:r>
      <w:r>
        <w:t xml:space="preserve">Vg Vulgate (Sixtine-Clementine Edition)</w:t>
      </w:r>
    </w:p>
  </w:footnote>
  <w:footnote w:id="103">
    <w:p>
      <w:pPr>
        <w:pStyle w:val="FootnoteText"/>
      </w:pPr>
      <w:r>
        <w:rPr>
          <w:rStyle w:val="FootnoteReference"/>
        </w:rPr>
        <w:footnoteRef/>
      </w:r>
      <w:r>
        <w:t xml:space="preserve"> </w:t>
      </w:r>
      <w:r>
        <w:t xml:space="preserve">Vg Vulgate (Sixtine-Clementine Edition)</w:t>
      </w:r>
    </w:p>
  </w:footnote>
  <w:footnote w:id="104">
    <w:p>
      <w:pPr>
        <w:pStyle w:val="FootnoteText"/>
      </w:pPr>
      <w:r>
        <w:rPr>
          <w:rStyle w:val="FootnoteReference"/>
        </w:rPr>
        <w:footnoteRef/>
      </w:r>
      <w:r>
        <w:t xml:space="preserve"> </w:t>
      </w:r>
      <w:r>
        <w:t xml:space="preserve">DV Douay Version</w:t>
      </w:r>
    </w:p>
  </w:footnote>
  <w:footnote w:id="105">
    <w:p>
      <w:pPr>
        <w:pStyle w:val="FootnoteText"/>
      </w:pPr>
      <w:r>
        <w:rPr>
          <w:rStyle w:val="FootnoteReference"/>
        </w:rPr>
        <w:footnoteRef/>
      </w:r>
      <w:r>
        <w:t xml:space="preserve"> </w:t>
      </w:r>
      <w:r>
        <w:t xml:space="preserve">Vg Vulgate (Sixtine-Clementine Edition)</w:t>
      </w:r>
    </w:p>
  </w:footnote>
  <w:footnote w:id="106">
    <w:p>
      <w:pPr>
        <w:pStyle w:val="FootnoteText"/>
      </w:pPr>
      <w:r>
        <w:rPr>
          <w:rStyle w:val="FootnoteReference"/>
        </w:rPr>
        <w:footnoteRef/>
      </w:r>
      <w:r>
        <w:t xml:space="preserve"> </w:t>
      </w:r>
      <w:r>
        <w:t xml:space="preserve">C. F. DeVine,</w:t>
      </w:r>
      <w:r>
        <w:t xml:space="preserve"> </w:t>
      </w:r>
      <w:hyperlink r:id="rId107">
        <w:r>
          <w:rPr>
            <w:rStyle w:val="Hyperlink"/>
            <w:i/>
            <w:iCs/>
          </w:rPr>
          <w:t xml:space="preserve">“</w:t>
        </w:r>
        <w:r>
          <w:rPr>
            <w:rStyle w:val="Hyperlink"/>
            <w:i/>
            <w:iCs/>
          </w:rPr>
          <w:t xml:space="preserve">The Book of Tobias,</w:t>
        </w:r>
        <w:r>
          <w:rPr>
            <w:rStyle w:val="Hyperlink"/>
            <w:i/>
            <w:iCs/>
          </w:rPr>
          <w:t xml:space="preserve">”</w:t>
        </w:r>
      </w:hyperlink>
      <w:r>
        <w:t xml:space="preserve"> </w:t>
      </w:r>
      <w:r>
        <w:t xml:space="preserve">in</w:t>
      </w:r>
      <w:r>
        <w:t xml:space="preserve"> </w:t>
      </w:r>
      <w:r>
        <w:rPr>
          <w:i/>
          <w:iCs/>
        </w:rPr>
        <w:t xml:space="preserve">A Catholic Commentary on Holy Scripture</w:t>
      </w:r>
      <w:r>
        <w:t xml:space="preserve">, ed. Bernard Orchard and Edmund F. Sutcliffe (Toronto; New York; Edinburgh: Thomas Nelson, 1953), 393–402.</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107" Target="https://ref.ly/logosres/cathcommorchard?ref=BibleDR.Tob&amp;off=76161" TargetMode="External" /></Relationships>
</file>

<file path=word/_rels/footnotes.xml.rels><?xml version="1.0" encoding="UTF-8"?><Relationships xmlns="http://schemas.openxmlformats.org/package/2006/relationships"><Relationship Type="http://schemas.openxmlformats.org/officeDocument/2006/relationships/hyperlink" Id="rId107" Target="https://ref.ly/logosres/cathcommorchard?ref=BibleDR.Tob&amp;off=7616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Tobias (Tobit)</dc:title>
  <dc:creator>C. F. DeVine</dc:creator>
  <dc:language>en</dc:language>
  <cp:keywords/>
  <dcterms:created xsi:type="dcterms:W3CDTF">2026-07-21T17:05:51Z</dcterms:created>
  <dcterms:modified xsi:type="dcterms:W3CDTF">2026-07-21T17:05:51Z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